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DB4BCDE">
      <w:pPr>
        <w:tabs>
          <w:tab w:val="left" w:pos="7740"/>
        </w:tabs>
        <w:jc w:val="center"/>
        <w:rPr>
          <w:rFonts w:ascii="仿宋_GB2312" w:hAnsi="宋体" w:eastAsia="仿宋_GB2312"/>
          <w:color w:val="000000" w:themeColor="text1"/>
          <w:sz w:val="52"/>
          <w:highlight w:val="none"/>
          <w14:textFill>
            <w14:solidFill>
              <w14:schemeClr w14:val="tx1"/>
            </w14:solidFill>
          </w14:textFill>
        </w:rPr>
      </w:pPr>
      <w:bookmarkStart w:id="0" w:name="_Hlk44653633"/>
    </w:p>
    <w:p w14:paraId="09986236">
      <w:pPr>
        <w:tabs>
          <w:tab w:val="left" w:pos="7740"/>
        </w:tabs>
        <w:jc w:val="center"/>
        <w:rPr>
          <w:rFonts w:ascii="仿宋_GB2312" w:hAnsi="宋体" w:eastAsia="仿宋_GB2312"/>
          <w:color w:val="000000" w:themeColor="text1"/>
          <w:sz w:val="52"/>
          <w:highlight w:val="none"/>
          <w14:textFill>
            <w14:solidFill>
              <w14:schemeClr w14:val="tx1"/>
            </w14:solidFill>
          </w14:textFill>
        </w:rPr>
      </w:pPr>
    </w:p>
    <w:bookmarkEnd w:id="0"/>
    <w:p w14:paraId="0C4C045C">
      <w:pPr>
        <w:tabs>
          <w:tab w:val="left" w:pos="7740"/>
        </w:tabs>
        <w:jc w:val="center"/>
        <w:rPr>
          <w:rFonts w:ascii="仿宋_GB2312" w:hAnsi="宋体" w:eastAsia="仿宋_GB2312"/>
          <w:b/>
          <w:bCs/>
          <w:color w:val="000000" w:themeColor="text1"/>
          <w:sz w:val="84"/>
          <w:highlight w:val="none"/>
          <w14:textFill>
            <w14:solidFill>
              <w14:schemeClr w14:val="tx1"/>
            </w14:solidFill>
          </w14:textFill>
        </w:rPr>
      </w:pPr>
      <w:r>
        <w:rPr>
          <w:rFonts w:hint="eastAsia" w:ascii="仿宋_GB2312" w:hAnsi="宋体" w:eastAsia="仿宋_GB2312"/>
          <w:color w:val="000000" w:themeColor="text1"/>
          <w:sz w:val="52"/>
          <w:highlight w:val="none"/>
          <w:lang w:eastAsia="zh-CN"/>
          <w14:textFill>
            <w14:solidFill>
              <w14:schemeClr w14:val="tx1"/>
            </w14:solidFill>
          </w14:textFill>
        </w:rPr>
        <w:t>荣成市土地发展集团有限公司</w:t>
      </w:r>
      <w:r>
        <w:rPr>
          <w:rFonts w:hint="eastAsia" w:ascii="仿宋_GB2312" w:hAnsi="宋体" w:eastAsia="仿宋_GB2312"/>
          <w:color w:val="000000" w:themeColor="text1"/>
          <w:sz w:val="52"/>
          <w:highlight w:val="none"/>
          <w14:textFill>
            <w14:solidFill>
              <w14:schemeClr w14:val="tx1"/>
            </w14:solidFill>
          </w14:textFill>
        </w:rPr>
        <w:cr/>
      </w:r>
      <w:r>
        <w:rPr>
          <w:rFonts w:hint="eastAsia" w:ascii="仿宋_GB2312" w:hAnsi="宋体" w:eastAsia="仿宋_GB2312"/>
          <w:b/>
          <w:bCs/>
          <w:color w:val="000000" w:themeColor="text1"/>
          <w:sz w:val="84"/>
          <w:highlight w:val="none"/>
          <w14:textFill>
            <w14:solidFill>
              <w14:schemeClr w14:val="tx1"/>
            </w14:solidFill>
          </w14:textFill>
        </w:rPr>
        <w:t>招 标 文 件</w:t>
      </w:r>
      <w:r>
        <w:rPr>
          <w:rFonts w:hint="eastAsia" w:ascii="仿宋_GB2312" w:hAnsi="宋体" w:eastAsia="仿宋_GB2312"/>
          <w:b/>
          <w:bCs/>
          <w:color w:val="000000" w:themeColor="text1"/>
          <w:sz w:val="84"/>
          <w:highlight w:val="none"/>
          <w14:textFill>
            <w14:solidFill>
              <w14:schemeClr w14:val="tx1"/>
            </w14:solidFill>
          </w14:textFill>
        </w:rPr>
        <w:cr/>
      </w:r>
    </w:p>
    <w:p w14:paraId="3D3F58FA">
      <w:pPr>
        <w:tabs>
          <w:tab w:val="left" w:pos="7740"/>
        </w:tabs>
        <w:ind w:left="1436" w:leftChars="684" w:firstLine="5040" w:firstLineChars="700"/>
        <w:jc w:val="left"/>
        <w:rPr>
          <w:rFonts w:ascii="仿宋_GB2312" w:hAnsi="宋体" w:eastAsia="仿宋_GB2312"/>
          <w:bCs/>
          <w:color w:val="000000" w:themeColor="text1"/>
          <w:sz w:val="36"/>
          <w:highlight w:val="none"/>
          <w14:textFill>
            <w14:solidFill>
              <w14:schemeClr w14:val="tx1"/>
            </w14:solidFill>
          </w14:textFill>
        </w:rPr>
      </w:pPr>
      <w:r>
        <w:rPr>
          <w:rFonts w:hint="eastAsia" w:ascii="仿宋_GB2312" w:hAnsi="宋体" w:eastAsia="仿宋_GB2312"/>
          <w:color w:val="000000" w:themeColor="text1"/>
          <w:sz w:val="72"/>
          <w:highlight w:val="none"/>
          <w14:textFill>
            <w14:solidFill>
              <w14:schemeClr w14:val="tx1"/>
            </w14:solidFill>
          </w14:textFill>
        </w:rPr>
        <w:cr/>
      </w:r>
      <w:r>
        <w:rPr>
          <w:rFonts w:hint="eastAsia" w:ascii="仿宋_GB2312" w:hAnsi="宋体" w:eastAsia="仿宋_GB2312"/>
          <w:b/>
          <w:bCs/>
          <w:color w:val="000000" w:themeColor="text1"/>
          <w:sz w:val="36"/>
          <w:highlight w:val="none"/>
          <w14:textFill>
            <w14:solidFill>
              <w14:schemeClr w14:val="tx1"/>
            </w14:solidFill>
          </w14:textFill>
        </w:rPr>
        <w:t>采购编号：</w:t>
      </w:r>
      <w:bookmarkStart w:id="1" w:name="OLE_LINK2"/>
      <w:r>
        <w:rPr>
          <w:rFonts w:hint="eastAsia" w:ascii="仿宋_GB2312" w:hAnsi="宋体" w:eastAsia="仿宋_GB2312"/>
          <w:bCs/>
          <w:color w:val="000000" w:themeColor="text1"/>
          <w:sz w:val="36"/>
          <w:highlight w:val="none"/>
          <w:lang w:eastAsia="zh-CN"/>
          <w14:textFill>
            <w14:solidFill>
              <w14:schemeClr w14:val="tx1"/>
            </w14:solidFill>
          </w14:textFill>
        </w:rPr>
        <w:t>RCTDFZ2026-006</w:t>
      </w:r>
      <w:r>
        <w:rPr>
          <w:rFonts w:hint="eastAsia" w:ascii="仿宋_GB2312" w:hAnsi="宋体" w:eastAsia="仿宋_GB2312"/>
          <w:bCs/>
          <w:color w:val="000000" w:themeColor="text1"/>
          <w:sz w:val="36"/>
          <w:highlight w:val="none"/>
          <w14:textFill>
            <w14:solidFill>
              <w14:schemeClr w14:val="tx1"/>
            </w14:solidFill>
          </w14:textFill>
        </w:rPr>
        <w:cr/>
      </w:r>
      <w:bookmarkEnd w:id="1"/>
      <w:r>
        <w:rPr>
          <w:rFonts w:hint="eastAsia" w:ascii="仿宋_GB2312" w:hAnsi="宋体" w:eastAsia="仿宋_GB2312"/>
          <w:b/>
          <w:bCs/>
          <w:color w:val="000000" w:themeColor="text1"/>
          <w:sz w:val="36"/>
          <w:highlight w:val="none"/>
          <w14:textFill>
            <w14:solidFill>
              <w14:schemeClr w14:val="tx1"/>
            </w14:solidFill>
          </w14:textFill>
        </w:rPr>
        <w:t>采购项目：</w:t>
      </w:r>
      <w:r>
        <w:rPr>
          <w:rFonts w:hint="eastAsia" w:ascii="仿宋_GB2312" w:hAnsi="宋体" w:eastAsia="仿宋_GB2312"/>
          <w:color w:val="000000" w:themeColor="text1"/>
          <w:sz w:val="36"/>
          <w:highlight w:val="none"/>
          <w:lang w:val="en-US" w:eastAsia="zh-CN"/>
          <w14:textFill>
            <w14:solidFill>
              <w14:schemeClr w14:val="tx1"/>
            </w14:solidFill>
          </w14:textFill>
        </w:rPr>
        <w:t>荣成市城市数智化转型与数字生态建设</w:t>
      </w:r>
    </w:p>
    <w:p w14:paraId="42CC724D">
      <w:pPr>
        <w:tabs>
          <w:tab w:val="left" w:pos="7740"/>
        </w:tabs>
        <w:ind w:firstLine="1428" w:firstLineChars="395"/>
        <w:jc w:val="left"/>
        <w:rPr>
          <w:rFonts w:ascii="仿宋_GB2312" w:hAnsi="宋体" w:eastAsia="仿宋_GB2312"/>
          <w:color w:val="000000" w:themeColor="text1"/>
          <w:sz w:val="44"/>
          <w:highlight w:val="none"/>
          <w14:textFill>
            <w14:solidFill>
              <w14:schemeClr w14:val="tx1"/>
            </w14:solidFill>
          </w14:textFill>
        </w:rPr>
      </w:pPr>
      <w:r>
        <w:rPr>
          <w:rFonts w:hint="eastAsia" w:ascii="仿宋_GB2312" w:hAnsi="宋体" w:eastAsia="仿宋_GB2312"/>
          <w:b/>
          <w:bCs/>
          <w:color w:val="000000" w:themeColor="text1"/>
          <w:sz w:val="36"/>
          <w:highlight w:val="none"/>
          <w14:textFill>
            <w14:solidFill>
              <w14:schemeClr w14:val="tx1"/>
            </w14:solidFill>
          </w14:textFill>
        </w:rPr>
        <w:t>采购方式：</w:t>
      </w:r>
      <w:r>
        <w:rPr>
          <w:rFonts w:hint="eastAsia" w:ascii="仿宋_GB2312" w:hAnsi="宋体" w:eastAsia="仿宋_GB2312"/>
          <w:color w:val="000000" w:themeColor="text1"/>
          <w:sz w:val="36"/>
          <w:highlight w:val="none"/>
          <w14:textFill>
            <w14:solidFill>
              <w14:schemeClr w14:val="tx1"/>
            </w14:solidFill>
          </w14:textFill>
        </w:rPr>
        <w:t>公开招标</w:t>
      </w:r>
      <w:r>
        <w:rPr>
          <w:rFonts w:hint="eastAsia" w:ascii="仿宋_GB2312" w:hAnsi="宋体" w:eastAsia="仿宋_GB2312"/>
          <w:color w:val="000000" w:themeColor="text1"/>
          <w:sz w:val="36"/>
          <w:highlight w:val="none"/>
          <w14:textFill>
            <w14:solidFill>
              <w14:schemeClr w14:val="tx1"/>
            </w14:solidFill>
          </w14:textFill>
        </w:rPr>
        <w:cr/>
      </w:r>
      <w:r>
        <w:rPr>
          <w:rFonts w:hint="eastAsia" w:ascii="仿宋_GB2312" w:hAnsi="宋体" w:eastAsia="仿宋_GB2312"/>
          <w:color w:val="000000" w:themeColor="text1"/>
          <w:sz w:val="44"/>
          <w:highlight w:val="none"/>
          <w14:textFill>
            <w14:solidFill>
              <w14:schemeClr w14:val="tx1"/>
            </w14:solidFill>
          </w14:textFill>
        </w:rPr>
        <w:cr/>
      </w:r>
    </w:p>
    <w:p w14:paraId="44F0EBAC">
      <w:pPr>
        <w:pStyle w:val="13"/>
        <w:rPr>
          <w:color w:val="000000" w:themeColor="text1"/>
          <w:highlight w:val="none"/>
          <w14:textFill>
            <w14:solidFill>
              <w14:schemeClr w14:val="tx1"/>
            </w14:solidFill>
          </w14:textFill>
        </w:rPr>
      </w:pPr>
    </w:p>
    <w:p w14:paraId="04C0E005">
      <w:pPr>
        <w:pStyle w:val="13"/>
        <w:rPr>
          <w:color w:val="000000" w:themeColor="text1"/>
          <w:highlight w:val="none"/>
          <w14:textFill>
            <w14:solidFill>
              <w14:schemeClr w14:val="tx1"/>
            </w14:solidFill>
          </w14:textFill>
        </w:rPr>
      </w:pPr>
    </w:p>
    <w:p w14:paraId="62AA9E4A">
      <w:pPr>
        <w:pStyle w:val="13"/>
        <w:rPr>
          <w:color w:val="000000" w:themeColor="text1"/>
          <w:highlight w:val="none"/>
          <w14:textFill>
            <w14:solidFill>
              <w14:schemeClr w14:val="tx1"/>
            </w14:solidFill>
          </w14:textFill>
        </w:rPr>
      </w:pPr>
    </w:p>
    <w:p w14:paraId="637B199B">
      <w:pPr>
        <w:pStyle w:val="13"/>
        <w:ind w:firstLine="0"/>
        <w:rPr>
          <w:color w:val="000000" w:themeColor="text1"/>
          <w:highlight w:val="none"/>
          <w14:textFill>
            <w14:solidFill>
              <w14:schemeClr w14:val="tx1"/>
            </w14:solidFill>
          </w14:textFill>
        </w:rPr>
      </w:pPr>
    </w:p>
    <w:p w14:paraId="6AB04CC3">
      <w:pPr>
        <w:ind w:firstLine="2880" w:firstLineChars="800"/>
        <w:rPr>
          <w:rFonts w:ascii="仿宋_GB2312" w:hAnsi="宋体" w:eastAsia="仿宋_GB2312"/>
          <w:color w:val="000000" w:themeColor="text1"/>
          <w:sz w:val="36"/>
          <w:highlight w:val="none"/>
          <w14:textFill>
            <w14:solidFill>
              <w14:schemeClr w14:val="tx1"/>
            </w14:solidFill>
          </w14:textFill>
        </w:rPr>
      </w:pPr>
      <w:r>
        <w:rPr>
          <w:rFonts w:hint="eastAsia" w:ascii="仿宋_GB2312" w:hAnsi="宋体" w:eastAsia="仿宋_GB2312"/>
          <w:color w:val="000000" w:themeColor="text1"/>
          <w:sz w:val="36"/>
          <w:highlight w:val="none"/>
          <w14:textFill>
            <w14:solidFill>
              <w14:schemeClr w14:val="tx1"/>
            </w14:solidFill>
          </w14:textFill>
        </w:rPr>
        <w:t>山东志诚工程咨询管理有限公司</w:t>
      </w:r>
      <w:r>
        <w:rPr>
          <w:rFonts w:hint="eastAsia" w:ascii="仿宋_GB2312" w:hAnsi="宋体" w:eastAsia="仿宋_GB2312"/>
          <w:color w:val="000000" w:themeColor="text1"/>
          <w:sz w:val="36"/>
          <w:highlight w:val="none"/>
          <w14:textFill>
            <w14:solidFill>
              <w14:schemeClr w14:val="tx1"/>
            </w14:solidFill>
          </w14:textFill>
        </w:rPr>
        <w:cr/>
      </w:r>
      <w:r>
        <w:rPr>
          <w:rFonts w:hint="eastAsia" w:ascii="仿宋_GB2312" w:hAnsi="宋体" w:eastAsia="仿宋_GB2312"/>
          <w:color w:val="000000" w:themeColor="text1"/>
          <w:sz w:val="36"/>
          <w:highlight w:val="none"/>
          <w14:textFill>
            <w14:solidFill>
              <w14:schemeClr w14:val="tx1"/>
            </w14:solidFill>
          </w14:textFill>
        </w:rPr>
        <w:t xml:space="preserve">                       2026年</w:t>
      </w:r>
      <w:r>
        <w:rPr>
          <w:rFonts w:hint="eastAsia" w:ascii="仿宋_GB2312" w:hAnsi="宋体" w:eastAsia="仿宋_GB2312"/>
          <w:color w:val="000000" w:themeColor="text1"/>
          <w:sz w:val="36"/>
          <w:highlight w:val="none"/>
          <w:lang w:val="en-US" w:eastAsia="zh-CN"/>
          <w14:textFill>
            <w14:solidFill>
              <w14:schemeClr w14:val="tx1"/>
            </w14:solidFill>
          </w14:textFill>
        </w:rPr>
        <w:t>6</w:t>
      </w:r>
      <w:r>
        <w:rPr>
          <w:rFonts w:hint="eastAsia" w:ascii="仿宋_GB2312" w:hAnsi="宋体" w:eastAsia="仿宋_GB2312"/>
          <w:color w:val="000000" w:themeColor="text1"/>
          <w:sz w:val="36"/>
          <w:highlight w:val="none"/>
          <w14:textFill>
            <w14:solidFill>
              <w14:schemeClr w14:val="tx1"/>
            </w14:solidFill>
          </w14:textFill>
        </w:rPr>
        <w:t>月</w:t>
      </w:r>
      <w:r>
        <w:rPr>
          <w:rFonts w:hint="eastAsia" w:ascii="仿宋_GB2312" w:hAnsi="宋体" w:eastAsia="仿宋_GB2312"/>
          <w:color w:val="000000" w:themeColor="text1"/>
          <w:sz w:val="36"/>
          <w:highlight w:val="none"/>
          <w14:textFill>
            <w14:solidFill>
              <w14:schemeClr w14:val="tx1"/>
            </w14:solidFill>
          </w14:textFill>
        </w:rPr>
        <w:cr/>
      </w:r>
    </w:p>
    <w:p w14:paraId="7E864E98">
      <w:pPr>
        <w:ind w:firstLine="3534" w:firstLineChars="800"/>
        <w:rPr>
          <w:rFonts w:ascii="宋体" w:hAnsi="宋体"/>
          <w:b/>
          <w:color w:val="000000" w:themeColor="text1"/>
          <w:sz w:val="44"/>
          <w:szCs w:val="44"/>
          <w:highlight w:val="none"/>
          <w14:textFill>
            <w14:solidFill>
              <w14:schemeClr w14:val="tx1"/>
            </w14:solidFill>
          </w14:textFill>
        </w:rPr>
      </w:pPr>
    </w:p>
    <w:p w14:paraId="42AC7054">
      <w:pPr>
        <w:ind w:firstLine="3534" w:firstLineChars="800"/>
        <w:rPr>
          <w:rFonts w:ascii="宋体" w:hAnsi="宋体"/>
          <w:b/>
          <w:color w:val="000000" w:themeColor="text1"/>
          <w:sz w:val="44"/>
          <w:szCs w:val="44"/>
          <w:highlight w:val="none"/>
          <w14:textFill>
            <w14:solidFill>
              <w14:schemeClr w14:val="tx1"/>
            </w14:solidFill>
          </w14:textFill>
        </w:rPr>
        <w:sectPr>
          <w:headerReference r:id="rId3" w:type="default"/>
          <w:footerReference r:id="rId4" w:type="default"/>
          <w:pgSz w:w="11906" w:h="16838"/>
          <w:pgMar w:top="1440" w:right="1080" w:bottom="1440" w:left="1080" w:header="851" w:footer="992" w:gutter="0"/>
          <w:cols w:space="425" w:num="1"/>
          <w:docGrid w:type="lines" w:linePitch="312" w:charSpace="0"/>
        </w:sectPr>
      </w:pPr>
    </w:p>
    <w:p w14:paraId="1E51E9B7">
      <w:pPr>
        <w:ind w:firstLine="3534" w:firstLineChars="800"/>
        <w:rPr>
          <w:rFonts w:ascii="仿宋_GB2312" w:hAnsi="宋体" w:eastAsia="仿宋_GB2312"/>
          <w:color w:val="000000" w:themeColor="text1"/>
          <w:sz w:val="28"/>
          <w:highlight w:val="none"/>
          <w14:textFill>
            <w14:solidFill>
              <w14:schemeClr w14:val="tx1"/>
            </w14:solidFill>
          </w14:textFill>
        </w:rPr>
      </w:pPr>
      <w:r>
        <w:rPr>
          <w:rFonts w:hint="eastAsia" w:ascii="宋体" w:hAnsi="宋体"/>
          <w:b/>
          <w:color w:val="000000" w:themeColor="text1"/>
          <w:sz w:val="44"/>
          <w:szCs w:val="44"/>
          <w:highlight w:val="none"/>
          <w14:textFill>
            <w14:solidFill>
              <w14:schemeClr w14:val="tx1"/>
            </w14:solidFill>
          </w14:textFill>
        </w:rPr>
        <w:t xml:space="preserve"> 目　录</w:t>
      </w:r>
      <w:r>
        <w:rPr>
          <w:rFonts w:hint="eastAsia" w:ascii="宋体" w:hAnsi="宋体"/>
          <w:b/>
          <w:color w:val="000000" w:themeColor="text1"/>
          <w:sz w:val="44"/>
          <w:szCs w:val="44"/>
          <w:highlight w:val="none"/>
          <w14:textFill>
            <w14:solidFill>
              <w14:schemeClr w14:val="tx1"/>
            </w14:solidFill>
          </w14:textFill>
        </w:rPr>
        <w:cr/>
      </w:r>
    </w:p>
    <w:p w14:paraId="40927D61">
      <w:pPr>
        <w:spacing w:line="700" w:lineRule="exact"/>
        <w:ind w:firstLine="562" w:firstLineChars="200"/>
        <w:jc w:val="left"/>
        <w:rPr>
          <w:rFonts w:ascii="宋体" w:hAnsi="宋体" w:cs="宋体"/>
          <w:color w:val="000000" w:themeColor="text1"/>
          <w:sz w:val="24"/>
          <w:szCs w:val="44"/>
          <w:highlight w:val="none"/>
          <w14:textFill>
            <w14:solidFill>
              <w14:schemeClr w14:val="tx1"/>
            </w14:solidFill>
          </w14:textFill>
        </w:rPr>
      </w:pPr>
      <w:r>
        <w:rPr>
          <w:rFonts w:hint="eastAsia" w:ascii="仿宋_GB2312" w:hAnsi="黑体" w:eastAsia="仿宋_GB2312" w:cs="宋体"/>
          <w:b/>
          <w:bCs/>
          <w:caps/>
          <w:color w:val="000000" w:themeColor="text1"/>
          <w:sz w:val="28"/>
          <w:szCs w:val="28"/>
          <w:highlight w:val="none"/>
          <w14:textFill>
            <w14:solidFill>
              <w14:schemeClr w14:val="tx1"/>
            </w14:solidFill>
          </w14:textFill>
        </w:rPr>
        <w:t>第一章   招标公告</w:t>
      </w:r>
    </w:p>
    <w:p w14:paraId="59806F6D">
      <w:pPr>
        <w:spacing w:line="700" w:lineRule="exact"/>
        <w:ind w:firstLine="565" w:firstLineChars="201"/>
        <w:jc w:val="left"/>
        <w:rPr>
          <w:rFonts w:ascii="仿宋_GB2312" w:hAnsi="黑体" w:eastAsia="仿宋_GB2312" w:cs="宋体"/>
          <w:b/>
          <w:bCs/>
          <w:caps/>
          <w:color w:val="000000" w:themeColor="text1"/>
          <w:sz w:val="28"/>
          <w:szCs w:val="28"/>
          <w:highlight w:val="none"/>
          <w14:textFill>
            <w14:solidFill>
              <w14:schemeClr w14:val="tx1"/>
            </w14:solidFill>
          </w14:textFill>
        </w:rPr>
      </w:pPr>
      <w:r>
        <w:rPr>
          <w:rFonts w:hint="eastAsia" w:ascii="仿宋_GB2312" w:hAnsi="黑体" w:eastAsia="仿宋_GB2312" w:cs="宋体"/>
          <w:b/>
          <w:bCs/>
          <w:caps/>
          <w:color w:val="000000" w:themeColor="text1"/>
          <w:sz w:val="28"/>
          <w:szCs w:val="28"/>
          <w:highlight w:val="none"/>
          <w14:textFill>
            <w14:solidFill>
              <w14:schemeClr w14:val="tx1"/>
            </w14:solidFill>
          </w14:textFill>
        </w:rPr>
        <w:t>第二章   投标须知</w:t>
      </w:r>
    </w:p>
    <w:p w14:paraId="663205B2">
      <w:pPr>
        <w:spacing w:line="700" w:lineRule="exact"/>
        <w:ind w:firstLine="565" w:firstLineChars="201"/>
        <w:jc w:val="left"/>
        <w:rPr>
          <w:rFonts w:ascii="仿宋_GB2312" w:hAnsi="黑体" w:eastAsia="仿宋_GB2312" w:cs="宋体"/>
          <w:b/>
          <w:bCs/>
          <w:caps/>
          <w:color w:val="000000" w:themeColor="text1"/>
          <w:sz w:val="28"/>
          <w:szCs w:val="28"/>
          <w:highlight w:val="none"/>
          <w14:textFill>
            <w14:solidFill>
              <w14:schemeClr w14:val="tx1"/>
            </w14:solidFill>
          </w14:textFill>
        </w:rPr>
      </w:pPr>
      <w:r>
        <w:rPr>
          <w:rFonts w:hint="eastAsia" w:ascii="仿宋_GB2312" w:hAnsi="黑体" w:eastAsia="仿宋_GB2312" w:cs="宋体"/>
          <w:b/>
          <w:bCs/>
          <w:caps/>
          <w:color w:val="000000" w:themeColor="text1"/>
          <w:sz w:val="28"/>
          <w:szCs w:val="28"/>
          <w:highlight w:val="none"/>
          <w14:textFill>
            <w14:solidFill>
              <w14:schemeClr w14:val="tx1"/>
            </w14:solidFill>
          </w14:textFill>
        </w:rPr>
        <w:t>第三章   采购内容与要求</w:t>
      </w:r>
    </w:p>
    <w:p w14:paraId="2467FA52">
      <w:pPr>
        <w:spacing w:line="700" w:lineRule="exact"/>
        <w:ind w:firstLine="565" w:firstLineChars="201"/>
        <w:jc w:val="left"/>
        <w:rPr>
          <w:rFonts w:ascii="仿宋_GB2312" w:hAnsi="黑体" w:eastAsia="仿宋_GB2312" w:cs="宋体"/>
          <w:b/>
          <w:bCs/>
          <w:caps/>
          <w:color w:val="000000" w:themeColor="text1"/>
          <w:sz w:val="28"/>
          <w:szCs w:val="28"/>
          <w:highlight w:val="none"/>
          <w14:textFill>
            <w14:solidFill>
              <w14:schemeClr w14:val="tx1"/>
            </w14:solidFill>
          </w14:textFill>
        </w:rPr>
      </w:pPr>
      <w:r>
        <w:rPr>
          <w:rFonts w:hint="eastAsia" w:ascii="仿宋_GB2312" w:hAnsi="黑体" w:eastAsia="仿宋_GB2312" w:cs="宋体"/>
          <w:b/>
          <w:bCs/>
          <w:caps/>
          <w:color w:val="000000" w:themeColor="text1"/>
          <w:sz w:val="28"/>
          <w:szCs w:val="28"/>
          <w:highlight w:val="none"/>
          <w14:textFill>
            <w14:solidFill>
              <w14:schemeClr w14:val="tx1"/>
            </w14:solidFill>
          </w14:textFill>
        </w:rPr>
        <w:t>第四章   评标原则和方法</w:t>
      </w:r>
    </w:p>
    <w:p w14:paraId="698EA6AA">
      <w:pPr>
        <w:spacing w:line="700" w:lineRule="exact"/>
        <w:ind w:firstLine="565" w:firstLineChars="201"/>
        <w:jc w:val="left"/>
        <w:rPr>
          <w:rFonts w:ascii="仿宋_GB2312" w:hAnsi="黑体" w:eastAsia="仿宋_GB2312" w:cs="宋体"/>
          <w:b/>
          <w:bCs/>
          <w:caps/>
          <w:color w:val="000000" w:themeColor="text1"/>
          <w:sz w:val="28"/>
          <w:szCs w:val="28"/>
          <w:highlight w:val="none"/>
          <w14:textFill>
            <w14:solidFill>
              <w14:schemeClr w14:val="tx1"/>
            </w14:solidFill>
          </w14:textFill>
        </w:rPr>
      </w:pPr>
      <w:r>
        <w:rPr>
          <w:rFonts w:hint="eastAsia" w:ascii="仿宋_GB2312" w:hAnsi="黑体" w:eastAsia="仿宋_GB2312" w:cs="宋体"/>
          <w:b/>
          <w:bCs/>
          <w:caps/>
          <w:color w:val="000000" w:themeColor="text1"/>
          <w:sz w:val="28"/>
          <w:szCs w:val="28"/>
          <w:highlight w:val="none"/>
          <w14:textFill>
            <w14:solidFill>
              <w14:schemeClr w14:val="tx1"/>
            </w14:solidFill>
          </w14:textFill>
        </w:rPr>
        <w:t>第五章   投标文件格式与要求</w:t>
      </w:r>
    </w:p>
    <w:p w14:paraId="2679A679">
      <w:pPr>
        <w:spacing w:line="700" w:lineRule="exact"/>
        <w:ind w:firstLine="562" w:firstLineChars="200"/>
        <w:rPr>
          <w:rFonts w:ascii="仿宋_GB2312" w:hAnsi="宋体" w:eastAsia="仿宋_GB2312"/>
          <w:color w:val="000000" w:themeColor="text1"/>
          <w:sz w:val="28"/>
          <w:highlight w:val="none"/>
          <w14:textFill>
            <w14:solidFill>
              <w14:schemeClr w14:val="tx1"/>
            </w14:solidFill>
          </w14:textFill>
        </w:rPr>
      </w:pPr>
      <w:r>
        <w:rPr>
          <w:rFonts w:hint="eastAsia" w:ascii="仿宋_GB2312" w:hAnsi="黑体" w:eastAsia="仿宋_GB2312" w:cs="宋体"/>
          <w:b/>
          <w:bCs/>
          <w:caps/>
          <w:color w:val="000000" w:themeColor="text1"/>
          <w:sz w:val="28"/>
          <w:szCs w:val="28"/>
          <w:highlight w:val="none"/>
          <w14:textFill>
            <w14:solidFill>
              <w14:schemeClr w14:val="tx1"/>
            </w14:solidFill>
          </w14:textFill>
        </w:rPr>
        <w:t>第六章   采购合同（范本）</w:t>
      </w:r>
      <w:r>
        <w:rPr>
          <w:rFonts w:hint="eastAsia" w:ascii="仿宋_GB2312" w:hAnsi="宋体" w:eastAsia="仿宋_GB2312"/>
          <w:color w:val="000000" w:themeColor="text1"/>
          <w:sz w:val="28"/>
          <w:highlight w:val="none"/>
          <w14:textFill>
            <w14:solidFill>
              <w14:schemeClr w14:val="tx1"/>
            </w14:solidFill>
          </w14:textFill>
        </w:rPr>
        <w:cr/>
      </w:r>
      <w:r>
        <w:rPr>
          <w:rFonts w:hint="eastAsia" w:ascii="仿宋_GB2312" w:hAnsi="宋体" w:eastAsia="仿宋_GB2312"/>
          <w:color w:val="000000" w:themeColor="text1"/>
          <w:sz w:val="28"/>
          <w:highlight w:val="none"/>
          <w14:textFill>
            <w14:solidFill>
              <w14:schemeClr w14:val="tx1"/>
            </w14:solidFill>
          </w14:textFill>
        </w:rPr>
        <w:cr/>
      </w:r>
      <w:r>
        <w:rPr>
          <w:rFonts w:hint="eastAsia" w:ascii="仿宋_GB2312" w:hAnsi="宋体" w:eastAsia="仿宋_GB2312"/>
          <w:color w:val="000000" w:themeColor="text1"/>
          <w:sz w:val="28"/>
          <w:highlight w:val="none"/>
          <w14:textFill>
            <w14:solidFill>
              <w14:schemeClr w14:val="tx1"/>
            </w14:solidFill>
          </w14:textFill>
        </w:rPr>
        <w:cr/>
      </w:r>
    </w:p>
    <w:p w14:paraId="03FE5C4A">
      <w:pPr>
        <w:spacing w:line="360" w:lineRule="auto"/>
        <w:ind w:firstLine="422" w:firstLineChars="201"/>
        <w:jc w:val="center"/>
        <w:rPr>
          <w:color w:val="000000" w:themeColor="text1"/>
          <w:kern w:val="0"/>
          <w:highlight w:val="none"/>
          <w14:textFill>
            <w14:solidFill>
              <w14:schemeClr w14:val="tx1"/>
            </w14:solidFill>
          </w14:textFill>
        </w:rPr>
      </w:pPr>
    </w:p>
    <w:p w14:paraId="71345E31">
      <w:pPr>
        <w:rPr>
          <w:color w:val="000000" w:themeColor="text1"/>
          <w:highlight w:val="none"/>
          <w14:textFill>
            <w14:solidFill>
              <w14:schemeClr w14:val="tx1"/>
            </w14:solidFill>
          </w14:textFill>
        </w:rPr>
        <w:sectPr>
          <w:pgSz w:w="11906" w:h="16838"/>
          <w:pgMar w:top="1440" w:right="1080" w:bottom="1440" w:left="1080" w:header="851" w:footer="992" w:gutter="0"/>
          <w:cols w:space="425" w:num="1"/>
          <w:docGrid w:type="lines" w:linePitch="312" w:charSpace="0"/>
        </w:sectPr>
      </w:pPr>
    </w:p>
    <w:p w14:paraId="74A8CF6D">
      <w:pPr>
        <w:pStyle w:val="42"/>
        <w:rPr>
          <w:rFonts w:ascii="宋体" w:hAnsi="宋体" w:cs="宋体"/>
          <w:color w:val="000000" w:themeColor="text1"/>
          <w:kern w:val="36"/>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第一章</w:t>
      </w:r>
      <w:r>
        <w:rPr>
          <w:rFonts w:hint="eastAsia" w:ascii="宋体" w:hAnsi="宋体" w:cs="宋体"/>
          <w:color w:val="000000" w:themeColor="text1"/>
          <w:kern w:val="36"/>
          <w:highlight w:val="none"/>
          <w14:textFill>
            <w14:solidFill>
              <w14:schemeClr w14:val="tx1"/>
            </w14:solidFill>
          </w14:textFill>
        </w:rPr>
        <w:t>招标公告</w:t>
      </w:r>
    </w:p>
    <w:p w14:paraId="42C6D64B">
      <w:pPr>
        <w:spacing w:line="360" w:lineRule="auto"/>
        <w:jc w:val="center"/>
        <w:rPr>
          <w:rFonts w:ascii="方正小标宋简体" w:hAnsi="Cambria" w:eastAsia="方正小标宋简体"/>
          <w:b/>
          <w:bCs/>
          <w:color w:val="000000" w:themeColor="text1"/>
          <w:sz w:val="30"/>
          <w:szCs w:val="30"/>
          <w:highlight w:val="none"/>
          <w14:textFill>
            <w14:solidFill>
              <w14:schemeClr w14:val="tx1"/>
            </w14:solidFill>
          </w14:textFill>
        </w:rPr>
      </w:pPr>
      <w:r>
        <w:rPr>
          <w:rFonts w:hint="eastAsia" w:ascii="方正小标宋简体" w:hAnsi="Cambria" w:eastAsia="方正小标宋简体"/>
          <w:b/>
          <w:bCs/>
          <w:color w:val="000000" w:themeColor="text1"/>
          <w:sz w:val="30"/>
          <w:szCs w:val="30"/>
          <w:highlight w:val="none"/>
          <w:lang w:eastAsia="zh-CN"/>
          <w14:textFill>
            <w14:solidFill>
              <w14:schemeClr w14:val="tx1"/>
            </w14:solidFill>
          </w14:textFill>
        </w:rPr>
        <w:t>荣成市土地发展集团有限公司</w:t>
      </w:r>
      <w:r>
        <w:rPr>
          <w:rFonts w:hint="eastAsia" w:ascii="方正小标宋简体" w:hAnsi="Cambria" w:eastAsia="方正小标宋简体"/>
          <w:b/>
          <w:bCs/>
          <w:color w:val="000000" w:themeColor="text1"/>
          <w:sz w:val="30"/>
          <w:szCs w:val="30"/>
          <w:highlight w:val="none"/>
          <w:lang w:val="en-US" w:eastAsia="zh-CN"/>
          <w14:textFill>
            <w14:solidFill>
              <w14:schemeClr w14:val="tx1"/>
            </w14:solidFill>
          </w14:textFill>
        </w:rPr>
        <w:t>荣成市城市数智化转型与数字生态建设</w:t>
      </w:r>
      <w:r>
        <w:rPr>
          <w:rFonts w:hint="eastAsia" w:ascii="方正小标宋简体" w:hAnsi="Cambria" w:eastAsia="方正小标宋简体"/>
          <w:b/>
          <w:bCs/>
          <w:color w:val="000000" w:themeColor="text1"/>
          <w:sz w:val="30"/>
          <w:szCs w:val="30"/>
          <w:highlight w:val="none"/>
          <w14:textFill>
            <w14:solidFill>
              <w14:schemeClr w14:val="tx1"/>
            </w14:solidFill>
          </w14:textFill>
        </w:rPr>
        <w:t>公开招标公告</w:t>
      </w:r>
    </w:p>
    <w:p w14:paraId="449DD676">
      <w:pPr>
        <w:pBdr>
          <w:top w:val="single" w:color="auto" w:sz="4" w:space="1"/>
          <w:left w:val="single" w:color="auto" w:sz="4" w:space="4"/>
          <w:bottom w:val="single" w:color="auto" w:sz="4" w:space="1"/>
          <w:right w:val="single" w:color="auto" w:sz="4" w:space="4"/>
        </w:pBdr>
        <w:spacing w:line="360" w:lineRule="auto"/>
        <w:rPr>
          <w:rFonts w:ascii="黑体" w:hAnsi="黑体" w:eastAsia="黑体" w:cs="宋体"/>
          <w:color w:val="000000" w:themeColor="text1"/>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项目概况</w:t>
      </w:r>
    </w:p>
    <w:p w14:paraId="2BDD76DC">
      <w:pPr>
        <w:widowControl/>
        <w:pBdr>
          <w:top w:val="single" w:color="auto" w:sz="4" w:space="1"/>
          <w:left w:val="single" w:color="auto" w:sz="4" w:space="4"/>
          <w:bottom w:val="single" w:color="auto" w:sz="4" w:space="1"/>
          <w:right w:val="single" w:color="auto" w:sz="4" w:space="4"/>
        </w:pBdr>
        <w:adjustRightInd w:val="0"/>
        <w:spacing w:line="360" w:lineRule="auto"/>
        <w:ind w:firstLine="592" w:firstLineChars="200"/>
        <w:jc w:val="left"/>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lang w:val="en-US" w:eastAsia="zh-CN"/>
          <w14:textFill>
            <w14:solidFill>
              <w14:schemeClr w14:val="tx1"/>
            </w14:solidFill>
          </w14:textFill>
        </w:rPr>
        <w:t>荣成市城市数智化转型与数字生态建设</w:t>
      </w:r>
      <w:r>
        <w:rPr>
          <w:rFonts w:hint="eastAsia" w:ascii="仿宋_GB2312" w:hAnsi="仿宋" w:eastAsia="仿宋_GB2312" w:cs="宋体"/>
          <w:color w:val="000000" w:themeColor="text1"/>
          <w:spacing w:val="8"/>
          <w:sz w:val="28"/>
          <w:szCs w:val="28"/>
          <w:highlight w:val="none"/>
          <w14:textFill>
            <w14:solidFill>
              <w14:schemeClr w14:val="tx1"/>
            </w14:solidFill>
          </w14:textFill>
        </w:rPr>
        <w:t>招标项目的潜在投标人应在威海市国有企业电子化服务平台（威海市公共资源交易网（荣成市）右侧“交易服务一网通办系统（新版一网通办系统）”进行平台切换点击“国企采购”）获取采购文件，并于2026年</w:t>
      </w:r>
      <w:r>
        <w:rPr>
          <w:rFonts w:hint="eastAsia" w:ascii="仿宋_GB2312" w:hAnsi="仿宋" w:eastAsia="仿宋_GB2312" w:cs="宋体"/>
          <w:color w:val="000000" w:themeColor="text1"/>
          <w:spacing w:val="8"/>
          <w:sz w:val="28"/>
          <w:szCs w:val="28"/>
          <w:highlight w:val="none"/>
          <w:lang w:val="en-US" w:eastAsia="zh-CN"/>
          <w14:textFill>
            <w14:solidFill>
              <w14:schemeClr w14:val="tx1"/>
            </w14:solidFill>
          </w14:textFill>
        </w:rPr>
        <w:t>07</w:t>
      </w:r>
      <w:r>
        <w:rPr>
          <w:rFonts w:hint="eastAsia" w:ascii="仿宋_GB2312" w:hAnsi="仿宋" w:eastAsia="仿宋_GB2312" w:cs="宋体"/>
          <w:color w:val="000000" w:themeColor="text1"/>
          <w:spacing w:val="8"/>
          <w:sz w:val="28"/>
          <w:szCs w:val="28"/>
          <w:highlight w:val="none"/>
          <w14:textFill>
            <w14:solidFill>
              <w14:schemeClr w14:val="tx1"/>
            </w14:solidFill>
          </w14:textFill>
        </w:rPr>
        <w:t>月</w:t>
      </w:r>
      <w:r>
        <w:rPr>
          <w:rFonts w:hint="eastAsia" w:ascii="仿宋_GB2312" w:hAnsi="仿宋" w:eastAsia="仿宋_GB2312" w:cs="宋体"/>
          <w:color w:val="000000" w:themeColor="text1"/>
          <w:spacing w:val="8"/>
          <w:sz w:val="28"/>
          <w:szCs w:val="28"/>
          <w:highlight w:val="none"/>
          <w:lang w:val="en-US" w:eastAsia="zh-CN"/>
          <w14:textFill>
            <w14:solidFill>
              <w14:schemeClr w14:val="tx1"/>
            </w14:solidFill>
          </w14:textFill>
        </w:rPr>
        <w:t>10</w:t>
      </w:r>
      <w:r>
        <w:rPr>
          <w:rFonts w:hint="eastAsia" w:ascii="仿宋_GB2312" w:hAnsi="仿宋" w:eastAsia="仿宋_GB2312" w:cs="宋体"/>
          <w:color w:val="000000" w:themeColor="text1"/>
          <w:spacing w:val="8"/>
          <w:sz w:val="28"/>
          <w:szCs w:val="28"/>
          <w:highlight w:val="none"/>
          <w14:textFill>
            <w14:solidFill>
              <w14:schemeClr w14:val="tx1"/>
            </w14:solidFill>
          </w14:textFill>
        </w:rPr>
        <w:t>日09:00（北京时间）前递交投标文件。</w:t>
      </w:r>
    </w:p>
    <w:p w14:paraId="55393965">
      <w:pPr>
        <w:spacing w:line="360" w:lineRule="auto"/>
        <w:ind w:firstLine="560" w:firstLineChars="200"/>
        <w:rPr>
          <w:rFonts w:ascii="黑体" w:hAnsi="黑体" w:eastAsia="黑体" w:cs="宋体"/>
          <w:color w:val="000000" w:themeColor="text1"/>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一、项目基本情况</w:t>
      </w:r>
    </w:p>
    <w:p w14:paraId="07919702">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项目编号：</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RCTDFZ2026-006</w:t>
      </w:r>
    </w:p>
    <w:p w14:paraId="32AE7CFD">
      <w:pPr>
        <w:widowControl/>
        <w:shd w:val="clear" w:color="auto" w:fill="FFFFFF"/>
        <w:spacing w:line="360" w:lineRule="auto"/>
        <w:ind w:firstLine="592" w:firstLineChars="200"/>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项目名称：</w:t>
      </w:r>
      <w:r>
        <w:rPr>
          <w:rFonts w:hint="eastAsia" w:ascii="仿宋_GB2312" w:hAnsi="仿宋" w:eastAsia="仿宋_GB2312" w:cs="宋体"/>
          <w:color w:val="000000" w:themeColor="text1"/>
          <w:spacing w:val="8"/>
          <w:sz w:val="28"/>
          <w:szCs w:val="28"/>
          <w:highlight w:val="none"/>
          <w:lang w:val="en-US" w:eastAsia="zh-CN"/>
          <w14:textFill>
            <w14:solidFill>
              <w14:schemeClr w14:val="tx1"/>
            </w14:solidFill>
          </w14:textFill>
        </w:rPr>
        <w:t>荣成市城市数智化转型与数字生态建设</w:t>
      </w:r>
    </w:p>
    <w:p w14:paraId="3AA5993D">
      <w:pPr>
        <w:widowControl/>
        <w:shd w:val="clear" w:color="auto" w:fill="FFFFFF"/>
        <w:spacing w:line="360" w:lineRule="auto"/>
        <w:ind w:firstLine="592" w:firstLineChars="200"/>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采购项目分包情况：</w:t>
      </w:r>
    </w:p>
    <w:tbl>
      <w:tblPr>
        <w:tblStyle w:val="47"/>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0"/>
        <w:gridCol w:w="2113"/>
        <w:gridCol w:w="851"/>
        <w:gridCol w:w="1701"/>
        <w:gridCol w:w="1701"/>
        <w:gridCol w:w="1417"/>
        <w:gridCol w:w="1349"/>
      </w:tblGrid>
      <w:tr w14:paraId="0CF10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5" w:hRule="atLeast"/>
        </w:trPr>
        <w:tc>
          <w:tcPr>
            <w:tcW w:w="830" w:type="dxa"/>
            <w:vAlign w:val="center"/>
          </w:tcPr>
          <w:p w14:paraId="2035DD6B">
            <w:pPr>
              <w:widowControl/>
              <w:adjustRightInd w:val="0"/>
              <w:spacing w:line="360" w:lineRule="auto"/>
              <w:jc w:val="center"/>
              <w:rPr>
                <w:rFonts w:ascii="仿宋_GB2312" w:hAnsi="宋体" w:eastAsia="仿宋_GB2312" w:cs="宋体"/>
                <w:b/>
                <w:color w:val="000000" w:themeColor="text1"/>
                <w:sz w:val="28"/>
                <w:highlight w:val="none"/>
                <w14:textFill>
                  <w14:solidFill>
                    <w14:schemeClr w14:val="tx1"/>
                  </w14:solidFill>
                </w14:textFill>
              </w:rPr>
            </w:pPr>
            <w:r>
              <w:rPr>
                <w:rFonts w:hint="eastAsia" w:ascii="仿宋_GB2312" w:hAnsi="宋体" w:eastAsia="仿宋_GB2312" w:cs="宋体"/>
                <w:b/>
                <w:color w:val="000000" w:themeColor="text1"/>
                <w:sz w:val="28"/>
                <w:highlight w:val="none"/>
                <w14:textFill>
                  <w14:solidFill>
                    <w14:schemeClr w14:val="tx1"/>
                  </w14:solidFill>
                </w14:textFill>
              </w:rPr>
              <w:t>标包</w:t>
            </w:r>
          </w:p>
        </w:tc>
        <w:tc>
          <w:tcPr>
            <w:tcW w:w="2113" w:type="dxa"/>
            <w:vAlign w:val="center"/>
          </w:tcPr>
          <w:p w14:paraId="1A19BB84">
            <w:pPr>
              <w:widowControl/>
              <w:adjustRightInd w:val="0"/>
              <w:spacing w:line="360" w:lineRule="auto"/>
              <w:jc w:val="center"/>
              <w:rPr>
                <w:rFonts w:ascii="仿宋_GB2312" w:hAnsi="宋体" w:eastAsia="仿宋_GB2312" w:cs="宋体"/>
                <w:b/>
                <w:color w:val="000000" w:themeColor="text1"/>
                <w:sz w:val="28"/>
                <w:highlight w:val="none"/>
                <w14:textFill>
                  <w14:solidFill>
                    <w14:schemeClr w14:val="tx1"/>
                  </w14:solidFill>
                </w14:textFill>
              </w:rPr>
            </w:pPr>
            <w:r>
              <w:rPr>
                <w:rFonts w:hint="eastAsia" w:ascii="仿宋_GB2312" w:hAnsi="宋体" w:eastAsia="仿宋_GB2312" w:cs="宋体"/>
                <w:b/>
                <w:color w:val="000000" w:themeColor="text1"/>
                <w:sz w:val="28"/>
                <w:highlight w:val="none"/>
                <w14:textFill>
                  <w14:solidFill>
                    <w14:schemeClr w14:val="tx1"/>
                  </w14:solidFill>
                </w14:textFill>
              </w:rPr>
              <w:t>货物\服务名称</w:t>
            </w:r>
          </w:p>
        </w:tc>
        <w:tc>
          <w:tcPr>
            <w:tcW w:w="851" w:type="dxa"/>
            <w:vAlign w:val="center"/>
          </w:tcPr>
          <w:p w14:paraId="7809D832">
            <w:pPr>
              <w:widowControl/>
              <w:adjustRightInd w:val="0"/>
              <w:spacing w:line="360" w:lineRule="auto"/>
              <w:jc w:val="center"/>
              <w:rPr>
                <w:rFonts w:ascii="仿宋_GB2312" w:hAnsi="宋体" w:eastAsia="仿宋_GB2312" w:cs="宋体"/>
                <w:b/>
                <w:color w:val="000000" w:themeColor="text1"/>
                <w:sz w:val="28"/>
                <w:highlight w:val="none"/>
                <w14:textFill>
                  <w14:solidFill>
                    <w14:schemeClr w14:val="tx1"/>
                  </w14:solidFill>
                </w14:textFill>
              </w:rPr>
            </w:pPr>
            <w:r>
              <w:rPr>
                <w:rFonts w:hint="eastAsia" w:ascii="仿宋_GB2312" w:hAnsi="宋体" w:eastAsia="仿宋_GB2312" w:cs="宋体"/>
                <w:b/>
                <w:color w:val="000000" w:themeColor="text1"/>
                <w:sz w:val="28"/>
                <w:highlight w:val="none"/>
                <w14:textFill>
                  <w14:solidFill>
                    <w14:schemeClr w14:val="tx1"/>
                  </w14:solidFill>
                </w14:textFill>
              </w:rPr>
              <w:t>数量</w:t>
            </w:r>
          </w:p>
        </w:tc>
        <w:tc>
          <w:tcPr>
            <w:tcW w:w="1701" w:type="dxa"/>
            <w:vAlign w:val="center"/>
          </w:tcPr>
          <w:p w14:paraId="5978FD07">
            <w:pPr>
              <w:widowControl/>
              <w:adjustRightInd w:val="0"/>
              <w:spacing w:line="360" w:lineRule="auto"/>
              <w:jc w:val="center"/>
              <w:rPr>
                <w:rFonts w:ascii="仿宋_GB2312" w:hAnsi="宋体" w:eastAsia="仿宋_GB2312" w:cs="宋体"/>
                <w:b/>
                <w:color w:val="000000" w:themeColor="text1"/>
                <w:sz w:val="28"/>
                <w:highlight w:val="none"/>
                <w14:textFill>
                  <w14:solidFill>
                    <w14:schemeClr w14:val="tx1"/>
                  </w14:solidFill>
                </w14:textFill>
              </w:rPr>
            </w:pPr>
            <w:r>
              <w:rPr>
                <w:rFonts w:hint="eastAsia" w:ascii="仿宋_GB2312" w:hAnsi="宋体" w:eastAsia="仿宋_GB2312" w:cs="宋体"/>
                <w:b/>
                <w:color w:val="000000" w:themeColor="text1"/>
                <w:sz w:val="28"/>
                <w:highlight w:val="none"/>
                <w14:textFill>
                  <w14:solidFill>
                    <w14:schemeClr w14:val="tx1"/>
                  </w14:solidFill>
                </w14:textFill>
              </w:rPr>
              <w:t>包预算金额</w:t>
            </w:r>
            <w:r>
              <w:rPr>
                <w:rFonts w:hint="eastAsia" w:ascii="仿宋_GB2312" w:hAnsi="宋体" w:eastAsia="仿宋_GB2312" w:cs="宋体"/>
                <w:b/>
                <w:color w:val="000000" w:themeColor="text1"/>
                <w:sz w:val="28"/>
                <w:highlight w:val="none"/>
                <w14:textFill>
                  <w14:solidFill>
                    <w14:schemeClr w14:val="tx1"/>
                  </w14:solidFill>
                </w14:textFill>
              </w:rPr>
              <w:br w:type="textWrapping"/>
            </w:r>
            <w:r>
              <w:rPr>
                <w:rFonts w:hint="eastAsia" w:ascii="仿宋_GB2312" w:hAnsi="宋体" w:eastAsia="仿宋_GB2312" w:cs="宋体"/>
                <w:b/>
                <w:color w:val="000000" w:themeColor="text1"/>
                <w:sz w:val="28"/>
                <w:highlight w:val="none"/>
                <w14:textFill>
                  <w14:solidFill>
                    <w14:schemeClr w14:val="tx1"/>
                  </w14:solidFill>
                </w14:textFill>
              </w:rPr>
              <w:t>（元）</w:t>
            </w:r>
          </w:p>
        </w:tc>
        <w:tc>
          <w:tcPr>
            <w:tcW w:w="1701" w:type="dxa"/>
            <w:vAlign w:val="center"/>
          </w:tcPr>
          <w:p w14:paraId="1B98A1BE">
            <w:pPr>
              <w:widowControl/>
              <w:adjustRightInd w:val="0"/>
              <w:spacing w:line="360" w:lineRule="auto"/>
              <w:jc w:val="center"/>
              <w:rPr>
                <w:rFonts w:ascii="仿宋_GB2312" w:hAnsi="宋体" w:eastAsia="仿宋_GB2312" w:cs="宋体"/>
                <w:b/>
                <w:color w:val="000000" w:themeColor="text1"/>
                <w:sz w:val="28"/>
                <w:highlight w:val="none"/>
                <w14:textFill>
                  <w14:solidFill>
                    <w14:schemeClr w14:val="tx1"/>
                  </w14:solidFill>
                </w14:textFill>
              </w:rPr>
            </w:pPr>
            <w:r>
              <w:rPr>
                <w:rFonts w:hint="eastAsia" w:ascii="仿宋_GB2312" w:hAnsi="宋体" w:eastAsia="仿宋_GB2312" w:cs="宋体"/>
                <w:b/>
                <w:color w:val="000000" w:themeColor="text1"/>
                <w:sz w:val="28"/>
                <w:highlight w:val="none"/>
                <w14:textFill>
                  <w14:solidFill>
                    <w14:schemeClr w14:val="tx1"/>
                  </w14:solidFill>
                </w14:textFill>
              </w:rPr>
              <w:t>最高限价</w:t>
            </w:r>
          </w:p>
          <w:p w14:paraId="1A8C236F">
            <w:pPr>
              <w:widowControl/>
              <w:adjustRightInd w:val="0"/>
              <w:spacing w:line="360" w:lineRule="auto"/>
              <w:jc w:val="center"/>
              <w:rPr>
                <w:rFonts w:ascii="仿宋_GB2312" w:hAnsi="宋体" w:eastAsia="仿宋_GB2312" w:cs="宋体"/>
                <w:b/>
                <w:color w:val="000000" w:themeColor="text1"/>
                <w:sz w:val="28"/>
                <w:highlight w:val="none"/>
                <w14:textFill>
                  <w14:solidFill>
                    <w14:schemeClr w14:val="tx1"/>
                  </w14:solidFill>
                </w14:textFill>
              </w:rPr>
            </w:pPr>
            <w:r>
              <w:rPr>
                <w:rFonts w:hint="eastAsia" w:ascii="仿宋_GB2312" w:hAnsi="宋体" w:eastAsia="仿宋_GB2312" w:cs="宋体"/>
                <w:b/>
                <w:color w:val="000000" w:themeColor="text1"/>
                <w:sz w:val="28"/>
                <w:highlight w:val="none"/>
                <w14:textFill>
                  <w14:solidFill>
                    <w14:schemeClr w14:val="tx1"/>
                  </w14:solidFill>
                </w14:textFill>
              </w:rPr>
              <w:t>（元）</w:t>
            </w:r>
          </w:p>
        </w:tc>
        <w:tc>
          <w:tcPr>
            <w:tcW w:w="1417" w:type="dxa"/>
            <w:vAlign w:val="center"/>
          </w:tcPr>
          <w:p w14:paraId="0B682308">
            <w:pPr>
              <w:widowControl/>
              <w:adjustRightInd w:val="0"/>
              <w:spacing w:line="360" w:lineRule="auto"/>
              <w:jc w:val="center"/>
              <w:rPr>
                <w:rFonts w:ascii="仿宋_GB2312" w:hAnsi="宋体" w:eastAsia="仿宋_GB2312" w:cs="宋体"/>
                <w:b/>
                <w:color w:val="000000" w:themeColor="text1"/>
                <w:sz w:val="28"/>
                <w:highlight w:val="none"/>
                <w14:textFill>
                  <w14:solidFill>
                    <w14:schemeClr w14:val="tx1"/>
                  </w14:solidFill>
                </w14:textFill>
              </w:rPr>
            </w:pPr>
            <w:r>
              <w:rPr>
                <w:rFonts w:hint="eastAsia" w:ascii="仿宋_GB2312" w:hAnsi="宋体" w:eastAsia="仿宋_GB2312" w:cs="宋体"/>
                <w:b/>
                <w:color w:val="000000" w:themeColor="text1"/>
                <w:sz w:val="28"/>
                <w:highlight w:val="none"/>
                <w14:textFill>
                  <w14:solidFill>
                    <w14:schemeClr w14:val="tx1"/>
                  </w14:solidFill>
                </w14:textFill>
              </w:rPr>
              <w:t>采购需求</w:t>
            </w:r>
          </w:p>
        </w:tc>
        <w:tc>
          <w:tcPr>
            <w:tcW w:w="1349" w:type="dxa"/>
            <w:vAlign w:val="center"/>
          </w:tcPr>
          <w:p w14:paraId="0B07BDA4">
            <w:pPr>
              <w:widowControl/>
              <w:adjustRightInd w:val="0"/>
              <w:spacing w:line="360" w:lineRule="auto"/>
              <w:jc w:val="center"/>
              <w:rPr>
                <w:rFonts w:ascii="仿宋_GB2312" w:hAnsi="宋体" w:eastAsia="仿宋_GB2312" w:cs="宋体"/>
                <w:b/>
                <w:color w:val="000000" w:themeColor="text1"/>
                <w:sz w:val="28"/>
                <w:highlight w:val="none"/>
                <w14:textFill>
                  <w14:solidFill>
                    <w14:schemeClr w14:val="tx1"/>
                  </w14:solidFill>
                </w14:textFill>
              </w:rPr>
            </w:pPr>
            <w:r>
              <w:rPr>
                <w:rFonts w:hint="eastAsia" w:ascii="仿宋_GB2312" w:hAnsi="宋体" w:eastAsia="仿宋_GB2312" w:cs="宋体"/>
                <w:b/>
                <w:color w:val="000000" w:themeColor="text1"/>
                <w:sz w:val="28"/>
                <w:highlight w:val="none"/>
                <w14:textFill>
                  <w14:solidFill>
                    <w14:schemeClr w14:val="tx1"/>
                  </w14:solidFill>
                </w14:textFill>
              </w:rPr>
              <w:t>合同履行期限</w:t>
            </w:r>
          </w:p>
        </w:tc>
      </w:tr>
      <w:tr w14:paraId="6E492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3" w:hRule="atLeast"/>
        </w:trPr>
        <w:tc>
          <w:tcPr>
            <w:tcW w:w="830" w:type="dxa"/>
            <w:vAlign w:val="center"/>
          </w:tcPr>
          <w:p w14:paraId="0CE1A026">
            <w:pPr>
              <w:jc w:val="center"/>
              <w:rPr>
                <w:rFonts w:ascii="仿宋_GB2312" w:hAnsi="宋体" w:eastAsia="仿宋_GB2312" w:cs="宋体"/>
                <w:color w:val="000000" w:themeColor="text1"/>
                <w:sz w:val="24"/>
                <w:highlight w:val="none"/>
                <w14:textFill>
                  <w14:solidFill>
                    <w14:schemeClr w14:val="tx1"/>
                  </w14:solidFill>
                </w14:textFill>
              </w:rPr>
            </w:pPr>
            <w:bookmarkStart w:id="2" w:name="_Hlk223703000"/>
            <w:bookmarkStart w:id="3" w:name="_Hlk223688335"/>
            <w:r>
              <w:rPr>
                <w:rFonts w:hint="eastAsia" w:ascii="仿宋_GB2312" w:hAnsi="宋体" w:eastAsia="仿宋_GB2312" w:cs="宋体"/>
                <w:color w:val="000000" w:themeColor="text1"/>
                <w:sz w:val="24"/>
                <w:highlight w:val="none"/>
                <w14:textFill>
                  <w14:solidFill>
                    <w14:schemeClr w14:val="tx1"/>
                  </w14:solidFill>
                </w14:textFill>
              </w:rPr>
              <w:t>001</w:t>
            </w:r>
          </w:p>
        </w:tc>
        <w:tc>
          <w:tcPr>
            <w:tcW w:w="2113" w:type="dxa"/>
            <w:vAlign w:val="center"/>
          </w:tcPr>
          <w:p w14:paraId="4B066445">
            <w:pPr>
              <w:jc w:val="center"/>
              <w:rPr>
                <w:rFonts w:ascii="仿宋_GB2312" w:hAnsi="宋体" w:eastAsia="仿宋_GB2312" w:cs="宋体"/>
                <w:color w:val="000000" w:themeColor="text1"/>
                <w:sz w:val="24"/>
                <w:highlight w:val="none"/>
                <w14:textFill>
                  <w14:solidFill>
                    <w14:schemeClr w14:val="tx1"/>
                  </w14:solidFill>
                </w14:textFill>
              </w:rPr>
            </w:pPr>
            <w:r>
              <w:rPr>
                <w:rFonts w:hint="eastAsia" w:ascii="仿宋_GB2312" w:hAnsi="宋体" w:eastAsia="仿宋_GB2312" w:cs="宋体"/>
                <w:color w:val="000000" w:themeColor="text1"/>
                <w:sz w:val="24"/>
                <w:highlight w:val="none"/>
                <w:lang w:val="en-US" w:eastAsia="zh-CN"/>
                <w14:textFill>
                  <w14:solidFill>
                    <w14:schemeClr w14:val="tx1"/>
                  </w14:solidFill>
                </w14:textFill>
              </w:rPr>
              <w:t>荣成市城市数智化转型与数字生态建设</w:t>
            </w:r>
          </w:p>
        </w:tc>
        <w:tc>
          <w:tcPr>
            <w:tcW w:w="851" w:type="dxa"/>
            <w:vAlign w:val="center"/>
          </w:tcPr>
          <w:p w14:paraId="11B4982B">
            <w:pPr>
              <w:jc w:val="center"/>
              <w:rPr>
                <w:rFonts w:ascii="仿宋_GB2312" w:hAnsi="宋体" w:eastAsia="仿宋_GB2312" w:cs="宋体"/>
                <w:color w:val="000000" w:themeColor="text1"/>
                <w:sz w:val="24"/>
                <w:highlight w:val="none"/>
                <w14:textFill>
                  <w14:solidFill>
                    <w14:schemeClr w14:val="tx1"/>
                  </w14:solidFill>
                </w14:textFill>
              </w:rPr>
            </w:pPr>
            <w:r>
              <w:rPr>
                <w:rFonts w:hint="eastAsia" w:ascii="仿宋_GB2312" w:hAnsi="宋体" w:eastAsia="仿宋_GB2312" w:cs="宋体"/>
                <w:color w:val="000000" w:themeColor="text1"/>
                <w:sz w:val="24"/>
                <w:highlight w:val="none"/>
                <w14:textFill>
                  <w14:solidFill>
                    <w14:schemeClr w14:val="tx1"/>
                  </w14:solidFill>
                </w14:textFill>
              </w:rPr>
              <w:t>1宗</w:t>
            </w:r>
          </w:p>
        </w:tc>
        <w:tc>
          <w:tcPr>
            <w:tcW w:w="1701" w:type="dxa"/>
            <w:vAlign w:val="center"/>
          </w:tcPr>
          <w:p w14:paraId="396A412A">
            <w:pPr>
              <w:widowControl/>
              <w:jc w:val="center"/>
              <w:textAlignment w:val="center"/>
              <w:rPr>
                <w:rFonts w:hint="default" w:ascii="Calibri" w:hAnsi="Calibri" w:eastAsia="宋体" w:cs="Calibri"/>
                <w:color w:val="000000" w:themeColor="text1"/>
                <w:sz w:val="20"/>
                <w:szCs w:val="20"/>
                <w:highlight w:val="none"/>
                <w:lang w:val="en-US" w:eastAsia="zh-CN"/>
                <w14:textFill>
                  <w14:solidFill>
                    <w14:schemeClr w14:val="tx1"/>
                  </w14:solidFill>
                </w14:textFill>
              </w:rPr>
            </w:pPr>
            <w:r>
              <w:rPr>
                <w:rFonts w:hint="eastAsia" w:ascii="仿宋_GB2312" w:hAnsi="宋体" w:eastAsia="仿宋_GB2312" w:cs="宋体"/>
                <w:color w:val="000000" w:themeColor="text1"/>
                <w:sz w:val="24"/>
                <w:highlight w:val="none"/>
                <w:lang w:val="en-US" w:eastAsia="zh-CN"/>
                <w14:textFill>
                  <w14:solidFill>
                    <w14:schemeClr w14:val="tx1"/>
                  </w14:solidFill>
                </w14:textFill>
              </w:rPr>
              <w:t>650000000.00</w:t>
            </w:r>
          </w:p>
        </w:tc>
        <w:tc>
          <w:tcPr>
            <w:tcW w:w="1701" w:type="dxa"/>
            <w:vAlign w:val="center"/>
          </w:tcPr>
          <w:p w14:paraId="1FAB0D3D">
            <w:pPr>
              <w:widowControl/>
              <w:jc w:val="center"/>
              <w:textAlignment w:val="center"/>
              <w:rPr>
                <w:rFonts w:ascii="Calibri" w:hAnsi="Calibri" w:cs="Calibri"/>
                <w:color w:val="000000" w:themeColor="text1"/>
                <w:sz w:val="20"/>
                <w:szCs w:val="20"/>
                <w:highlight w:val="none"/>
                <w14:textFill>
                  <w14:solidFill>
                    <w14:schemeClr w14:val="tx1"/>
                  </w14:solidFill>
                </w14:textFill>
              </w:rPr>
            </w:pPr>
            <w:r>
              <w:rPr>
                <w:rFonts w:hint="eastAsia" w:ascii="仿宋_GB2312" w:hAnsi="宋体" w:eastAsia="仿宋_GB2312" w:cs="宋体"/>
                <w:color w:val="000000" w:themeColor="text1"/>
                <w:sz w:val="24"/>
                <w:highlight w:val="none"/>
                <w:lang w:val="en-US" w:eastAsia="zh-CN"/>
                <w14:textFill>
                  <w14:solidFill>
                    <w14:schemeClr w14:val="tx1"/>
                  </w14:solidFill>
                </w14:textFill>
              </w:rPr>
              <w:t>650000000.00</w:t>
            </w:r>
          </w:p>
        </w:tc>
        <w:tc>
          <w:tcPr>
            <w:tcW w:w="1417" w:type="dxa"/>
            <w:vAlign w:val="center"/>
          </w:tcPr>
          <w:p w14:paraId="5B02DE59">
            <w:pPr>
              <w:widowControl/>
              <w:adjustRightInd w:val="0"/>
              <w:spacing w:line="360" w:lineRule="auto"/>
              <w:jc w:val="center"/>
              <w:rPr>
                <w:rFonts w:ascii="仿宋_GB2312" w:hAnsi="宋体" w:eastAsia="仿宋_GB2312" w:cs="宋体"/>
                <w:color w:val="000000" w:themeColor="text1"/>
                <w:sz w:val="24"/>
                <w:highlight w:val="none"/>
                <w14:textFill>
                  <w14:solidFill>
                    <w14:schemeClr w14:val="tx1"/>
                  </w14:solidFill>
                </w14:textFill>
              </w:rPr>
            </w:pPr>
            <w:r>
              <w:rPr>
                <w:rFonts w:hint="eastAsia" w:ascii="仿宋_GB2312" w:hAnsi="宋体" w:eastAsia="仿宋_GB2312" w:cs="宋体"/>
                <w:color w:val="000000" w:themeColor="text1"/>
                <w:sz w:val="24"/>
                <w:highlight w:val="none"/>
                <w14:textFill>
                  <w14:solidFill>
                    <w14:schemeClr w14:val="tx1"/>
                  </w14:solidFill>
                </w14:textFill>
              </w:rPr>
              <w:t>详见</w:t>
            </w:r>
            <w:r>
              <w:rPr>
                <w:rFonts w:hint="eastAsia" w:ascii="仿宋_GB2312" w:hAnsi="宋体" w:eastAsia="仿宋_GB2312" w:cs="宋体"/>
                <w:color w:val="000000" w:themeColor="text1"/>
                <w:sz w:val="24"/>
                <w:highlight w:val="none"/>
                <w14:textFill>
                  <w14:solidFill>
                    <w14:schemeClr w14:val="tx1"/>
                  </w14:solidFill>
                </w14:textFill>
              </w:rPr>
              <w:br w:type="textWrapping"/>
            </w:r>
            <w:r>
              <w:rPr>
                <w:rFonts w:hint="eastAsia" w:ascii="仿宋_GB2312" w:hAnsi="宋体" w:eastAsia="仿宋_GB2312" w:cs="宋体"/>
                <w:color w:val="000000" w:themeColor="text1"/>
                <w:sz w:val="24"/>
                <w:highlight w:val="none"/>
                <w14:textFill>
                  <w14:solidFill>
                    <w14:schemeClr w14:val="tx1"/>
                  </w14:solidFill>
                </w14:textFill>
              </w:rPr>
              <w:t>招标文件</w:t>
            </w:r>
          </w:p>
        </w:tc>
        <w:tc>
          <w:tcPr>
            <w:tcW w:w="1349" w:type="dxa"/>
            <w:vAlign w:val="center"/>
          </w:tcPr>
          <w:p w14:paraId="45B801A2">
            <w:pPr>
              <w:widowControl/>
              <w:adjustRightInd w:val="0"/>
              <w:spacing w:line="360" w:lineRule="auto"/>
              <w:jc w:val="center"/>
              <w:rPr>
                <w:rFonts w:ascii="仿宋_GB2312" w:hAnsi="宋体" w:eastAsia="仿宋_GB2312" w:cs="宋体"/>
                <w:color w:val="000000" w:themeColor="text1"/>
                <w:sz w:val="24"/>
                <w:highlight w:val="none"/>
                <w14:textFill>
                  <w14:solidFill>
                    <w14:schemeClr w14:val="tx1"/>
                  </w14:solidFill>
                </w14:textFill>
              </w:rPr>
            </w:pPr>
            <w:r>
              <w:rPr>
                <w:rFonts w:hint="eastAsia" w:ascii="仿宋_GB2312" w:hAnsi="宋体" w:eastAsia="仿宋_GB2312" w:cs="宋体"/>
                <w:color w:val="000000" w:themeColor="text1"/>
                <w:sz w:val="24"/>
                <w:highlight w:val="none"/>
                <w14:textFill>
                  <w14:solidFill>
                    <w14:schemeClr w14:val="tx1"/>
                  </w14:solidFill>
                </w14:textFill>
              </w:rPr>
              <w:t>详见</w:t>
            </w:r>
            <w:r>
              <w:rPr>
                <w:rFonts w:hint="eastAsia" w:ascii="仿宋_GB2312" w:hAnsi="宋体" w:eastAsia="仿宋_GB2312" w:cs="宋体"/>
                <w:color w:val="000000" w:themeColor="text1"/>
                <w:sz w:val="24"/>
                <w:highlight w:val="none"/>
                <w14:textFill>
                  <w14:solidFill>
                    <w14:schemeClr w14:val="tx1"/>
                  </w14:solidFill>
                </w14:textFill>
              </w:rPr>
              <w:br w:type="textWrapping"/>
            </w:r>
            <w:r>
              <w:rPr>
                <w:rFonts w:hint="eastAsia" w:ascii="仿宋_GB2312" w:hAnsi="宋体" w:eastAsia="仿宋_GB2312" w:cs="宋体"/>
                <w:color w:val="000000" w:themeColor="text1"/>
                <w:sz w:val="24"/>
                <w:highlight w:val="none"/>
                <w14:textFill>
                  <w14:solidFill>
                    <w14:schemeClr w14:val="tx1"/>
                  </w14:solidFill>
                </w14:textFill>
              </w:rPr>
              <w:t>招标文件</w:t>
            </w:r>
          </w:p>
        </w:tc>
      </w:tr>
      <w:bookmarkEnd w:id="2"/>
      <w:bookmarkEnd w:id="3"/>
    </w:tbl>
    <w:p w14:paraId="280715AD">
      <w:pPr>
        <w:widowControl/>
        <w:shd w:val="clear" w:color="auto" w:fill="FFFFFF"/>
        <w:spacing w:line="360" w:lineRule="auto"/>
        <w:ind w:firstLine="592" w:firstLineChars="200"/>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本项目不接受联合体投标。</w:t>
      </w:r>
    </w:p>
    <w:p w14:paraId="752AB938">
      <w:pPr>
        <w:spacing w:line="360" w:lineRule="auto"/>
        <w:ind w:firstLine="560" w:firstLineChars="200"/>
        <w:rPr>
          <w:rFonts w:ascii="黑体" w:hAnsi="黑体" w:eastAsia="黑体" w:cs="宋体"/>
          <w:color w:val="000000" w:themeColor="text1"/>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二、申请人的资格要求：</w:t>
      </w:r>
    </w:p>
    <w:p w14:paraId="4AD09A2C">
      <w:pPr>
        <w:widowControl/>
        <w:shd w:val="clear" w:color="auto" w:fill="FFFFFF"/>
        <w:spacing w:line="360" w:lineRule="auto"/>
        <w:ind w:firstLine="592" w:firstLineChars="200"/>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1.具有独立承担民事责任的能力；</w:t>
      </w:r>
    </w:p>
    <w:p w14:paraId="4AB9ABD0">
      <w:pPr>
        <w:pStyle w:val="13"/>
        <w:ind w:firstLine="565" w:firstLineChars="191"/>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2.具有良好的商业信誉和健全的财务会计制度；</w:t>
      </w:r>
    </w:p>
    <w:p w14:paraId="2D3A711B">
      <w:pPr>
        <w:widowControl/>
        <w:shd w:val="clear" w:color="auto" w:fill="FFFFFF"/>
        <w:spacing w:line="360" w:lineRule="auto"/>
        <w:ind w:firstLine="592" w:firstLineChars="200"/>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3.具有履行合同所必须设备和专业技术能力，并能提供优质的服务；</w:t>
      </w:r>
    </w:p>
    <w:p w14:paraId="550C606C">
      <w:pPr>
        <w:widowControl/>
        <w:shd w:val="clear" w:color="auto" w:fill="FFFFFF"/>
        <w:spacing w:line="360" w:lineRule="auto"/>
        <w:ind w:firstLine="592" w:firstLineChars="200"/>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4.具有依法缴纳税收和社会保障资金的良好记录；</w:t>
      </w:r>
    </w:p>
    <w:p w14:paraId="5754B979">
      <w:pPr>
        <w:widowControl/>
        <w:shd w:val="clear" w:color="auto" w:fill="FFFFFF"/>
        <w:spacing w:line="360" w:lineRule="auto"/>
        <w:ind w:firstLine="592" w:firstLineChars="200"/>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5.参加本次采购活动前三年内，在经营活动中没有重大违法记录；</w:t>
      </w:r>
    </w:p>
    <w:p w14:paraId="2EA92106">
      <w:pPr>
        <w:widowControl/>
        <w:shd w:val="clear" w:color="auto" w:fill="FFFFFF"/>
        <w:spacing w:line="360" w:lineRule="auto"/>
        <w:ind w:firstLine="592" w:firstLineChars="200"/>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6.法律、行政法规及招标文件规定的其他要求。</w:t>
      </w:r>
    </w:p>
    <w:p w14:paraId="371BCDA0">
      <w:pPr>
        <w:widowControl/>
        <w:shd w:val="clear" w:color="auto" w:fill="FFFFFF"/>
        <w:spacing w:line="360" w:lineRule="auto"/>
        <w:ind w:firstLine="592" w:firstLineChars="200"/>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7</w:t>
      </w:r>
      <w:r>
        <w:rPr>
          <w:rFonts w:ascii="仿宋_GB2312" w:hAnsi="仿宋" w:eastAsia="仿宋_GB2312" w:cs="宋体"/>
          <w:color w:val="000000" w:themeColor="text1"/>
          <w:spacing w:val="8"/>
          <w:sz w:val="28"/>
          <w:szCs w:val="28"/>
          <w:highlight w:val="none"/>
          <w14:textFill>
            <w14:solidFill>
              <w14:schemeClr w14:val="tx1"/>
            </w14:solidFill>
          </w14:textFill>
        </w:rPr>
        <w:t>.</w:t>
      </w:r>
      <w:r>
        <w:rPr>
          <w:rFonts w:hint="eastAsia" w:ascii="仿宋_GB2312" w:hAnsi="仿宋" w:eastAsia="仿宋_GB2312" w:cs="宋体"/>
          <w:color w:val="000000" w:themeColor="text1"/>
          <w:spacing w:val="8"/>
          <w:sz w:val="28"/>
          <w:szCs w:val="28"/>
          <w:highlight w:val="none"/>
          <w14:textFill>
            <w14:solidFill>
              <w14:schemeClr w14:val="tx1"/>
            </w14:solidFill>
          </w14:textFill>
        </w:rPr>
        <w:t>本项目不接受联合体投标。</w:t>
      </w:r>
    </w:p>
    <w:p w14:paraId="22FF82C6">
      <w:pPr>
        <w:spacing w:line="360" w:lineRule="auto"/>
        <w:ind w:firstLine="560" w:firstLineChars="200"/>
        <w:rPr>
          <w:rFonts w:ascii="黑体" w:hAnsi="黑体" w:eastAsia="黑体" w:cs="宋体"/>
          <w:color w:val="000000" w:themeColor="text1"/>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三、获取招标文件</w:t>
      </w:r>
    </w:p>
    <w:p w14:paraId="38385542">
      <w:pPr>
        <w:widowControl/>
        <w:shd w:val="clear" w:color="auto" w:fill="FFFFFF"/>
        <w:spacing w:line="360" w:lineRule="auto"/>
        <w:ind w:firstLine="539"/>
        <w:rPr>
          <w:rFonts w:ascii="仿宋_GB2312" w:hAnsi="黑体" w:eastAsia="仿宋_GB2312" w:cs="宋体"/>
          <w:color w:val="000000" w:themeColor="text1"/>
          <w:spacing w:val="8"/>
          <w:sz w:val="28"/>
          <w:szCs w:val="28"/>
          <w:highlight w:val="none"/>
          <w14:textFill>
            <w14:solidFill>
              <w14:schemeClr w14:val="tx1"/>
            </w14:solidFill>
          </w14:textFill>
        </w:rPr>
      </w:pPr>
      <w:r>
        <w:rPr>
          <w:rFonts w:hint="eastAsia" w:ascii="仿宋_GB2312" w:hAnsi="黑体" w:eastAsia="仿宋_GB2312" w:cs="宋体"/>
          <w:color w:val="000000" w:themeColor="text1"/>
          <w:spacing w:val="8"/>
          <w:sz w:val="28"/>
          <w:szCs w:val="28"/>
          <w:highlight w:val="none"/>
          <w14:textFill>
            <w14:solidFill>
              <w14:schemeClr w14:val="tx1"/>
            </w14:solidFill>
          </w14:textFill>
        </w:rPr>
        <w:t>1.时间：2026年</w:t>
      </w:r>
      <w:r>
        <w:rPr>
          <w:rFonts w:hint="eastAsia" w:ascii="仿宋_GB2312" w:hAnsi="黑体" w:eastAsia="仿宋_GB2312" w:cs="宋体"/>
          <w:color w:val="000000" w:themeColor="text1"/>
          <w:spacing w:val="8"/>
          <w:sz w:val="28"/>
          <w:szCs w:val="28"/>
          <w:highlight w:val="none"/>
          <w:lang w:val="en-US" w:eastAsia="zh-CN"/>
          <w14:textFill>
            <w14:solidFill>
              <w14:schemeClr w14:val="tx1"/>
            </w14:solidFill>
          </w14:textFill>
        </w:rPr>
        <w:t>06</w:t>
      </w:r>
      <w:r>
        <w:rPr>
          <w:rFonts w:hint="eastAsia" w:ascii="仿宋_GB2312" w:hAnsi="黑体" w:eastAsia="仿宋_GB2312" w:cs="宋体"/>
          <w:color w:val="000000" w:themeColor="text1"/>
          <w:spacing w:val="8"/>
          <w:sz w:val="28"/>
          <w:szCs w:val="28"/>
          <w:highlight w:val="none"/>
          <w14:textFill>
            <w14:solidFill>
              <w14:schemeClr w14:val="tx1"/>
            </w14:solidFill>
          </w14:textFill>
        </w:rPr>
        <w:t>月</w:t>
      </w:r>
      <w:r>
        <w:rPr>
          <w:rFonts w:hint="eastAsia" w:ascii="仿宋_GB2312" w:hAnsi="黑体" w:eastAsia="仿宋_GB2312" w:cs="宋体"/>
          <w:color w:val="000000" w:themeColor="text1"/>
          <w:spacing w:val="8"/>
          <w:sz w:val="28"/>
          <w:szCs w:val="28"/>
          <w:highlight w:val="none"/>
          <w:lang w:val="en-US" w:eastAsia="zh-CN"/>
          <w14:textFill>
            <w14:solidFill>
              <w14:schemeClr w14:val="tx1"/>
            </w14:solidFill>
          </w14:textFill>
        </w:rPr>
        <w:t>26</w:t>
      </w:r>
      <w:r>
        <w:rPr>
          <w:rFonts w:hint="eastAsia" w:ascii="仿宋_GB2312" w:hAnsi="黑体" w:eastAsia="仿宋_GB2312" w:cs="宋体"/>
          <w:color w:val="000000" w:themeColor="text1"/>
          <w:spacing w:val="8"/>
          <w:sz w:val="28"/>
          <w:szCs w:val="28"/>
          <w:highlight w:val="none"/>
          <w14:textFill>
            <w14:solidFill>
              <w14:schemeClr w14:val="tx1"/>
            </w14:solidFill>
          </w14:textFill>
        </w:rPr>
        <w:t xml:space="preserve">日 </w:t>
      </w:r>
      <w:r>
        <w:rPr>
          <w:rFonts w:hint="eastAsia" w:ascii="仿宋_GB2312" w:hAnsi="黑体" w:eastAsia="仿宋_GB2312" w:cs="宋体"/>
          <w:color w:val="000000" w:themeColor="text1"/>
          <w:spacing w:val="8"/>
          <w:sz w:val="28"/>
          <w:szCs w:val="28"/>
          <w:highlight w:val="none"/>
          <w:lang w:val="en-US" w:eastAsia="zh-CN"/>
          <w14:textFill>
            <w14:solidFill>
              <w14:schemeClr w14:val="tx1"/>
            </w14:solidFill>
          </w14:textFill>
        </w:rPr>
        <w:t>17</w:t>
      </w:r>
      <w:r>
        <w:rPr>
          <w:rFonts w:hint="eastAsia" w:ascii="仿宋_GB2312" w:hAnsi="黑体" w:eastAsia="仿宋_GB2312" w:cs="宋体"/>
          <w:color w:val="000000" w:themeColor="text1"/>
          <w:spacing w:val="8"/>
          <w:sz w:val="28"/>
          <w:szCs w:val="28"/>
          <w:highlight w:val="none"/>
          <w14:textFill>
            <w14:solidFill>
              <w14:schemeClr w14:val="tx1"/>
            </w14:solidFill>
          </w14:textFill>
        </w:rPr>
        <w:t>:30:00至2026年</w:t>
      </w:r>
      <w:r>
        <w:rPr>
          <w:rFonts w:hint="eastAsia" w:ascii="仿宋_GB2312" w:hAnsi="黑体" w:eastAsia="仿宋_GB2312" w:cs="宋体"/>
          <w:color w:val="000000" w:themeColor="text1"/>
          <w:spacing w:val="8"/>
          <w:sz w:val="28"/>
          <w:szCs w:val="28"/>
          <w:highlight w:val="none"/>
          <w:lang w:val="en-US" w:eastAsia="zh-CN"/>
          <w14:textFill>
            <w14:solidFill>
              <w14:schemeClr w14:val="tx1"/>
            </w14:solidFill>
          </w14:textFill>
        </w:rPr>
        <w:t>07</w:t>
      </w:r>
      <w:r>
        <w:rPr>
          <w:rFonts w:hint="eastAsia" w:ascii="仿宋_GB2312" w:hAnsi="黑体" w:eastAsia="仿宋_GB2312" w:cs="宋体"/>
          <w:color w:val="000000" w:themeColor="text1"/>
          <w:spacing w:val="8"/>
          <w:sz w:val="28"/>
          <w:szCs w:val="28"/>
          <w:highlight w:val="none"/>
          <w14:textFill>
            <w14:solidFill>
              <w14:schemeClr w14:val="tx1"/>
            </w14:solidFill>
          </w14:textFill>
        </w:rPr>
        <w:t>月</w:t>
      </w:r>
      <w:r>
        <w:rPr>
          <w:rFonts w:hint="eastAsia" w:ascii="仿宋_GB2312" w:hAnsi="黑体" w:eastAsia="仿宋_GB2312" w:cs="宋体"/>
          <w:color w:val="000000" w:themeColor="text1"/>
          <w:spacing w:val="8"/>
          <w:sz w:val="28"/>
          <w:szCs w:val="28"/>
          <w:highlight w:val="none"/>
          <w:lang w:val="en-US" w:eastAsia="zh-CN"/>
          <w14:textFill>
            <w14:solidFill>
              <w14:schemeClr w14:val="tx1"/>
            </w14:solidFill>
          </w14:textFill>
        </w:rPr>
        <w:t>01</w:t>
      </w:r>
      <w:r>
        <w:rPr>
          <w:rFonts w:hint="eastAsia" w:ascii="仿宋_GB2312" w:hAnsi="黑体" w:eastAsia="仿宋_GB2312" w:cs="宋体"/>
          <w:color w:val="000000" w:themeColor="text1"/>
          <w:spacing w:val="8"/>
          <w:sz w:val="28"/>
          <w:szCs w:val="28"/>
          <w:highlight w:val="none"/>
          <w14:textFill>
            <w14:solidFill>
              <w14:schemeClr w14:val="tx1"/>
            </w14:solidFill>
          </w14:textFill>
        </w:rPr>
        <w:t>日17:</w:t>
      </w:r>
      <w:r>
        <w:rPr>
          <w:rFonts w:hint="eastAsia" w:ascii="仿宋_GB2312" w:hAnsi="黑体" w:eastAsia="仿宋_GB2312" w:cs="宋体"/>
          <w:color w:val="000000" w:themeColor="text1"/>
          <w:spacing w:val="8"/>
          <w:sz w:val="28"/>
          <w:szCs w:val="28"/>
          <w:highlight w:val="none"/>
          <w:lang w:val="en-US" w:eastAsia="zh-CN"/>
          <w14:textFill>
            <w14:solidFill>
              <w14:schemeClr w14:val="tx1"/>
            </w14:solidFill>
          </w14:textFill>
        </w:rPr>
        <w:t>30</w:t>
      </w:r>
      <w:r>
        <w:rPr>
          <w:rFonts w:hint="eastAsia" w:ascii="仿宋_GB2312" w:hAnsi="黑体" w:eastAsia="仿宋_GB2312" w:cs="宋体"/>
          <w:color w:val="000000" w:themeColor="text1"/>
          <w:spacing w:val="8"/>
          <w:sz w:val="28"/>
          <w:szCs w:val="28"/>
          <w:highlight w:val="none"/>
          <w14:textFill>
            <w14:solidFill>
              <w14:schemeClr w14:val="tx1"/>
            </w14:solidFill>
          </w14:textFill>
        </w:rPr>
        <w:t>:00（北京时间）</w:t>
      </w:r>
    </w:p>
    <w:p w14:paraId="342F5E3E">
      <w:pPr>
        <w:widowControl/>
        <w:shd w:val="clear" w:color="auto" w:fill="FFFFFF"/>
        <w:spacing w:line="360" w:lineRule="auto"/>
        <w:ind w:firstLine="539"/>
        <w:rPr>
          <w:rFonts w:ascii="仿宋_GB2312" w:hAnsi="黑体" w:eastAsia="仿宋_GB2312" w:cs="宋体"/>
          <w:color w:val="000000" w:themeColor="text1"/>
          <w:spacing w:val="8"/>
          <w:sz w:val="28"/>
          <w:szCs w:val="28"/>
          <w:highlight w:val="none"/>
          <w14:textFill>
            <w14:solidFill>
              <w14:schemeClr w14:val="tx1"/>
            </w14:solidFill>
          </w14:textFill>
        </w:rPr>
      </w:pPr>
      <w:r>
        <w:rPr>
          <w:rFonts w:hint="eastAsia" w:ascii="仿宋_GB2312" w:hAnsi="黑体" w:eastAsia="仿宋_GB2312" w:cs="宋体"/>
          <w:color w:val="000000" w:themeColor="text1"/>
          <w:spacing w:val="8"/>
          <w:sz w:val="28"/>
          <w:szCs w:val="28"/>
          <w:highlight w:val="none"/>
          <w14:textFill>
            <w14:solidFill>
              <w14:schemeClr w14:val="tx1"/>
            </w14:solidFill>
          </w14:textFill>
        </w:rPr>
        <w:t>2.地点登录“</w:t>
      </w:r>
      <w:bookmarkStart w:id="4" w:name="OLE_LINK38"/>
      <w:r>
        <w:rPr>
          <w:rFonts w:hint="eastAsia" w:ascii="仿宋_GB2312" w:hAnsi="黑体" w:eastAsia="仿宋_GB2312" w:cs="宋体"/>
          <w:color w:val="000000" w:themeColor="text1"/>
          <w:spacing w:val="8"/>
          <w:sz w:val="28"/>
          <w:szCs w:val="28"/>
          <w:highlight w:val="none"/>
          <w14:textFill>
            <w14:solidFill>
              <w14:schemeClr w14:val="tx1"/>
            </w14:solidFill>
          </w14:textFill>
        </w:rPr>
        <w:t>威海市公共资源交易网（荣成市）</w:t>
      </w:r>
      <w:bookmarkEnd w:id="4"/>
      <w:r>
        <w:rPr>
          <w:rFonts w:hint="eastAsia" w:ascii="仿宋_GB2312" w:hAnsi="黑体" w:eastAsia="仿宋_GB2312" w:cs="宋体"/>
          <w:color w:val="000000" w:themeColor="text1"/>
          <w:spacing w:val="8"/>
          <w:sz w:val="28"/>
          <w:szCs w:val="28"/>
          <w:highlight w:val="none"/>
          <w14:textFill>
            <w14:solidFill>
              <w14:schemeClr w14:val="tx1"/>
            </w14:solidFill>
          </w14:textFill>
        </w:rPr>
        <w:t>”首页右侧“</w:t>
      </w:r>
      <w:bookmarkStart w:id="5" w:name="OLE_LINK40"/>
      <w:bookmarkStart w:id="6" w:name="OLE_LINK39"/>
      <w:r>
        <w:rPr>
          <w:rFonts w:hint="eastAsia" w:ascii="仿宋_GB2312" w:hAnsi="黑体" w:eastAsia="仿宋_GB2312" w:cs="宋体"/>
          <w:color w:val="000000" w:themeColor="text1"/>
          <w:spacing w:val="8"/>
          <w:sz w:val="28"/>
          <w:szCs w:val="28"/>
          <w:highlight w:val="none"/>
          <w14:textFill>
            <w14:solidFill>
              <w14:schemeClr w14:val="tx1"/>
            </w14:solidFill>
          </w14:textFill>
        </w:rPr>
        <w:t>交易服务一网通办系统（新版一网通办系统）</w:t>
      </w:r>
      <w:bookmarkEnd w:id="5"/>
      <w:bookmarkEnd w:id="6"/>
      <w:r>
        <w:rPr>
          <w:rFonts w:hint="eastAsia" w:ascii="仿宋_GB2312" w:hAnsi="黑体" w:eastAsia="仿宋_GB2312" w:cs="宋体"/>
          <w:color w:val="000000" w:themeColor="text1"/>
          <w:spacing w:val="8"/>
          <w:sz w:val="28"/>
          <w:szCs w:val="28"/>
          <w:highlight w:val="none"/>
          <w14:textFill>
            <w14:solidFill>
              <w14:schemeClr w14:val="tx1"/>
            </w14:solidFill>
          </w14:textFill>
        </w:rPr>
        <w:t>”进行“平台切换”点击“国企采购”进入国有企业阳光采购电子化服务平台获取文件。(网址：</w:t>
      </w:r>
      <w:r>
        <w:rPr>
          <w:rFonts w:ascii="仿宋_GB2312" w:hAnsi="黑体" w:eastAsia="仿宋_GB2312" w:cs="宋体"/>
          <w:color w:val="000000" w:themeColor="text1"/>
          <w:spacing w:val="8"/>
          <w:sz w:val="28"/>
          <w:szCs w:val="28"/>
          <w:highlight w:val="none"/>
          <w14:textFill>
            <w14:solidFill>
              <w14:schemeClr w14:val="tx1"/>
            </w14:solidFill>
          </w14:textFill>
        </w:rPr>
        <w:t>http://ggzyjy.weihai.cn/rongcheng/</w:t>
      </w:r>
      <w:r>
        <w:rPr>
          <w:rFonts w:hint="eastAsia" w:ascii="仿宋_GB2312" w:hAnsi="黑体" w:eastAsia="仿宋_GB2312" w:cs="宋体"/>
          <w:color w:val="000000" w:themeColor="text1"/>
          <w:spacing w:val="8"/>
          <w:sz w:val="28"/>
          <w:szCs w:val="28"/>
          <w:highlight w:val="none"/>
          <w14:textFill>
            <w14:solidFill>
              <w14:schemeClr w14:val="tx1"/>
            </w14:solidFill>
          </w14:textFill>
        </w:rPr>
        <w:t>)逾期无法从威海市国有企业阳光采购电子化服务平台中获取文件，未在规定时间内从系统中获取招标文件的投标人将无法递交电子投标文件。交易服务一网通办系统（新版一网通办系统）技术支持电话：</w:t>
      </w:r>
      <w:r>
        <w:rPr>
          <w:rFonts w:ascii="仿宋_GB2312" w:hAnsi="黑体" w:eastAsia="仿宋_GB2312" w:cs="宋体"/>
          <w:color w:val="000000" w:themeColor="text1"/>
          <w:spacing w:val="8"/>
          <w:sz w:val="28"/>
          <w:szCs w:val="28"/>
          <w:highlight w:val="none"/>
          <w14:textFill>
            <w14:solidFill>
              <w14:schemeClr w14:val="tx1"/>
            </w14:solidFill>
          </w14:textFill>
        </w:rPr>
        <w:t>0512-58188535</w:t>
      </w:r>
      <w:r>
        <w:rPr>
          <w:rFonts w:hint="eastAsia" w:ascii="仿宋_GB2312" w:hAnsi="黑体" w:eastAsia="仿宋_GB2312" w:cs="宋体"/>
          <w:color w:val="000000" w:themeColor="text1"/>
          <w:spacing w:val="8"/>
          <w:sz w:val="28"/>
          <w:szCs w:val="28"/>
          <w:highlight w:val="none"/>
          <w14:textFill>
            <w14:solidFill>
              <w14:schemeClr w14:val="tx1"/>
            </w14:solidFill>
          </w14:textFill>
        </w:rPr>
        <w:t>（受理问题：系统登录、CA锁绑定、平台切换）， 一网通办技术支持QQ群：1143439694 ；CA锁办理咨询电话：</w:t>
      </w:r>
      <w:r>
        <w:rPr>
          <w:rFonts w:ascii="仿宋_GB2312" w:hAnsi="黑体" w:eastAsia="仿宋_GB2312" w:cs="宋体"/>
          <w:color w:val="000000" w:themeColor="text1"/>
          <w:spacing w:val="8"/>
          <w:sz w:val="28"/>
          <w:szCs w:val="28"/>
          <w:highlight w:val="none"/>
          <w14:textFill>
            <w14:solidFill>
              <w14:schemeClr w14:val="tx1"/>
            </w14:solidFill>
          </w14:textFill>
        </w:rPr>
        <w:t>0631-5307028</w:t>
      </w:r>
      <w:r>
        <w:rPr>
          <w:rFonts w:hint="eastAsia" w:ascii="仿宋_GB2312" w:hAnsi="黑体" w:eastAsia="仿宋_GB2312" w:cs="宋体"/>
          <w:color w:val="000000" w:themeColor="text1"/>
          <w:spacing w:val="8"/>
          <w:sz w:val="28"/>
          <w:szCs w:val="28"/>
          <w:highlight w:val="none"/>
          <w14:textFill>
            <w14:solidFill>
              <w14:schemeClr w14:val="tx1"/>
            </w14:solidFill>
          </w14:textFill>
        </w:rPr>
        <w:t>；国企采购技术支持电话：</w:t>
      </w:r>
      <w:r>
        <w:rPr>
          <w:rFonts w:ascii="仿宋_GB2312" w:hAnsi="黑体" w:eastAsia="仿宋_GB2312" w:cs="宋体"/>
          <w:color w:val="000000" w:themeColor="text1"/>
          <w:spacing w:val="8"/>
          <w:sz w:val="28"/>
          <w:szCs w:val="28"/>
          <w:highlight w:val="none"/>
          <w14:textFill>
            <w14:solidFill>
              <w14:schemeClr w14:val="tx1"/>
            </w14:solidFill>
          </w14:textFill>
        </w:rPr>
        <w:t>17863029936</w:t>
      </w:r>
      <w:r>
        <w:rPr>
          <w:rFonts w:hint="eastAsia" w:ascii="仿宋_GB2312" w:hAnsi="黑体" w:eastAsia="仿宋_GB2312" w:cs="宋体"/>
          <w:color w:val="000000" w:themeColor="text1"/>
          <w:spacing w:val="8"/>
          <w:sz w:val="28"/>
          <w:szCs w:val="28"/>
          <w:highlight w:val="none"/>
          <w14:textFill>
            <w14:solidFill>
              <w14:schemeClr w14:val="tx1"/>
            </w14:solidFill>
          </w14:textFill>
        </w:rPr>
        <w:t xml:space="preserve"> ，国企技术支持QQ群（供应商）：</w:t>
      </w:r>
      <w:r>
        <w:rPr>
          <w:rFonts w:ascii="仿宋_GB2312" w:hAnsi="黑体" w:eastAsia="仿宋_GB2312" w:cs="宋体"/>
          <w:color w:val="000000" w:themeColor="text1"/>
          <w:spacing w:val="8"/>
          <w:sz w:val="28"/>
          <w:szCs w:val="28"/>
          <w:highlight w:val="none"/>
          <w14:textFill>
            <w14:solidFill>
              <w14:schemeClr w14:val="tx1"/>
            </w14:solidFill>
          </w14:textFill>
        </w:rPr>
        <w:t>1046971257</w:t>
      </w:r>
    </w:p>
    <w:p w14:paraId="73C25316">
      <w:pPr>
        <w:widowControl/>
        <w:shd w:val="clear" w:color="auto" w:fill="FFFFFF"/>
        <w:spacing w:line="360" w:lineRule="auto"/>
        <w:ind w:firstLine="539"/>
        <w:rPr>
          <w:rFonts w:ascii="仿宋_GB2312" w:hAnsi="黑体" w:eastAsia="仿宋_GB2312" w:cs="宋体"/>
          <w:color w:val="000000" w:themeColor="text1"/>
          <w:spacing w:val="8"/>
          <w:sz w:val="28"/>
          <w:szCs w:val="28"/>
          <w:highlight w:val="none"/>
          <w14:textFill>
            <w14:solidFill>
              <w14:schemeClr w14:val="tx1"/>
            </w14:solidFill>
          </w14:textFill>
        </w:rPr>
      </w:pPr>
      <w:r>
        <w:rPr>
          <w:rFonts w:hint="eastAsia" w:ascii="仿宋_GB2312" w:hAnsi="黑体" w:eastAsia="仿宋_GB2312" w:cs="宋体"/>
          <w:color w:val="000000" w:themeColor="text1"/>
          <w:spacing w:val="8"/>
          <w:sz w:val="28"/>
          <w:szCs w:val="28"/>
          <w:highlight w:val="none"/>
          <w14:textFill>
            <w14:solidFill>
              <w14:schemeClr w14:val="tx1"/>
            </w14:solidFill>
          </w14:textFill>
        </w:rPr>
        <w:t>注：未注册用户请先免费注册。在“威海市国有企业阳光采购电子化服务平台”（威海市公共资源交易网（荣成市）右侧“国企采购”按钮）登录端口注册登记，并办理“安全证书（CA）”和“电子签章”进行获取文件。“安全证书（CA）”和“电子签章”办理请按照“威海市公共资源交易网（荣成市）”右侧“CA办理”中“CA证书办理介绍”进行办理。</w:t>
      </w:r>
    </w:p>
    <w:p w14:paraId="513541E0">
      <w:pPr>
        <w:spacing w:line="360" w:lineRule="auto"/>
        <w:ind w:firstLine="560" w:firstLineChars="200"/>
        <w:rPr>
          <w:rFonts w:ascii="黑体" w:hAnsi="黑体" w:eastAsia="黑体" w:cs="宋体"/>
          <w:color w:val="000000" w:themeColor="text1"/>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四、提交投标文件截止时间、开标时间和地点</w:t>
      </w:r>
    </w:p>
    <w:p w14:paraId="0BD6D98E">
      <w:pPr>
        <w:widowControl/>
        <w:adjustRightInd w:val="0"/>
        <w:spacing w:line="360" w:lineRule="auto"/>
        <w:ind w:firstLine="592" w:firstLineChars="200"/>
        <w:jc w:val="left"/>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1.提交投标文件时间：2026年</w:t>
      </w:r>
      <w:r>
        <w:rPr>
          <w:rFonts w:hint="eastAsia" w:ascii="仿宋_GB2312" w:hAnsi="仿宋" w:eastAsia="仿宋_GB2312" w:cs="宋体"/>
          <w:color w:val="000000" w:themeColor="text1"/>
          <w:spacing w:val="8"/>
          <w:sz w:val="28"/>
          <w:szCs w:val="28"/>
          <w:highlight w:val="none"/>
          <w:lang w:val="en-US" w:eastAsia="zh-CN"/>
          <w14:textFill>
            <w14:solidFill>
              <w14:schemeClr w14:val="tx1"/>
            </w14:solidFill>
          </w14:textFill>
        </w:rPr>
        <w:t>06</w:t>
      </w:r>
      <w:r>
        <w:rPr>
          <w:rFonts w:hint="eastAsia" w:ascii="仿宋_GB2312" w:hAnsi="仿宋" w:eastAsia="仿宋_GB2312" w:cs="宋体"/>
          <w:color w:val="000000" w:themeColor="text1"/>
          <w:spacing w:val="8"/>
          <w:sz w:val="28"/>
          <w:szCs w:val="28"/>
          <w:highlight w:val="none"/>
          <w14:textFill>
            <w14:solidFill>
              <w14:schemeClr w14:val="tx1"/>
            </w14:solidFill>
          </w14:textFill>
        </w:rPr>
        <w:t>月</w:t>
      </w:r>
      <w:r>
        <w:rPr>
          <w:rFonts w:hint="eastAsia" w:ascii="仿宋_GB2312" w:hAnsi="仿宋" w:eastAsia="仿宋_GB2312" w:cs="宋体"/>
          <w:color w:val="000000" w:themeColor="text1"/>
          <w:spacing w:val="8"/>
          <w:sz w:val="28"/>
          <w:szCs w:val="28"/>
          <w:highlight w:val="none"/>
          <w:lang w:val="en-US" w:eastAsia="zh-CN"/>
          <w14:textFill>
            <w14:solidFill>
              <w14:schemeClr w14:val="tx1"/>
            </w14:solidFill>
          </w14:textFill>
        </w:rPr>
        <w:t>26</w:t>
      </w:r>
      <w:r>
        <w:rPr>
          <w:rFonts w:hint="eastAsia" w:ascii="仿宋_GB2312" w:hAnsi="仿宋" w:eastAsia="仿宋_GB2312" w:cs="宋体"/>
          <w:color w:val="000000" w:themeColor="text1"/>
          <w:spacing w:val="8"/>
          <w:sz w:val="28"/>
          <w:szCs w:val="28"/>
          <w:highlight w:val="none"/>
          <w14:textFill>
            <w14:solidFill>
              <w14:schemeClr w14:val="tx1"/>
            </w14:solidFill>
          </w14:textFill>
        </w:rPr>
        <w:t>日</w:t>
      </w:r>
      <w:r>
        <w:rPr>
          <w:rFonts w:hint="eastAsia" w:ascii="仿宋_GB2312" w:hAnsi="仿宋" w:eastAsia="仿宋_GB2312" w:cs="宋体"/>
          <w:color w:val="000000" w:themeColor="text1"/>
          <w:spacing w:val="8"/>
          <w:sz w:val="28"/>
          <w:szCs w:val="28"/>
          <w:highlight w:val="none"/>
          <w:lang w:val="en-US" w:eastAsia="zh-CN"/>
          <w14:textFill>
            <w14:solidFill>
              <w14:schemeClr w14:val="tx1"/>
            </w14:solidFill>
          </w14:textFill>
        </w:rPr>
        <w:t>18</w:t>
      </w:r>
      <w:r>
        <w:rPr>
          <w:rFonts w:hint="eastAsia" w:ascii="仿宋_GB2312" w:hAnsi="仿宋" w:eastAsia="仿宋_GB2312" w:cs="宋体"/>
          <w:color w:val="000000" w:themeColor="text1"/>
          <w:spacing w:val="8"/>
          <w:sz w:val="28"/>
          <w:szCs w:val="28"/>
          <w:highlight w:val="none"/>
          <w14:textFill>
            <w14:solidFill>
              <w14:schemeClr w14:val="tx1"/>
            </w14:solidFill>
          </w14:textFill>
        </w:rPr>
        <w:t>:30至2026年</w:t>
      </w:r>
      <w:r>
        <w:rPr>
          <w:rFonts w:hint="eastAsia" w:ascii="仿宋_GB2312" w:hAnsi="仿宋" w:eastAsia="仿宋_GB2312" w:cs="宋体"/>
          <w:color w:val="000000" w:themeColor="text1"/>
          <w:spacing w:val="8"/>
          <w:sz w:val="28"/>
          <w:szCs w:val="28"/>
          <w:highlight w:val="none"/>
          <w:lang w:val="en-US" w:eastAsia="zh-CN"/>
          <w14:textFill>
            <w14:solidFill>
              <w14:schemeClr w14:val="tx1"/>
            </w14:solidFill>
          </w14:textFill>
        </w:rPr>
        <w:t>07</w:t>
      </w:r>
      <w:r>
        <w:rPr>
          <w:rFonts w:hint="eastAsia" w:ascii="仿宋_GB2312" w:hAnsi="仿宋" w:eastAsia="仿宋_GB2312" w:cs="宋体"/>
          <w:color w:val="000000" w:themeColor="text1"/>
          <w:spacing w:val="8"/>
          <w:sz w:val="28"/>
          <w:szCs w:val="28"/>
          <w:highlight w:val="none"/>
          <w14:textFill>
            <w14:solidFill>
              <w14:schemeClr w14:val="tx1"/>
            </w14:solidFill>
          </w14:textFill>
        </w:rPr>
        <w:t>月</w:t>
      </w:r>
      <w:r>
        <w:rPr>
          <w:rFonts w:hint="eastAsia" w:ascii="仿宋_GB2312" w:hAnsi="仿宋" w:eastAsia="仿宋_GB2312" w:cs="宋体"/>
          <w:color w:val="000000" w:themeColor="text1"/>
          <w:spacing w:val="8"/>
          <w:sz w:val="28"/>
          <w:szCs w:val="28"/>
          <w:highlight w:val="none"/>
          <w:lang w:val="en-US" w:eastAsia="zh-CN"/>
          <w14:textFill>
            <w14:solidFill>
              <w14:schemeClr w14:val="tx1"/>
            </w14:solidFill>
          </w14:textFill>
        </w:rPr>
        <w:t>10</w:t>
      </w:r>
      <w:r>
        <w:rPr>
          <w:rFonts w:hint="eastAsia" w:ascii="仿宋_GB2312" w:hAnsi="仿宋" w:eastAsia="仿宋_GB2312" w:cs="宋体"/>
          <w:color w:val="000000" w:themeColor="text1"/>
          <w:spacing w:val="8"/>
          <w:sz w:val="28"/>
          <w:szCs w:val="28"/>
          <w:highlight w:val="none"/>
          <w14:textFill>
            <w14:solidFill>
              <w14:schemeClr w14:val="tx1"/>
            </w14:solidFill>
          </w14:textFill>
        </w:rPr>
        <w:t>日 09:00</w:t>
      </w:r>
    </w:p>
    <w:p w14:paraId="69801925">
      <w:pPr>
        <w:widowControl/>
        <w:adjustRightInd w:val="0"/>
        <w:spacing w:line="360" w:lineRule="auto"/>
        <w:ind w:firstLine="592" w:firstLineChars="200"/>
        <w:jc w:val="left"/>
        <w:rPr>
          <w:rFonts w:ascii="仿宋_GB2312" w:hAnsi="仿宋" w:eastAsia="仿宋_GB2312" w:cs="宋体"/>
          <w:color w:val="000000" w:themeColor="text1"/>
          <w:spacing w:val="8"/>
          <w:kern w:val="0"/>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2.地点：</w:t>
      </w:r>
      <w:r>
        <w:rPr>
          <w:rFonts w:hint="eastAsia" w:ascii="仿宋_GB2312" w:hAnsi="仿宋" w:eastAsia="仿宋_GB2312" w:cs="宋体"/>
          <w:color w:val="000000" w:themeColor="text1"/>
          <w:spacing w:val="8"/>
          <w:kern w:val="0"/>
          <w:sz w:val="28"/>
          <w:szCs w:val="28"/>
          <w:highlight w:val="none"/>
          <w14:textFill>
            <w14:solidFill>
              <w14:schemeClr w14:val="tx1"/>
            </w14:solidFill>
          </w14:textFill>
        </w:rPr>
        <w:t>登录“威海市公共资源交易网（荣成市）”首页右侧“交易服务一网通办系统（新版一网通办系统）”进行“平台切换”点击“国企采购”进入国企阳光采购平台进行提交。</w:t>
      </w:r>
    </w:p>
    <w:p w14:paraId="6052DC50">
      <w:pPr>
        <w:widowControl/>
        <w:adjustRightInd w:val="0"/>
        <w:spacing w:line="360" w:lineRule="auto"/>
        <w:ind w:firstLine="592" w:firstLineChars="200"/>
        <w:jc w:val="left"/>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3.开标时间：2026年</w:t>
      </w:r>
      <w:r>
        <w:rPr>
          <w:rFonts w:hint="eastAsia" w:ascii="仿宋_GB2312" w:hAnsi="仿宋" w:eastAsia="仿宋_GB2312" w:cs="宋体"/>
          <w:color w:val="000000" w:themeColor="text1"/>
          <w:spacing w:val="8"/>
          <w:sz w:val="28"/>
          <w:szCs w:val="28"/>
          <w:highlight w:val="none"/>
          <w:lang w:val="en-US" w:eastAsia="zh-CN"/>
          <w14:textFill>
            <w14:solidFill>
              <w14:schemeClr w14:val="tx1"/>
            </w14:solidFill>
          </w14:textFill>
        </w:rPr>
        <w:t>07</w:t>
      </w:r>
      <w:r>
        <w:rPr>
          <w:rFonts w:hint="eastAsia" w:ascii="仿宋_GB2312" w:hAnsi="仿宋" w:eastAsia="仿宋_GB2312" w:cs="宋体"/>
          <w:color w:val="000000" w:themeColor="text1"/>
          <w:spacing w:val="8"/>
          <w:sz w:val="28"/>
          <w:szCs w:val="28"/>
          <w:highlight w:val="none"/>
          <w14:textFill>
            <w14:solidFill>
              <w14:schemeClr w14:val="tx1"/>
            </w14:solidFill>
          </w14:textFill>
        </w:rPr>
        <w:t>月</w:t>
      </w:r>
      <w:r>
        <w:rPr>
          <w:rFonts w:hint="eastAsia" w:ascii="仿宋_GB2312" w:hAnsi="仿宋" w:eastAsia="仿宋_GB2312" w:cs="宋体"/>
          <w:color w:val="000000" w:themeColor="text1"/>
          <w:spacing w:val="8"/>
          <w:sz w:val="28"/>
          <w:szCs w:val="28"/>
          <w:highlight w:val="none"/>
          <w:lang w:val="en-US" w:eastAsia="zh-CN"/>
          <w14:textFill>
            <w14:solidFill>
              <w14:schemeClr w14:val="tx1"/>
            </w14:solidFill>
          </w14:textFill>
        </w:rPr>
        <w:t>10</w:t>
      </w:r>
      <w:r>
        <w:rPr>
          <w:rFonts w:hint="eastAsia" w:ascii="仿宋_GB2312" w:hAnsi="仿宋" w:eastAsia="仿宋_GB2312" w:cs="宋体"/>
          <w:color w:val="000000" w:themeColor="text1"/>
          <w:spacing w:val="8"/>
          <w:sz w:val="28"/>
          <w:szCs w:val="28"/>
          <w:highlight w:val="none"/>
          <w14:textFill>
            <w14:solidFill>
              <w14:schemeClr w14:val="tx1"/>
            </w14:solidFill>
          </w14:textFill>
        </w:rPr>
        <w:t>日 09:00（北京时间）</w:t>
      </w:r>
    </w:p>
    <w:p w14:paraId="60B8E4A0">
      <w:pPr>
        <w:widowControl/>
        <w:adjustRightInd w:val="0"/>
        <w:spacing w:line="360" w:lineRule="auto"/>
        <w:ind w:firstLine="592" w:firstLineChars="200"/>
        <w:jc w:val="left"/>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4.开标地点：威海市公共资源交易中心荣成分中心（荣成市河阳东路81号荣成市经济开发区热电厂东200米路南）三楼第</w:t>
      </w:r>
      <w:r>
        <w:rPr>
          <w:rFonts w:hint="eastAsia" w:ascii="仿宋_GB2312" w:hAnsi="仿宋" w:eastAsia="仿宋_GB2312" w:cs="宋体"/>
          <w:color w:val="000000" w:themeColor="text1"/>
          <w:spacing w:val="8"/>
          <w:sz w:val="28"/>
          <w:szCs w:val="28"/>
          <w:highlight w:val="none"/>
          <w:lang w:val="en-US" w:eastAsia="zh-CN"/>
          <w14:textFill>
            <w14:solidFill>
              <w14:schemeClr w14:val="tx1"/>
            </w14:solidFill>
          </w14:textFill>
        </w:rPr>
        <w:t>四</w:t>
      </w:r>
      <w:r>
        <w:rPr>
          <w:rFonts w:hint="eastAsia" w:ascii="仿宋_GB2312" w:hAnsi="仿宋" w:eastAsia="仿宋_GB2312" w:cs="宋体"/>
          <w:color w:val="000000" w:themeColor="text1"/>
          <w:spacing w:val="8"/>
          <w:sz w:val="28"/>
          <w:szCs w:val="28"/>
          <w:highlight w:val="none"/>
          <w14:textFill>
            <w14:solidFill>
              <w14:schemeClr w14:val="tx1"/>
            </w14:solidFill>
          </w14:textFill>
        </w:rPr>
        <w:t>开标室。</w:t>
      </w:r>
    </w:p>
    <w:p w14:paraId="0B519E26">
      <w:pPr>
        <w:spacing w:line="360" w:lineRule="auto"/>
        <w:ind w:firstLine="560" w:firstLineChars="200"/>
        <w:rPr>
          <w:rFonts w:ascii="黑体" w:hAnsi="黑体" w:eastAsia="黑体" w:cs="宋体"/>
          <w:color w:val="000000" w:themeColor="text1"/>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五、开启</w:t>
      </w:r>
    </w:p>
    <w:p w14:paraId="7C9A3091">
      <w:pPr>
        <w:pStyle w:val="13"/>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时间：2026年</w:t>
      </w:r>
      <w:r>
        <w:rPr>
          <w:rFonts w:hint="eastAsia" w:ascii="仿宋_GB2312" w:hAnsi="仿宋" w:eastAsia="仿宋_GB2312" w:cs="宋体"/>
          <w:color w:val="000000" w:themeColor="text1"/>
          <w:spacing w:val="8"/>
          <w:sz w:val="28"/>
          <w:szCs w:val="28"/>
          <w:highlight w:val="none"/>
          <w:lang w:val="en-US" w:eastAsia="zh-CN"/>
          <w14:textFill>
            <w14:solidFill>
              <w14:schemeClr w14:val="tx1"/>
            </w14:solidFill>
          </w14:textFill>
        </w:rPr>
        <w:t>07</w:t>
      </w:r>
      <w:r>
        <w:rPr>
          <w:rFonts w:hint="eastAsia" w:ascii="仿宋_GB2312" w:hAnsi="仿宋" w:eastAsia="仿宋_GB2312" w:cs="宋体"/>
          <w:color w:val="000000" w:themeColor="text1"/>
          <w:spacing w:val="8"/>
          <w:sz w:val="28"/>
          <w:szCs w:val="28"/>
          <w:highlight w:val="none"/>
          <w14:textFill>
            <w14:solidFill>
              <w14:schemeClr w14:val="tx1"/>
            </w14:solidFill>
          </w14:textFill>
        </w:rPr>
        <w:t>月</w:t>
      </w:r>
      <w:r>
        <w:rPr>
          <w:rFonts w:hint="eastAsia" w:ascii="仿宋_GB2312" w:hAnsi="仿宋" w:eastAsia="仿宋_GB2312" w:cs="宋体"/>
          <w:color w:val="000000" w:themeColor="text1"/>
          <w:spacing w:val="8"/>
          <w:sz w:val="28"/>
          <w:szCs w:val="28"/>
          <w:highlight w:val="none"/>
          <w:lang w:val="en-US" w:eastAsia="zh-CN"/>
          <w14:textFill>
            <w14:solidFill>
              <w14:schemeClr w14:val="tx1"/>
            </w14:solidFill>
          </w14:textFill>
        </w:rPr>
        <w:t>10</w:t>
      </w:r>
      <w:r>
        <w:rPr>
          <w:rFonts w:hint="eastAsia" w:ascii="仿宋_GB2312" w:hAnsi="仿宋" w:eastAsia="仿宋_GB2312" w:cs="宋体"/>
          <w:color w:val="000000" w:themeColor="text1"/>
          <w:spacing w:val="8"/>
          <w:sz w:val="28"/>
          <w:szCs w:val="28"/>
          <w:highlight w:val="none"/>
          <w14:textFill>
            <w14:solidFill>
              <w14:schemeClr w14:val="tx1"/>
            </w14:solidFill>
          </w14:textFill>
        </w:rPr>
        <w:t>日 09:00（北京时间）</w:t>
      </w:r>
    </w:p>
    <w:p w14:paraId="02C44461">
      <w:pPr>
        <w:pStyle w:val="13"/>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地点：威海市公共资源交易中心荣成分中心（荣成市河阳东路81号荣成市经济开发区热电厂东200米路南）三楼第</w:t>
      </w:r>
      <w:r>
        <w:rPr>
          <w:rFonts w:hint="eastAsia" w:ascii="仿宋_GB2312" w:hAnsi="仿宋" w:eastAsia="仿宋_GB2312" w:cs="宋体"/>
          <w:color w:val="000000" w:themeColor="text1"/>
          <w:spacing w:val="8"/>
          <w:sz w:val="28"/>
          <w:szCs w:val="28"/>
          <w:highlight w:val="none"/>
          <w:lang w:val="en-US" w:eastAsia="zh-CN"/>
          <w14:textFill>
            <w14:solidFill>
              <w14:schemeClr w14:val="tx1"/>
            </w14:solidFill>
          </w14:textFill>
        </w:rPr>
        <w:t>四</w:t>
      </w:r>
      <w:r>
        <w:rPr>
          <w:rFonts w:hint="eastAsia" w:ascii="仿宋_GB2312" w:hAnsi="仿宋" w:eastAsia="仿宋_GB2312" w:cs="宋体"/>
          <w:color w:val="000000" w:themeColor="text1"/>
          <w:spacing w:val="8"/>
          <w:sz w:val="28"/>
          <w:szCs w:val="28"/>
          <w:highlight w:val="none"/>
          <w14:textFill>
            <w14:solidFill>
              <w14:schemeClr w14:val="tx1"/>
            </w14:solidFill>
          </w14:textFill>
        </w:rPr>
        <w:t>开标室。</w:t>
      </w:r>
    </w:p>
    <w:p w14:paraId="55CFAAD1">
      <w:pPr>
        <w:spacing w:line="360" w:lineRule="auto"/>
        <w:ind w:firstLine="560" w:firstLineChars="200"/>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六、其他补充事宜</w:t>
      </w:r>
    </w:p>
    <w:p w14:paraId="3BD3BAFE">
      <w:pPr>
        <w:widowControl/>
        <w:shd w:val="clear" w:color="auto" w:fill="FFFFFF"/>
        <w:spacing w:line="360" w:lineRule="auto"/>
        <w:ind w:firstLine="556"/>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本项目实行全流程电子化，实行远程解密，投标人无需到现场，并保持通讯畅通，提前在个人电脑上进行测试确保音频、视频功能可正常使用。因通讯不畅造成的一切后果由供应商自行承担。</w:t>
      </w:r>
    </w:p>
    <w:p w14:paraId="3A1D4AA7">
      <w:pPr>
        <w:spacing w:line="360" w:lineRule="auto"/>
        <w:ind w:firstLine="560" w:firstLineChars="200"/>
        <w:rPr>
          <w:rFonts w:ascii="黑体" w:hAnsi="黑体" w:eastAsia="黑体" w:cs="宋体"/>
          <w:color w:val="000000" w:themeColor="text1"/>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七、对本次招标提出询问，请按以下方式联系。</w:t>
      </w:r>
    </w:p>
    <w:p w14:paraId="63B3A272">
      <w:pPr>
        <w:widowControl/>
        <w:shd w:val="clear" w:color="auto" w:fill="FFFFFF"/>
        <w:spacing w:line="360" w:lineRule="auto"/>
        <w:ind w:firstLine="592" w:firstLineChars="200"/>
        <w:jc w:val="left"/>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1.采购人信息</w:t>
      </w:r>
    </w:p>
    <w:p w14:paraId="7329EEA9">
      <w:pPr>
        <w:widowControl/>
        <w:shd w:val="clear" w:color="auto" w:fill="FFFFFF"/>
        <w:spacing w:line="360" w:lineRule="auto"/>
        <w:ind w:firstLine="592" w:firstLineChars="200"/>
        <w:jc w:val="left"/>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名  称：</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荣成市土地发展集团有限公司</w:t>
      </w:r>
    </w:p>
    <w:p w14:paraId="6E3C9550">
      <w:pPr>
        <w:widowControl/>
        <w:shd w:val="clear" w:color="auto" w:fill="FFFFFF"/>
        <w:spacing w:line="360" w:lineRule="auto"/>
        <w:ind w:firstLine="592" w:firstLineChars="200"/>
        <w:jc w:val="left"/>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地  址：荣成市成山大道中段190号</w:t>
      </w:r>
    </w:p>
    <w:p w14:paraId="33228312">
      <w:pPr>
        <w:widowControl/>
        <w:shd w:val="clear" w:color="auto" w:fill="FFFFFF"/>
        <w:spacing w:line="360" w:lineRule="auto"/>
        <w:ind w:firstLine="592" w:firstLineChars="200"/>
        <w:jc w:val="left"/>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联系方式：</w:t>
      </w:r>
      <w:r>
        <w:rPr>
          <w:rFonts w:hint="eastAsia" w:ascii="仿宋_GB2312" w:hAnsi="仿宋" w:eastAsia="仿宋_GB2312" w:cs="宋体"/>
          <w:color w:val="000000" w:themeColor="text1"/>
          <w:spacing w:val="8"/>
          <w:sz w:val="28"/>
          <w:szCs w:val="28"/>
          <w:highlight w:val="none"/>
          <w:lang w:val="en-US" w:eastAsia="zh-CN"/>
          <w14:textFill>
            <w14:solidFill>
              <w14:schemeClr w14:val="tx1"/>
            </w14:solidFill>
          </w14:textFill>
        </w:rPr>
        <w:t>0631-7561710</w:t>
      </w:r>
    </w:p>
    <w:p w14:paraId="62496374">
      <w:pPr>
        <w:widowControl/>
        <w:shd w:val="clear" w:color="auto" w:fill="FFFFFF"/>
        <w:spacing w:line="360" w:lineRule="auto"/>
        <w:ind w:firstLine="592" w:firstLineChars="200"/>
        <w:jc w:val="left"/>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2.采购代理机构信息</w:t>
      </w:r>
    </w:p>
    <w:p w14:paraId="2B5F4864">
      <w:pPr>
        <w:widowControl/>
        <w:shd w:val="clear" w:color="auto" w:fill="FFFFFF"/>
        <w:spacing w:line="360" w:lineRule="auto"/>
        <w:ind w:firstLine="592" w:firstLineChars="200"/>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名  称：山东志诚工程咨询管理有限公司</w:t>
      </w:r>
    </w:p>
    <w:p w14:paraId="5A438287">
      <w:pPr>
        <w:widowControl/>
        <w:shd w:val="clear" w:color="auto" w:fill="FFFFFF"/>
        <w:spacing w:line="360" w:lineRule="auto"/>
        <w:ind w:firstLine="592" w:firstLineChars="200"/>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地  址：荣成市观海中路16号</w:t>
      </w:r>
    </w:p>
    <w:p w14:paraId="7E341A53">
      <w:pPr>
        <w:widowControl/>
        <w:shd w:val="clear" w:color="auto" w:fill="FFFFFF"/>
        <w:spacing w:line="360" w:lineRule="auto"/>
        <w:ind w:firstLine="592" w:firstLineChars="200"/>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联系方式：</w:t>
      </w:r>
      <w:r>
        <w:rPr>
          <w:rFonts w:ascii="仿宋_GB2312" w:hAnsi="仿宋" w:eastAsia="仿宋_GB2312" w:cs="宋体"/>
          <w:color w:val="000000" w:themeColor="text1"/>
          <w:spacing w:val="8"/>
          <w:sz w:val="28"/>
          <w:szCs w:val="28"/>
          <w:highlight w:val="none"/>
          <w14:textFill>
            <w14:solidFill>
              <w14:schemeClr w14:val="tx1"/>
            </w14:solidFill>
          </w14:textFill>
        </w:rPr>
        <w:t>0631-756</w:t>
      </w:r>
      <w:r>
        <w:rPr>
          <w:rFonts w:hint="eastAsia" w:ascii="仿宋_GB2312" w:hAnsi="仿宋" w:eastAsia="仿宋_GB2312" w:cs="宋体"/>
          <w:color w:val="000000" w:themeColor="text1"/>
          <w:spacing w:val="8"/>
          <w:sz w:val="28"/>
          <w:szCs w:val="28"/>
          <w:highlight w:val="none"/>
          <w14:textFill>
            <w14:solidFill>
              <w14:schemeClr w14:val="tx1"/>
            </w14:solidFill>
          </w14:textFill>
        </w:rPr>
        <w:t>7778</w:t>
      </w:r>
    </w:p>
    <w:p w14:paraId="320203A0">
      <w:pPr>
        <w:widowControl/>
        <w:shd w:val="clear" w:color="auto" w:fill="FFFFFF"/>
        <w:spacing w:line="360" w:lineRule="auto"/>
        <w:ind w:firstLine="592" w:firstLineChars="200"/>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3.项目联系方式</w:t>
      </w:r>
    </w:p>
    <w:p w14:paraId="463F910B">
      <w:pPr>
        <w:widowControl/>
        <w:shd w:val="clear" w:color="auto" w:fill="FFFFFF"/>
        <w:spacing w:line="360" w:lineRule="auto"/>
        <w:ind w:firstLine="592" w:firstLineChars="200"/>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项目联系人：夏菁</w:t>
      </w:r>
    </w:p>
    <w:p w14:paraId="043D829D">
      <w:pPr>
        <w:widowControl/>
        <w:adjustRightInd w:val="0"/>
        <w:spacing w:line="360" w:lineRule="auto"/>
        <w:ind w:firstLine="592" w:firstLineChars="200"/>
        <w:jc w:val="left"/>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电  话：</w:t>
      </w:r>
      <w:r>
        <w:rPr>
          <w:rFonts w:ascii="仿宋_GB2312" w:hAnsi="仿宋" w:eastAsia="仿宋_GB2312" w:cs="宋体"/>
          <w:color w:val="000000" w:themeColor="text1"/>
          <w:spacing w:val="8"/>
          <w:sz w:val="28"/>
          <w:szCs w:val="28"/>
          <w:highlight w:val="none"/>
          <w14:textFill>
            <w14:solidFill>
              <w14:schemeClr w14:val="tx1"/>
            </w14:solidFill>
          </w14:textFill>
        </w:rPr>
        <w:t>0631-756</w:t>
      </w:r>
      <w:r>
        <w:rPr>
          <w:rFonts w:hint="eastAsia" w:ascii="仿宋_GB2312" w:hAnsi="仿宋" w:eastAsia="仿宋_GB2312" w:cs="宋体"/>
          <w:color w:val="000000" w:themeColor="text1"/>
          <w:spacing w:val="8"/>
          <w:sz w:val="28"/>
          <w:szCs w:val="28"/>
          <w:highlight w:val="none"/>
          <w14:textFill>
            <w14:solidFill>
              <w14:schemeClr w14:val="tx1"/>
            </w14:solidFill>
          </w14:textFill>
        </w:rPr>
        <w:t>7778</w:t>
      </w:r>
    </w:p>
    <w:p w14:paraId="5260B307">
      <w:pPr>
        <w:pStyle w:val="13"/>
        <w:rPr>
          <w:rFonts w:ascii="黑体" w:hAnsi="黑体" w:eastAsia="黑体" w:cs="宋体"/>
          <w:color w:val="000000" w:themeColor="text1"/>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八、发布公告的媒介</w:t>
      </w:r>
    </w:p>
    <w:p w14:paraId="478889A9">
      <w:pPr>
        <w:pStyle w:val="13"/>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本次公告在中国招标投标公共服务平台（www.cebpubservice.com）、威海市公共资源交易网（http://ggzyjy.weihai.cn/）威海市公共资源交易网（荣成市）（http://ggzyjy.weihai.cn/rongcheng/）同时发布，其它媒介转发无效。</w:t>
      </w:r>
    </w:p>
    <w:p w14:paraId="49ACEE66">
      <w:pPr>
        <w:spacing w:line="360" w:lineRule="auto"/>
        <w:jc w:val="righ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s="宋体"/>
          <w:color w:val="000000" w:themeColor="text1"/>
          <w:sz w:val="28"/>
          <w:szCs w:val="28"/>
          <w:highlight w:val="none"/>
          <w14:textFill>
            <w14:solidFill>
              <w14:schemeClr w14:val="tx1"/>
            </w14:solidFill>
          </w14:textFill>
        </w:rPr>
        <w:t>发布人：山东志诚工程咨询管理有限公司</w:t>
      </w:r>
    </w:p>
    <w:p w14:paraId="2774AC58">
      <w:pPr>
        <w:widowControl/>
        <w:adjustRightInd w:val="0"/>
        <w:spacing w:line="360" w:lineRule="auto"/>
        <w:ind w:left="-240"/>
        <w:jc w:val="right"/>
        <w:rPr>
          <w:rFonts w:ascii="宋体" w:hAnsi="宋体" w:cs="宋体"/>
          <w:color w:val="000000" w:themeColor="text1"/>
          <w:sz w:val="28"/>
          <w:highlight w:val="none"/>
          <w14:textFill>
            <w14:solidFill>
              <w14:schemeClr w14:val="tx1"/>
            </w14:solidFill>
          </w14:textFill>
        </w:rPr>
      </w:pPr>
      <w:r>
        <w:rPr>
          <w:rFonts w:hint="eastAsia" w:ascii="仿宋_GB2312" w:hAnsi="宋体" w:eastAsia="仿宋_GB2312" w:cs="宋体"/>
          <w:color w:val="000000" w:themeColor="text1"/>
          <w:sz w:val="28"/>
          <w:szCs w:val="28"/>
          <w:highlight w:val="none"/>
          <w14:textFill>
            <w14:solidFill>
              <w14:schemeClr w14:val="tx1"/>
            </w14:solidFill>
          </w14:textFill>
        </w:rPr>
        <w:t>发布时间：</w:t>
      </w:r>
      <w:r>
        <w:rPr>
          <w:rFonts w:ascii="仿宋_GB2312" w:hAnsi="宋体" w:eastAsia="仿宋_GB2312" w:cs="宋体"/>
          <w:color w:val="000000" w:themeColor="text1"/>
          <w:sz w:val="28"/>
          <w:szCs w:val="28"/>
          <w:highlight w:val="none"/>
          <w14:textFill>
            <w14:solidFill>
              <w14:schemeClr w14:val="tx1"/>
            </w14:solidFill>
          </w14:textFill>
        </w:rPr>
        <w:t>202</w:t>
      </w:r>
      <w:r>
        <w:rPr>
          <w:rFonts w:hint="eastAsia" w:ascii="仿宋_GB2312" w:hAnsi="宋体" w:eastAsia="仿宋_GB2312" w:cs="宋体"/>
          <w:color w:val="000000" w:themeColor="text1"/>
          <w:sz w:val="28"/>
          <w:szCs w:val="28"/>
          <w:highlight w:val="none"/>
          <w14:textFill>
            <w14:solidFill>
              <w14:schemeClr w14:val="tx1"/>
            </w14:solidFill>
          </w14:textFill>
        </w:rPr>
        <w:t>6</w:t>
      </w:r>
      <w:r>
        <w:rPr>
          <w:rFonts w:ascii="仿宋_GB2312" w:hAnsi="宋体" w:eastAsia="仿宋_GB2312" w:cs="宋体"/>
          <w:color w:val="000000" w:themeColor="text1"/>
          <w:sz w:val="28"/>
          <w:szCs w:val="28"/>
          <w:highlight w:val="none"/>
          <w14:textFill>
            <w14:solidFill>
              <w14:schemeClr w14:val="tx1"/>
            </w14:solidFill>
          </w14:textFill>
        </w:rPr>
        <w:t>年</w:t>
      </w:r>
      <w:r>
        <w:rPr>
          <w:rFonts w:hint="eastAsia" w:ascii="仿宋_GB2312" w:hAnsi="宋体" w:eastAsia="仿宋_GB2312" w:cs="宋体"/>
          <w:color w:val="000000" w:themeColor="text1"/>
          <w:sz w:val="28"/>
          <w:szCs w:val="28"/>
          <w:highlight w:val="none"/>
          <w:lang w:val="en-US" w:eastAsia="zh-CN"/>
          <w14:textFill>
            <w14:solidFill>
              <w14:schemeClr w14:val="tx1"/>
            </w14:solidFill>
          </w14:textFill>
        </w:rPr>
        <w:t>06</w:t>
      </w:r>
      <w:r>
        <w:rPr>
          <w:rFonts w:hint="eastAsia" w:ascii="仿宋_GB2312" w:hAnsi="宋体" w:eastAsia="仿宋_GB2312" w:cs="宋体"/>
          <w:color w:val="000000" w:themeColor="text1"/>
          <w:sz w:val="28"/>
          <w:szCs w:val="28"/>
          <w:highlight w:val="none"/>
          <w14:textFill>
            <w14:solidFill>
              <w14:schemeClr w14:val="tx1"/>
            </w14:solidFill>
          </w14:textFill>
        </w:rPr>
        <w:t>月</w:t>
      </w:r>
      <w:r>
        <w:rPr>
          <w:rFonts w:hint="eastAsia" w:ascii="仿宋_GB2312" w:hAnsi="宋体" w:eastAsia="仿宋_GB2312" w:cs="宋体"/>
          <w:color w:val="000000" w:themeColor="text1"/>
          <w:sz w:val="28"/>
          <w:szCs w:val="28"/>
          <w:highlight w:val="none"/>
          <w:lang w:val="en-US" w:eastAsia="zh-CN"/>
          <w14:textFill>
            <w14:solidFill>
              <w14:schemeClr w14:val="tx1"/>
            </w14:solidFill>
          </w14:textFill>
        </w:rPr>
        <w:t>26</w:t>
      </w:r>
      <w:r>
        <w:rPr>
          <w:rFonts w:hint="eastAsia" w:ascii="仿宋_GB2312" w:hAnsi="宋体" w:eastAsia="仿宋_GB2312" w:cs="宋体"/>
          <w:color w:val="000000" w:themeColor="text1"/>
          <w:sz w:val="28"/>
          <w:szCs w:val="28"/>
          <w:highlight w:val="none"/>
          <w14:textFill>
            <w14:solidFill>
              <w14:schemeClr w14:val="tx1"/>
            </w14:solidFill>
          </w14:textFill>
        </w:rPr>
        <w:t>日</w:t>
      </w:r>
    </w:p>
    <w:p w14:paraId="7B307F17">
      <w:pPr>
        <w:rPr>
          <w:color w:val="000000" w:themeColor="text1"/>
          <w:highlight w:val="none"/>
          <w14:textFill>
            <w14:solidFill>
              <w14:schemeClr w14:val="tx1"/>
            </w14:solidFill>
          </w14:textFill>
        </w:rPr>
        <w:sectPr>
          <w:pgSz w:w="11906" w:h="16838"/>
          <w:pgMar w:top="1440" w:right="1080" w:bottom="1440" w:left="1080" w:header="851" w:footer="992" w:gutter="0"/>
          <w:cols w:space="425" w:num="1"/>
          <w:docGrid w:type="lines" w:linePitch="312" w:charSpace="0"/>
        </w:sectPr>
      </w:pPr>
    </w:p>
    <w:p w14:paraId="69A3DEA8">
      <w:pPr>
        <w:pStyle w:val="42"/>
        <w:spacing w:before="0" w:after="0" w:line="360" w:lineRule="auto"/>
        <w:ind w:firstLine="646" w:firstLineChars="201"/>
        <w:rPr>
          <w:rFonts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第二章投标须知</w:t>
      </w:r>
    </w:p>
    <w:p w14:paraId="32ECF1DC">
      <w:pPr>
        <w:pStyle w:val="42"/>
        <w:spacing w:before="0" w:after="0" w:line="360" w:lineRule="auto"/>
        <w:ind w:firstLine="646" w:firstLineChars="201"/>
        <w:rPr>
          <w:rFonts w:ascii="黑体" w:hAnsi="黑体" w:eastAsia="黑体"/>
          <w:color w:val="000000" w:themeColor="text1"/>
          <w:highlight w:val="none"/>
          <w14:textFill>
            <w14:solidFill>
              <w14:schemeClr w14:val="tx1"/>
            </w14:solidFill>
          </w14:textFill>
        </w:rPr>
      </w:pPr>
      <w:r>
        <w:rPr>
          <w:rFonts w:hint="eastAsia" w:ascii="黑体" w:hAnsi="黑体" w:eastAsia="黑体"/>
          <w:color w:val="000000" w:themeColor="text1"/>
          <w:highlight w:val="none"/>
          <w14:textFill>
            <w14:solidFill>
              <w14:schemeClr w14:val="tx1"/>
            </w14:solidFill>
          </w14:textFill>
        </w:rPr>
        <w:t>投标须知前附表</w:t>
      </w:r>
    </w:p>
    <w:p w14:paraId="0C195A68">
      <w:pPr>
        <w:ind w:firstLine="643" w:firstLineChars="201"/>
        <w:jc w:val="center"/>
        <w:rPr>
          <w:rFonts w:ascii="宋体" w:hAnsi="宋体"/>
          <w:color w:val="000000" w:themeColor="text1"/>
          <w:sz w:val="32"/>
          <w:szCs w:val="32"/>
          <w:highlight w:val="none"/>
          <w14:textFill>
            <w14:solidFill>
              <w14:schemeClr w14:val="tx1"/>
            </w14:solidFill>
          </w14:textFill>
        </w:rPr>
      </w:pPr>
    </w:p>
    <w:tbl>
      <w:tblPr>
        <w:tblStyle w:val="47"/>
        <w:tblW w:w="9688"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908"/>
        <w:gridCol w:w="2155"/>
        <w:gridCol w:w="6625"/>
      </w:tblGrid>
      <w:tr w14:paraId="43C2835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4F158075">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序号</w:t>
            </w:r>
          </w:p>
        </w:tc>
        <w:tc>
          <w:tcPr>
            <w:tcW w:w="2155" w:type="dxa"/>
            <w:tcBorders>
              <w:top w:val="single" w:color="auto" w:sz="4" w:space="0"/>
              <w:left w:val="single" w:color="auto" w:sz="4" w:space="0"/>
              <w:bottom w:val="single" w:color="auto" w:sz="4" w:space="0"/>
              <w:right w:val="single" w:color="auto" w:sz="4" w:space="0"/>
            </w:tcBorders>
            <w:vAlign w:val="center"/>
          </w:tcPr>
          <w:p w14:paraId="0CD93B85">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项    目</w:t>
            </w:r>
          </w:p>
        </w:tc>
        <w:tc>
          <w:tcPr>
            <w:tcW w:w="6625" w:type="dxa"/>
            <w:tcBorders>
              <w:top w:val="single" w:color="auto" w:sz="4" w:space="0"/>
              <w:left w:val="single" w:color="auto" w:sz="4" w:space="0"/>
              <w:bottom w:val="single" w:color="auto" w:sz="4" w:space="0"/>
            </w:tcBorders>
            <w:vAlign w:val="center"/>
          </w:tcPr>
          <w:p w14:paraId="496FD7E9">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内           容</w:t>
            </w:r>
          </w:p>
        </w:tc>
      </w:tr>
      <w:tr w14:paraId="35DC3D5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35EECE34">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w:t>
            </w:r>
          </w:p>
        </w:tc>
        <w:tc>
          <w:tcPr>
            <w:tcW w:w="2155" w:type="dxa"/>
            <w:tcBorders>
              <w:top w:val="single" w:color="auto" w:sz="4" w:space="0"/>
              <w:left w:val="single" w:color="auto" w:sz="4" w:space="0"/>
              <w:bottom w:val="single" w:color="auto" w:sz="4" w:space="0"/>
              <w:right w:val="single" w:color="auto" w:sz="4" w:space="0"/>
            </w:tcBorders>
            <w:vAlign w:val="center"/>
          </w:tcPr>
          <w:p w14:paraId="2D023B98">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项目名称</w:t>
            </w:r>
          </w:p>
        </w:tc>
        <w:tc>
          <w:tcPr>
            <w:tcW w:w="6625" w:type="dxa"/>
            <w:tcBorders>
              <w:top w:val="single" w:color="auto" w:sz="4" w:space="0"/>
              <w:left w:val="single" w:color="auto" w:sz="4" w:space="0"/>
              <w:bottom w:val="single" w:color="auto" w:sz="4" w:space="0"/>
            </w:tcBorders>
            <w:vAlign w:val="center"/>
          </w:tcPr>
          <w:p w14:paraId="051EF6F5">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lang w:val="en-US" w:eastAsia="zh-CN"/>
                <w14:textFill>
                  <w14:solidFill>
                    <w14:schemeClr w14:val="tx1"/>
                  </w14:solidFill>
                </w14:textFill>
              </w:rPr>
              <w:t>荣成市城市数智化转型与数字生态建设</w:t>
            </w:r>
          </w:p>
        </w:tc>
      </w:tr>
      <w:tr w14:paraId="101517E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0B04F002">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2</w:t>
            </w:r>
          </w:p>
        </w:tc>
        <w:tc>
          <w:tcPr>
            <w:tcW w:w="2155" w:type="dxa"/>
            <w:tcBorders>
              <w:top w:val="single" w:color="auto" w:sz="4" w:space="0"/>
              <w:left w:val="single" w:color="auto" w:sz="4" w:space="0"/>
              <w:bottom w:val="single" w:color="auto" w:sz="4" w:space="0"/>
              <w:right w:val="single" w:color="auto" w:sz="4" w:space="0"/>
            </w:tcBorders>
            <w:vAlign w:val="center"/>
          </w:tcPr>
          <w:p w14:paraId="7A2FE174">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项目编号</w:t>
            </w:r>
          </w:p>
        </w:tc>
        <w:tc>
          <w:tcPr>
            <w:tcW w:w="6625" w:type="dxa"/>
            <w:tcBorders>
              <w:top w:val="single" w:color="auto" w:sz="4" w:space="0"/>
              <w:left w:val="single" w:color="auto" w:sz="4" w:space="0"/>
              <w:bottom w:val="single" w:color="auto" w:sz="4" w:space="0"/>
            </w:tcBorders>
            <w:vAlign w:val="center"/>
          </w:tcPr>
          <w:p w14:paraId="1708E81A">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lang w:eastAsia="zh-CN"/>
                <w14:textFill>
                  <w14:solidFill>
                    <w14:schemeClr w14:val="tx1"/>
                  </w14:solidFill>
                </w14:textFill>
              </w:rPr>
              <w:t>RCTDFZ2026-006</w:t>
            </w:r>
          </w:p>
        </w:tc>
      </w:tr>
      <w:tr w14:paraId="6EEC7CC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389" w:hRule="atLeast"/>
          <w:jc w:val="center"/>
        </w:trPr>
        <w:tc>
          <w:tcPr>
            <w:tcW w:w="908" w:type="dxa"/>
            <w:tcBorders>
              <w:top w:val="single" w:color="auto" w:sz="4" w:space="0"/>
              <w:bottom w:val="single" w:color="auto" w:sz="4" w:space="0"/>
              <w:right w:val="single" w:color="auto" w:sz="4" w:space="0"/>
            </w:tcBorders>
            <w:vAlign w:val="center"/>
          </w:tcPr>
          <w:p w14:paraId="5C518F5F">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3</w:t>
            </w:r>
          </w:p>
        </w:tc>
        <w:tc>
          <w:tcPr>
            <w:tcW w:w="2155" w:type="dxa"/>
            <w:tcBorders>
              <w:top w:val="single" w:color="auto" w:sz="4" w:space="0"/>
              <w:left w:val="single" w:color="auto" w:sz="4" w:space="0"/>
              <w:bottom w:val="single" w:color="auto" w:sz="4" w:space="0"/>
              <w:right w:val="single" w:color="auto" w:sz="4" w:space="0"/>
            </w:tcBorders>
            <w:vAlign w:val="center"/>
          </w:tcPr>
          <w:p w14:paraId="302A4840">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采购人</w:t>
            </w:r>
          </w:p>
        </w:tc>
        <w:tc>
          <w:tcPr>
            <w:tcW w:w="6625" w:type="dxa"/>
            <w:tcBorders>
              <w:top w:val="single" w:color="auto" w:sz="4" w:space="0"/>
              <w:left w:val="single" w:color="auto" w:sz="4" w:space="0"/>
              <w:bottom w:val="single" w:color="auto" w:sz="4" w:space="0"/>
            </w:tcBorders>
            <w:vAlign w:val="center"/>
          </w:tcPr>
          <w:p w14:paraId="09230E6D">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单位名称：</w:t>
            </w:r>
            <w:bookmarkStart w:id="7" w:name="OLE_LINK42"/>
            <w:bookmarkStart w:id="8" w:name="OLE_LINK41"/>
            <w:r>
              <w:rPr>
                <w:rFonts w:hint="eastAsia" w:ascii="仿宋_GB2312" w:hAnsi="宋体" w:eastAsia="仿宋_GB2312"/>
                <w:color w:val="000000" w:themeColor="text1"/>
                <w:sz w:val="28"/>
                <w:szCs w:val="28"/>
                <w:highlight w:val="none"/>
                <w:lang w:eastAsia="zh-CN"/>
                <w14:textFill>
                  <w14:solidFill>
                    <w14:schemeClr w14:val="tx1"/>
                  </w14:solidFill>
                </w14:textFill>
              </w:rPr>
              <w:t>荣成市土地发展集团有限公司</w:t>
            </w:r>
          </w:p>
          <w:bookmarkEnd w:id="7"/>
          <w:bookmarkEnd w:id="8"/>
          <w:p w14:paraId="213136F8">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地    址：荣成市成山大道中段190号</w:t>
            </w:r>
          </w:p>
          <w:p w14:paraId="3760A254">
            <w:pPr>
              <w:spacing w:line="560" w:lineRule="exact"/>
              <w:rPr>
                <w:rFonts w:hint="eastAsia" w:ascii="仿宋_GB2312" w:hAnsi="宋体" w:eastAsia="仿宋_GB2312"/>
                <w:color w:val="000000" w:themeColor="text1"/>
                <w:sz w:val="28"/>
                <w:szCs w:val="28"/>
                <w:highlight w:val="none"/>
                <w:lang w:val="en-US"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联 系 人：</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彭科长</w:t>
            </w:r>
          </w:p>
          <w:p w14:paraId="27E59A8B">
            <w:pPr>
              <w:spacing w:line="560" w:lineRule="exact"/>
              <w:rPr>
                <w:rFonts w:hint="default" w:ascii="仿宋_GB2312" w:hAnsi="宋体" w:eastAsia="仿宋_GB2312"/>
                <w:color w:val="000000" w:themeColor="text1"/>
                <w:sz w:val="28"/>
                <w:szCs w:val="28"/>
                <w:highlight w:val="none"/>
                <w:lang w:val="en-US"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联系电话：</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0631-7561710</w:t>
            </w:r>
          </w:p>
        </w:tc>
      </w:tr>
      <w:tr w14:paraId="20182B0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389" w:hRule="atLeast"/>
          <w:jc w:val="center"/>
        </w:trPr>
        <w:tc>
          <w:tcPr>
            <w:tcW w:w="908" w:type="dxa"/>
            <w:tcBorders>
              <w:top w:val="single" w:color="auto" w:sz="4" w:space="0"/>
              <w:bottom w:val="single" w:color="auto" w:sz="4" w:space="0"/>
              <w:right w:val="single" w:color="auto" w:sz="4" w:space="0"/>
            </w:tcBorders>
            <w:vAlign w:val="center"/>
          </w:tcPr>
          <w:p w14:paraId="710E3DDC">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4</w:t>
            </w:r>
          </w:p>
        </w:tc>
        <w:tc>
          <w:tcPr>
            <w:tcW w:w="2155" w:type="dxa"/>
            <w:tcBorders>
              <w:top w:val="single" w:color="auto" w:sz="4" w:space="0"/>
              <w:left w:val="single" w:color="auto" w:sz="4" w:space="0"/>
              <w:bottom w:val="single" w:color="auto" w:sz="4" w:space="0"/>
              <w:right w:val="single" w:color="auto" w:sz="4" w:space="0"/>
            </w:tcBorders>
            <w:vAlign w:val="center"/>
          </w:tcPr>
          <w:p w14:paraId="29CF3970">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采购代理机构</w:t>
            </w:r>
          </w:p>
        </w:tc>
        <w:tc>
          <w:tcPr>
            <w:tcW w:w="6625" w:type="dxa"/>
            <w:tcBorders>
              <w:top w:val="single" w:color="auto" w:sz="4" w:space="0"/>
              <w:left w:val="single" w:color="auto" w:sz="4" w:space="0"/>
              <w:bottom w:val="single" w:color="auto" w:sz="4" w:space="0"/>
            </w:tcBorders>
            <w:vAlign w:val="center"/>
          </w:tcPr>
          <w:p w14:paraId="531B19FD">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机构名称：山东志诚工程咨询管理有限公司</w:t>
            </w:r>
          </w:p>
          <w:p w14:paraId="02A31D49">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单位地址：荣成市观海中路16号</w:t>
            </w:r>
          </w:p>
          <w:p w14:paraId="6AEF51E3">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联系人：夏菁</w:t>
            </w:r>
          </w:p>
          <w:p w14:paraId="394684C8">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联系电话：0631-7567778</w:t>
            </w:r>
          </w:p>
        </w:tc>
      </w:tr>
      <w:tr w14:paraId="5208840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2229ED08">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5</w:t>
            </w:r>
          </w:p>
        </w:tc>
        <w:tc>
          <w:tcPr>
            <w:tcW w:w="2155" w:type="dxa"/>
            <w:tcBorders>
              <w:top w:val="single" w:color="auto" w:sz="4" w:space="0"/>
              <w:left w:val="single" w:color="auto" w:sz="4" w:space="0"/>
              <w:bottom w:val="single" w:color="auto" w:sz="4" w:space="0"/>
              <w:right w:val="single" w:color="auto" w:sz="4" w:space="0"/>
            </w:tcBorders>
            <w:vAlign w:val="center"/>
          </w:tcPr>
          <w:p w14:paraId="67433FF1">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电子投标</w:t>
            </w:r>
          </w:p>
          <w:p w14:paraId="3FE2DB78">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特别提示</w:t>
            </w:r>
          </w:p>
        </w:tc>
        <w:tc>
          <w:tcPr>
            <w:tcW w:w="6625" w:type="dxa"/>
            <w:tcBorders>
              <w:top w:val="single" w:color="auto" w:sz="4" w:space="0"/>
              <w:left w:val="single" w:color="auto" w:sz="4" w:space="0"/>
              <w:bottom w:val="single" w:color="auto" w:sz="4" w:space="0"/>
            </w:tcBorders>
            <w:vAlign w:val="center"/>
          </w:tcPr>
          <w:p w14:paraId="7E4562C1">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登录威海市公共资源交易网（荣成市）（http://ggzyjy.weihai.cn/rongcheng/）（右上角【交易服务一网通办系统（新版一网通办系统）】按钮）进入“威海市国有企业阳光采购电子化服务平台”进行注册，取得用户名和密码（已经完成注册无须重复注册）；首次注册的供应商应及时办理安全证书（CA锁）及电子签章。2．本项目必须网上递交投标文件，参与本项目供应商应利用办理好的CA锁登录威海市国有企业阳光采购电子化服务平台进行招标文件的获取、文件下载和网上递交投标文件，且安全证书（CA锁）在有效期内。</w:t>
            </w:r>
          </w:p>
          <w:p w14:paraId="29374EEF">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 xml:space="preserve">3．电子投标文件制作及递交等有关操作见本文件及威海市公共资源交易网办事指南栏目-国企采购专区-《新版威海市国有企业阳光采购服务平台操作演示视频（供应商）》，网址: </w:t>
            </w:r>
            <w:r>
              <w:rPr>
                <w:rFonts w:ascii="仿宋_GB2312" w:hAnsi="宋体" w:eastAsia="仿宋_GB2312"/>
                <w:color w:val="000000" w:themeColor="text1"/>
                <w:sz w:val="28"/>
                <w:szCs w:val="28"/>
                <w:highlight w:val="none"/>
                <w14:textFill>
                  <w14:solidFill>
                    <w14:schemeClr w14:val="tx1"/>
                  </w14:solidFill>
                </w14:textFill>
              </w:rPr>
              <w:t>https://ggzyjy.weihai.cn/weihai/bszn/005005/20260109/315a049e-0d75-4f85-8634-00d90a843936.html</w:t>
            </w:r>
            <w:r>
              <w:rPr>
                <w:rFonts w:hint="eastAsia" w:ascii="仿宋_GB2312" w:hAnsi="宋体" w:eastAsia="仿宋_GB2312"/>
                <w:color w:val="000000" w:themeColor="text1"/>
                <w:sz w:val="28"/>
                <w:szCs w:val="28"/>
                <w:highlight w:val="none"/>
                <w14:textFill>
                  <w14:solidFill>
                    <w14:schemeClr w14:val="tx1"/>
                  </w14:solidFill>
                </w14:textFill>
              </w:rPr>
              <w:t>、投标文件制作及系统使用咨询电话：</w:t>
            </w:r>
            <w:r>
              <w:rPr>
                <w:rFonts w:ascii="仿宋_GB2312" w:hAnsi="宋体" w:eastAsia="仿宋_GB2312"/>
                <w:color w:val="000000" w:themeColor="text1"/>
                <w:sz w:val="28"/>
                <w:szCs w:val="28"/>
                <w:highlight w:val="none"/>
                <w14:textFill>
                  <w14:solidFill>
                    <w14:schemeClr w14:val="tx1"/>
                  </w14:solidFill>
                </w14:textFill>
              </w:rPr>
              <w:t>17863029936</w:t>
            </w:r>
            <w:r>
              <w:rPr>
                <w:rFonts w:hint="eastAsia" w:ascii="仿宋_GB2312" w:hAnsi="宋体" w:eastAsia="仿宋_GB2312"/>
                <w:color w:val="000000" w:themeColor="text1"/>
                <w:sz w:val="28"/>
                <w:szCs w:val="28"/>
                <w:highlight w:val="none"/>
                <w14:textFill>
                  <w14:solidFill>
                    <w14:schemeClr w14:val="tx1"/>
                  </w14:solidFill>
                </w14:textFill>
              </w:rPr>
              <w:t>；0631-5307028；平台QQ服务群：</w:t>
            </w:r>
            <w:r>
              <w:rPr>
                <w:rFonts w:ascii="仿宋_GB2312" w:hAnsi="宋体" w:eastAsia="仿宋_GB2312"/>
                <w:color w:val="000000" w:themeColor="text1"/>
                <w:sz w:val="28"/>
                <w:szCs w:val="28"/>
                <w:highlight w:val="none"/>
                <w14:textFill>
                  <w14:solidFill>
                    <w14:schemeClr w14:val="tx1"/>
                  </w14:solidFill>
                </w14:textFill>
              </w:rPr>
              <w:t>1046971257</w:t>
            </w:r>
            <w:r>
              <w:rPr>
                <w:rFonts w:hint="eastAsia" w:ascii="仿宋_GB2312" w:hAnsi="宋体" w:eastAsia="仿宋_GB2312"/>
                <w:color w:val="000000" w:themeColor="text1"/>
                <w:sz w:val="28"/>
                <w:szCs w:val="28"/>
                <w:highlight w:val="none"/>
                <w14:textFill>
                  <w14:solidFill>
                    <w14:schemeClr w14:val="tx1"/>
                  </w14:solidFill>
                </w14:textFill>
              </w:rPr>
              <w:t>。</w:t>
            </w:r>
          </w:p>
          <w:p w14:paraId="10E4B236">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4．网上递交投标文件时，登录交易平台的电脑须满足以下环境要求：（1）操作系统：Windows 7 （2）浏览器：Internet Explorer 11、10（3）办公软件：Microsoft Office 2007、2010（4）PDF软件推荐：Adobe Reader。非以上环境可能出现错误影响其投标，登录交易平台时如提示更新插件则必须更新，否则影响其电子投标。</w:t>
            </w:r>
          </w:p>
          <w:p w14:paraId="0782C3A0">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5．供应商提交的电子投标文件应按照本招标文件《第六章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25025029">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6．电子投标文件必须有电子签章方为合法的投标文件，未对电子投标文件进行电子签章的，将作为无效投标处理。电子投标文件的电子签章要求：在生成电子投标文件pdf格式时，都必须对电子投标文件进行电子签章；签章时需要将电子签章签署到相应的位置中。</w:t>
            </w:r>
          </w:p>
          <w:p w14:paraId="658231C7">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7．供应商投标文件中的相关扫描件应保证清晰度，无法辨认的评审时受到影响的，由供应商自行承担相应责任。</w:t>
            </w:r>
          </w:p>
          <w:p w14:paraId="381B240D">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8．除网上递交电子投标文件外，如有要求递交相关资质证明文件原件的，还须按其要求独立密封递交（被授权人身份证原件除外）</w:t>
            </w:r>
          </w:p>
          <w:p w14:paraId="3E1F0682">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9．投标人应充分考虑到网上递交投标文件会发生的故障和风险。对发生的任何故障和风险造成投标人报价内容不一致或利益受损或投标失败的，采购人及招标代理机构不承担任何责任。</w:t>
            </w:r>
          </w:p>
        </w:tc>
      </w:tr>
      <w:tr w14:paraId="5055E4C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1775E4EC">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6</w:t>
            </w:r>
          </w:p>
        </w:tc>
        <w:tc>
          <w:tcPr>
            <w:tcW w:w="2155" w:type="dxa"/>
            <w:tcBorders>
              <w:top w:val="single" w:color="auto" w:sz="4" w:space="0"/>
              <w:left w:val="single" w:color="auto" w:sz="4" w:space="0"/>
              <w:bottom w:val="single" w:color="auto" w:sz="4" w:space="0"/>
              <w:right w:val="single" w:color="auto" w:sz="4" w:space="0"/>
            </w:tcBorders>
            <w:vAlign w:val="center"/>
          </w:tcPr>
          <w:p w14:paraId="5A4A0E0A">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资质证明</w:t>
            </w:r>
          </w:p>
          <w:p w14:paraId="1F2A4B26">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文件原件</w:t>
            </w:r>
          </w:p>
        </w:tc>
        <w:tc>
          <w:tcPr>
            <w:tcW w:w="6625" w:type="dxa"/>
            <w:tcBorders>
              <w:top w:val="single" w:color="auto" w:sz="4" w:space="0"/>
              <w:left w:val="single" w:color="auto" w:sz="4" w:space="0"/>
              <w:bottom w:val="single" w:color="auto" w:sz="4" w:space="0"/>
            </w:tcBorders>
            <w:vAlign w:val="center"/>
          </w:tcPr>
          <w:p w14:paraId="40633D5F">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无</w:t>
            </w:r>
          </w:p>
        </w:tc>
      </w:tr>
      <w:tr w14:paraId="0D5E9AB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7A638CD9">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7</w:t>
            </w:r>
          </w:p>
        </w:tc>
        <w:tc>
          <w:tcPr>
            <w:tcW w:w="2155" w:type="dxa"/>
            <w:tcBorders>
              <w:top w:val="single" w:color="auto" w:sz="4" w:space="0"/>
              <w:left w:val="single" w:color="auto" w:sz="4" w:space="0"/>
              <w:bottom w:val="single" w:color="auto" w:sz="4" w:space="0"/>
              <w:right w:val="single" w:color="auto" w:sz="4" w:space="0"/>
            </w:tcBorders>
            <w:vAlign w:val="center"/>
          </w:tcPr>
          <w:p w14:paraId="415620DA">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投标文件份数</w:t>
            </w:r>
          </w:p>
        </w:tc>
        <w:tc>
          <w:tcPr>
            <w:tcW w:w="6625" w:type="dxa"/>
            <w:tcBorders>
              <w:top w:val="single" w:color="auto" w:sz="4" w:space="0"/>
              <w:left w:val="single" w:color="auto" w:sz="4" w:space="0"/>
              <w:bottom w:val="single" w:color="auto" w:sz="4" w:space="0"/>
            </w:tcBorders>
            <w:vAlign w:val="center"/>
          </w:tcPr>
          <w:p w14:paraId="60283EBD">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电子投标文件1份（网上按时递交）。</w:t>
            </w:r>
          </w:p>
        </w:tc>
      </w:tr>
      <w:tr w14:paraId="652D8E4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6195988A">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8</w:t>
            </w:r>
          </w:p>
        </w:tc>
        <w:tc>
          <w:tcPr>
            <w:tcW w:w="2155" w:type="dxa"/>
            <w:tcBorders>
              <w:top w:val="single" w:color="auto" w:sz="4" w:space="0"/>
              <w:left w:val="single" w:color="auto" w:sz="4" w:space="0"/>
              <w:bottom w:val="single" w:color="auto" w:sz="4" w:space="0"/>
              <w:right w:val="single" w:color="auto" w:sz="4" w:space="0"/>
            </w:tcBorders>
            <w:vAlign w:val="center"/>
          </w:tcPr>
          <w:p w14:paraId="2418C51F">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实物样品</w:t>
            </w:r>
          </w:p>
        </w:tc>
        <w:tc>
          <w:tcPr>
            <w:tcW w:w="6625" w:type="dxa"/>
            <w:tcBorders>
              <w:top w:val="single" w:color="auto" w:sz="4" w:space="0"/>
              <w:left w:val="single" w:color="auto" w:sz="4" w:space="0"/>
              <w:bottom w:val="single" w:color="auto" w:sz="4" w:space="0"/>
            </w:tcBorders>
            <w:vAlign w:val="center"/>
          </w:tcPr>
          <w:p w14:paraId="0AFBAABD">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无。</w:t>
            </w:r>
          </w:p>
        </w:tc>
      </w:tr>
      <w:tr w14:paraId="5A25E49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5B3E8566">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9</w:t>
            </w:r>
          </w:p>
        </w:tc>
        <w:tc>
          <w:tcPr>
            <w:tcW w:w="2155" w:type="dxa"/>
            <w:tcBorders>
              <w:top w:val="single" w:color="auto" w:sz="4" w:space="0"/>
              <w:left w:val="single" w:color="auto" w:sz="4" w:space="0"/>
              <w:bottom w:val="single" w:color="auto" w:sz="4" w:space="0"/>
              <w:right w:val="single" w:color="auto" w:sz="4" w:space="0"/>
            </w:tcBorders>
            <w:vAlign w:val="center"/>
          </w:tcPr>
          <w:p w14:paraId="67B36C0E">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现场踏勘</w:t>
            </w:r>
          </w:p>
        </w:tc>
        <w:tc>
          <w:tcPr>
            <w:tcW w:w="6625" w:type="dxa"/>
            <w:tcBorders>
              <w:top w:val="single" w:color="auto" w:sz="4" w:space="0"/>
              <w:left w:val="single" w:color="auto" w:sz="4" w:space="0"/>
              <w:bottom w:val="single" w:color="auto" w:sz="4" w:space="0"/>
            </w:tcBorders>
            <w:vAlign w:val="center"/>
          </w:tcPr>
          <w:p w14:paraId="119A8CC8">
            <w:pPr>
              <w:spacing w:line="560" w:lineRule="exact"/>
              <w:textAlignment w:val="top"/>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否。</w:t>
            </w:r>
          </w:p>
        </w:tc>
      </w:tr>
      <w:tr w14:paraId="1C1D566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050596FE">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10</w:t>
            </w:r>
          </w:p>
        </w:tc>
        <w:tc>
          <w:tcPr>
            <w:tcW w:w="2155" w:type="dxa"/>
            <w:tcBorders>
              <w:top w:val="single" w:color="auto" w:sz="4" w:space="0"/>
              <w:left w:val="single" w:color="auto" w:sz="4" w:space="0"/>
              <w:bottom w:val="single" w:color="auto" w:sz="4" w:space="0"/>
              <w:right w:val="single" w:color="auto" w:sz="4" w:space="0"/>
            </w:tcBorders>
            <w:vAlign w:val="center"/>
          </w:tcPr>
          <w:p w14:paraId="2B3B5E93">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现场演示</w:t>
            </w:r>
          </w:p>
        </w:tc>
        <w:tc>
          <w:tcPr>
            <w:tcW w:w="6625" w:type="dxa"/>
            <w:tcBorders>
              <w:top w:val="single" w:color="auto" w:sz="4" w:space="0"/>
              <w:left w:val="single" w:color="auto" w:sz="4" w:space="0"/>
              <w:bottom w:val="single" w:color="auto" w:sz="4" w:space="0"/>
            </w:tcBorders>
            <w:vAlign w:val="center"/>
          </w:tcPr>
          <w:p w14:paraId="5E1B5DDB">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无 。</w:t>
            </w:r>
          </w:p>
        </w:tc>
      </w:tr>
      <w:tr w14:paraId="332F617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5C19FD6E">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11</w:t>
            </w:r>
          </w:p>
        </w:tc>
        <w:tc>
          <w:tcPr>
            <w:tcW w:w="2155" w:type="dxa"/>
            <w:tcBorders>
              <w:top w:val="single" w:color="auto" w:sz="4" w:space="0"/>
              <w:left w:val="single" w:color="auto" w:sz="4" w:space="0"/>
              <w:bottom w:val="single" w:color="auto" w:sz="4" w:space="0"/>
              <w:right w:val="single" w:color="auto" w:sz="4" w:space="0"/>
            </w:tcBorders>
            <w:vAlign w:val="center"/>
          </w:tcPr>
          <w:p w14:paraId="0E743461">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投标有效期</w:t>
            </w:r>
          </w:p>
        </w:tc>
        <w:tc>
          <w:tcPr>
            <w:tcW w:w="6625" w:type="dxa"/>
            <w:tcBorders>
              <w:top w:val="single" w:color="auto" w:sz="4" w:space="0"/>
              <w:left w:val="single" w:color="auto" w:sz="4" w:space="0"/>
              <w:bottom w:val="single" w:color="auto" w:sz="4" w:space="0"/>
            </w:tcBorders>
            <w:vAlign w:val="center"/>
          </w:tcPr>
          <w:p w14:paraId="75FFF0B6">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开标之日起90天。</w:t>
            </w:r>
          </w:p>
        </w:tc>
      </w:tr>
      <w:tr w14:paraId="6DD6898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5EF24738">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12</w:t>
            </w:r>
          </w:p>
        </w:tc>
        <w:tc>
          <w:tcPr>
            <w:tcW w:w="2155" w:type="dxa"/>
            <w:tcBorders>
              <w:top w:val="single" w:color="auto" w:sz="4" w:space="0"/>
              <w:left w:val="single" w:color="auto" w:sz="4" w:space="0"/>
              <w:bottom w:val="single" w:color="auto" w:sz="4" w:space="0"/>
              <w:right w:val="single" w:color="auto" w:sz="4" w:space="0"/>
            </w:tcBorders>
            <w:vAlign w:val="center"/>
          </w:tcPr>
          <w:p w14:paraId="121FB5CC">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投标文件递交时间及地点</w:t>
            </w:r>
          </w:p>
        </w:tc>
        <w:tc>
          <w:tcPr>
            <w:tcW w:w="6625" w:type="dxa"/>
            <w:tcBorders>
              <w:top w:val="single" w:color="auto" w:sz="4" w:space="0"/>
              <w:left w:val="single" w:color="auto" w:sz="4" w:space="0"/>
              <w:bottom w:val="single" w:color="auto" w:sz="4" w:space="0"/>
            </w:tcBorders>
            <w:vAlign w:val="center"/>
          </w:tcPr>
          <w:p w14:paraId="060159E7">
            <w:pPr>
              <w:spacing w:line="560" w:lineRule="exact"/>
              <w:ind w:left="280" w:hanging="280" w:hanging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电子投标文件递交时间：详见第一章采购公告。</w:t>
            </w:r>
          </w:p>
          <w:p w14:paraId="7F38180C">
            <w:pPr>
              <w:spacing w:line="560" w:lineRule="exact"/>
              <w:ind w:left="280" w:hanging="280" w:hanging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递交地点：详见第一章采购公告。</w:t>
            </w:r>
          </w:p>
        </w:tc>
      </w:tr>
      <w:tr w14:paraId="54A0C98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66" w:hRule="atLeast"/>
          <w:jc w:val="center"/>
        </w:trPr>
        <w:tc>
          <w:tcPr>
            <w:tcW w:w="908" w:type="dxa"/>
            <w:tcBorders>
              <w:top w:val="single" w:color="auto" w:sz="4" w:space="0"/>
              <w:bottom w:val="single" w:color="auto" w:sz="4" w:space="0"/>
              <w:right w:val="single" w:color="auto" w:sz="4" w:space="0"/>
            </w:tcBorders>
            <w:vAlign w:val="center"/>
          </w:tcPr>
          <w:p w14:paraId="0E4F3CFF">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13</w:t>
            </w:r>
          </w:p>
        </w:tc>
        <w:tc>
          <w:tcPr>
            <w:tcW w:w="2155" w:type="dxa"/>
            <w:tcBorders>
              <w:top w:val="single" w:color="auto" w:sz="4" w:space="0"/>
              <w:left w:val="single" w:color="auto" w:sz="4" w:space="0"/>
              <w:bottom w:val="single" w:color="auto" w:sz="4" w:space="0"/>
              <w:right w:val="single" w:color="auto" w:sz="4" w:space="0"/>
            </w:tcBorders>
            <w:vAlign w:val="center"/>
          </w:tcPr>
          <w:p w14:paraId="60D80D59">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开标时间</w:t>
            </w:r>
          </w:p>
        </w:tc>
        <w:tc>
          <w:tcPr>
            <w:tcW w:w="6625" w:type="dxa"/>
            <w:tcBorders>
              <w:top w:val="single" w:color="auto" w:sz="4" w:space="0"/>
              <w:left w:val="single" w:color="auto" w:sz="4" w:space="0"/>
              <w:bottom w:val="single" w:color="auto" w:sz="4" w:space="0"/>
            </w:tcBorders>
            <w:vAlign w:val="center"/>
          </w:tcPr>
          <w:p w14:paraId="3EE88C78">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详见第一章采购公告。</w:t>
            </w:r>
          </w:p>
        </w:tc>
      </w:tr>
      <w:tr w14:paraId="39E8F08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52E25FBA">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14</w:t>
            </w:r>
          </w:p>
        </w:tc>
        <w:tc>
          <w:tcPr>
            <w:tcW w:w="2155" w:type="dxa"/>
            <w:tcBorders>
              <w:top w:val="single" w:color="auto" w:sz="4" w:space="0"/>
              <w:left w:val="single" w:color="auto" w:sz="4" w:space="0"/>
              <w:bottom w:val="single" w:color="auto" w:sz="4" w:space="0"/>
              <w:right w:val="single" w:color="auto" w:sz="4" w:space="0"/>
            </w:tcBorders>
            <w:vAlign w:val="center"/>
          </w:tcPr>
          <w:p w14:paraId="111DD663">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开标地点</w:t>
            </w:r>
          </w:p>
        </w:tc>
        <w:tc>
          <w:tcPr>
            <w:tcW w:w="6625" w:type="dxa"/>
            <w:tcBorders>
              <w:top w:val="single" w:color="auto" w:sz="4" w:space="0"/>
              <w:left w:val="single" w:color="auto" w:sz="4" w:space="0"/>
              <w:bottom w:val="single" w:color="auto" w:sz="4" w:space="0"/>
            </w:tcBorders>
            <w:vAlign w:val="center"/>
          </w:tcPr>
          <w:p w14:paraId="7A834DA8">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详见第一章采购公告。</w:t>
            </w:r>
          </w:p>
        </w:tc>
      </w:tr>
      <w:tr w14:paraId="65EB314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4F7CC898">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15</w:t>
            </w:r>
          </w:p>
        </w:tc>
        <w:tc>
          <w:tcPr>
            <w:tcW w:w="2155" w:type="dxa"/>
            <w:tcBorders>
              <w:top w:val="single" w:color="auto" w:sz="4" w:space="0"/>
              <w:left w:val="single" w:color="auto" w:sz="4" w:space="0"/>
              <w:bottom w:val="single" w:color="auto" w:sz="4" w:space="0"/>
              <w:right w:val="single" w:color="auto" w:sz="4" w:space="0"/>
            </w:tcBorders>
            <w:vAlign w:val="center"/>
          </w:tcPr>
          <w:p w14:paraId="4B23AC9F">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开标方式</w:t>
            </w:r>
          </w:p>
        </w:tc>
        <w:tc>
          <w:tcPr>
            <w:tcW w:w="6625" w:type="dxa"/>
            <w:tcBorders>
              <w:top w:val="single" w:color="auto" w:sz="4" w:space="0"/>
              <w:left w:val="single" w:color="auto" w:sz="4" w:space="0"/>
              <w:bottom w:val="single" w:color="auto" w:sz="4" w:space="0"/>
            </w:tcBorders>
            <w:vAlign w:val="center"/>
          </w:tcPr>
          <w:p w14:paraId="1FC7AF67">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eastAsia="仿宋_GB2312"/>
                <w:color w:val="000000" w:themeColor="text1"/>
                <w:sz w:val="28"/>
                <w:szCs w:val="28"/>
                <w:highlight w:val="none"/>
                <w14:textFill>
                  <w14:solidFill>
                    <w14:schemeClr w14:val="tx1"/>
                  </w14:solidFill>
                </w14:textFill>
              </w:rPr>
              <w:t>本项目实行全流程电子化，实行远程解密，投标人无需到现场，并保持通讯畅通，提前在个人电脑上进行测试确保音频、视频功能可正常使用。因通讯不畅造成的一切后果由供应商自行承担。</w:t>
            </w:r>
          </w:p>
        </w:tc>
      </w:tr>
      <w:tr w14:paraId="520BFA7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4996C647">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16</w:t>
            </w:r>
          </w:p>
        </w:tc>
        <w:tc>
          <w:tcPr>
            <w:tcW w:w="2155" w:type="dxa"/>
            <w:tcBorders>
              <w:top w:val="single" w:color="auto" w:sz="4" w:space="0"/>
              <w:left w:val="single" w:color="auto" w:sz="4" w:space="0"/>
              <w:bottom w:val="single" w:color="auto" w:sz="4" w:space="0"/>
              <w:right w:val="single" w:color="auto" w:sz="4" w:space="0"/>
            </w:tcBorders>
            <w:vAlign w:val="center"/>
          </w:tcPr>
          <w:p w14:paraId="4A5386D9">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开标程序</w:t>
            </w:r>
          </w:p>
        </w:tc>
        <w:tc>
          <w:tcPr>
            <w:tcW w:w="6625" w:type="dxa"/>
            <w:tcBorders>
              <w:top w:val="single" w:color="auto" w:sz="4" w:space="0"/>
              <w:left w:val="single" w:color="auto" w:sz="4" w:space="0"/>
              <w:bottom w:val="single" w:color="auto" w:sz="4" w:space="0"/>
            </w:tcBorders>
            <w:vAlign w:val="center"/>
          </w:tcPr>
          <w:p w14:paraId="105FFB62">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签到时间：开标时间前30分钟内完成。</w:t>
            </w:r>
          </w:p>
          <w:p w14:paraId="1D0682F8">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解密时间：开始解密后15分钟内完成。</w:t>
            </w:r>
          </w:p>
        </w:tc>
      </w:tr>
      <w:tr w14:paraId="3224133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151" w:hRule="atLeast"/>
          <w:jc w:val="center"/>
        </w:trPr>
        <w:tc>
          <w:tcPr>
            <w:tcW w:w="908" w:type="dxa"/>
            <w:tcBorders>
              <w:top w:val="single" w:color="auto" w:sz="4" w:space="0"/>
              <w:bottom w:val="single" w:color="auto" w:sz="4" w:space="0"/>
              <w:right w:val="single" w:color="auto" w:sz="4" w:space="0"/>
            </w:tcBorders>
            <w:vAlign w:val="center"/>
          </w:tcPr>
          <w:p w14:paraId="6404E925">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17</w:t>
            </w:r>
          </w:p>
        </w:tc>
        <w:tc>
          <w:tcPr>
            <w:tcW w:w="2155" w:type="dxa"/>
            <w:tcBorders>
              <w:top w:val="single" w:color="auto" w:sz="4" w:space="0"/>
              <w:left w:val="single" w:color="auto" w:sz="4" w:space="0"/>
              <w:bottom w:val="single" w:color="auto" w:sz="4" w:space="0"/>
              <w:right w:val="single" w:color="auto" w:sz="4" w:space="0"/>
            </w:tcBorders>
            <w:vAlign w:val="center"/>
          </w:tcPr>
          <w:p w14:paraId="0A513282">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交付期及地点</w:t>
            </w:r>
          </w:p>
        </w:tc>
        <w:tc>
          <w:tcPr>
            <w:tcW w:w="6625" w:type="dxa"/>
            <w:tcBorders>
              <w:top w:val="single" w:color="auto" w:sz="4" w:space="0"/>
              <w:left w:val="single" w:color="auto" w:sz="4" w:space="0"/>
              <w:bottom w:val="single" w:color="auto" w:sz="4" w:space="0"/>
            </w:tcBorders>
            <w:vAlign w:val="center"/>
          </w:tcPr>
          <w:p w14:paraId="35A63610">
            <w:pPr>
              <w:spacing w:line="560" w:lineRule="exact"/>
              <w:rPr>
                <w:rFonts w:ascii="仿宋_GB2312" w:hAnsi="宋体" w:eastAsia="仿宋_GB2312"/>
                <w:color w:val="000000" w:themeColor="text1"/>
                <w:sz w:val="28"/>
                <w:szCs w:val="28"/>
                <w:highlight w:val="none"/>
                <w14:textFill>
                  <w14:solidFill>
                    <w14:schemeClr w14:val="tx1"/>
                  </w14:solidFill>
                </w14:textFill>
              </w:rPr>
            </w:pPr>
            <w:bookmarkStart w:id="9" w:name="OLE_LINK87"/>
            <w:bookmarkStart w:id="10" w:name="OLE_LINK86"/>
            <w:bookmarkStart w:id="11" w:name="OLE_LINK84"/>
            <w:bookmarkStart w:id="12" w:name="OLE_LINK85"/>
            <w:r>
              <w:rPr>
                <w:rFonts w:hint="eastAsia" w:ascii="仿宋_GB2312" w:hAnsi="宋体" w:eastAsia="仿宋_GB2312"/>
                <w:color w:val="000000" w:themeColor="text1"/>
                <w:sz w:val="28"/>
                <w:szCs w:val="28"/>
                <w:highlight w:val="none"/>
                <w14:textFill>
                  <w14:solidFill>
                    <w14:schemeClr w14:val="tx1"/>
                  </w14:solidFill>
                </w14:textFill>
              </w:rPr>
              <w:t>交付期：</w:t>
            </w:r>
            <w:bookmarkEnd w:id="9"/>
            <w:bookmarkEnd w:id="10"/>
            <w:r>
              <w:rPr>
                <w:rFonts w:hint="eastAsia" w:ascii="仿宋_GB2312" w:hAnsi="宋体" w:eastAsia="仿宋_GB2312"/>
                <w:color w:val="000000" w:themeColor="text1"/>
                <w:sz w:val="28"/>
                <w:szCs w:val="28"/>
                <w:highlight w:val="none"/>
                <w:lang w:val="en-US" w:eastAsia="zh-CN"/>
                <w14:textFill>
                  <w14:solidFill>
                    <w14:schemeClr w14:val="tx1"/>
                  </w14:solidFill>
                </w14:textFill>
              </w:rPr>
              <w:t>2028年3月31日前交付</w:t>
            </w:r>
            <w:r>
              <w:rPr>
                <w:rFonts w:hint="eastAsia" w:ascii="仿宋_GB2312" w:hAnsi="宋体" w:eastAsia="仿宋_GB2312"/>
                <w:color w:val="000000" w:themeColor="text1"/>
                <w:sz w:val="28"/>
                <w:szCs w:val="28"/>
                <w:highlight w:val="none"/>
                <w14:textFill>
                  <w14:solidFill>
                    <w14:schemeClr w14:val="tx1"/>
                  </w14:solidFill>
                </w14:textFill>
              </w:rPr>
              <w:t>。</w:t>
            </w:r>
          </w:p>
          <w:bookmarkEnd w:id="11"/>
          <w:bookmarkEnd w:id="12"/>
          <w:p w14:paraId="1134CA25">
            <w:pPr>
              <w:pStyle w:val="13"/>
              <w:ind w:firstLine="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地点：采购人指定地点。</w:t>
            </w:r>
          </w:p>
        </w:tc>
      </w:tr>
      <w:tr w14:paraId="6E2BFC7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46" w:hRule="atLeast"/>
          <w:jc w:val="center"/>
        </w:trPr>
        <w:tc>
          <w:tcPr>
            <w:tcW w:w="908" w:type="dxa"/>
            <w:tcBorders>
              <w:top w:val="single" w:color="auto" w:sz="4" w:space="0"/>
              <w:bottom w:val="single" w:color="auto" w:sz="4" w:space="0"/>
              <w:right w:val="single" w:color="auto" w:sz="4" w:space="0"/>
            </w:tcBorders>
            <w:vAlign w:val="center"/>
          </w:tcPr>
          <w:p w14:paraId="009D3478">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18</w:t>
            </w:r>
          </w:p>
        </w:tc>
        <w:tc>
          <w:tcPr>
            <w:tcW w:w="2155" w:type="dxa"/>
            <w:tcBorders>
              <w:top w:val="single" w:color="auto" w:sz="4" w:space="0"/>
              <w:left w:val="single" w:color="auto" w:sz="4" w:space="0"/>
              <w:bottom w:val="single" w:color="auto" w:sz="4" w:space="0"/>
              <w:right w:val="single" w:color="auto" w:sz="4" w:space="0"/>
            </w:tcBorders>
            <w:vAlign w:val="center"/>
          </w:tcPr>
          <w:p w14:paraId="7A1C5F02">
            <w:pPr>
              <w:spacing w:line="560" w:lineRule="exact"/>
              <w:rPr>
                <w:rFonts w:hint="default" w:ascii="仿宋_GB2312" w:hAnsi="宋体" w:eastAsia="仿宋_GB2312"/>
                <w:color w:val="000000" w:themeColor="text1"/>
                <w:sz w:val="28"/>
                <w:szCs w:val="28"/>
                <w:highlight w:val="none"/>
                <w:lang w:val="en-US" w:eastAsia="zh-CN"/>
                <w14:textFill>
                  <w14:solidFill>
                    <w14:schemeClr w14:val="tx1"/>
                  </w14:solidFill>
                </w14:textFill>
              </w:rPr>
            </w:pPr>
            <w:r>
              <w:rPr>
                <w:rFonts w:hint="eastAsia" w:ascii="仿宋_GB2312" w:hAnsi="宋体" w:eastAsia="仿宋_GB2312"/>
                <w:color w:val="000000" w:themeColor="text1"/>
                <w:sz w:val="28"/>
                <w:szCs w:val="28"/>
                <w:highlight w:val="none"/>
                <w:lang w:val="en-US" w:eastAsia="zh-CN"/>
                <w14:textFill>
                  <w14:solidFill>
                    <w14:schemeClr w14:val="tx1"/>
                  </w14:solidFill>
                </w14:textFill>
              </w:rPr>
              <w:t>服务期/运维期</w:t>
            </w:r>
          </w:p>
        </w:tc>
        <w:tc>
          <w:tcPr>
            <w:tcW w:w="6625" w:type="dxa"/>
            <w:tcBorders>
              <w:top w:val="single" w:color="auto" w:sz="4" w:space="0"/>
              <w:left w:val="single" w:color="auto" w:sz="4" w:space="0"/>
              <w:bottom w:val="single" w:color="auto" w:sz="4" w:space="0"/>
            </w:tcBorders>
            <w:vAlign w:val="center"/>
          </w:tcPr>
          <w:p w14:paraId="52C94FE3">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lang w:val="en-US" w:eastAsia="zh-CN"/>
                <w14:textFill>
                  <w14:solidFill>
                    <w14:schemeClr w14:val="tx1"/>
                  </w14:solidFill>
                </w14:textFill>
              </w:rPr>
              <w:t>服务期</w:t>
            </w:r>
            <w:r>
              <w:rPr>
                <w:rFonts w:hint="eastAsia" w:ascii="仿宋_GB2312" w:hAnsi="宋体" w:eastAsia="仿宋_GB2312"/>
                <w:color w:val="000000" w:themeColor="text1"/>
                <w:sz w:val="28"/>
                <w:szCs w:val="28"/>
                <w:highlight w:val="none"/>
                <w14:textFill>
                  <w14:solidFill>
                    <w14:schemeClr w14:val="tx1"/>
                  </w14:solidFill>
                </w14:textFill>
              </w:rPr>
              <w:t>：自项目验收合格之日起不得低于</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一</w:t>
            </w:r>
            <w:r>
              <w:rPr>
                <w:rFonts w:hint="eastAsia" w:ascii="仿宋_GB2312" w:hAnsi="宋体" w:eastAsia="仿宋_GB2312"/>
                <w:color w:val="000000" w:themeColor="text1"/>
                <w:sz w:val="28"/>
                <w:szCs w:val="28"/>
                <w:highlight w:val="none"/>
                <w14:textFill>
                  <w14:solidFill>
                    <w14:schemeClr w14:val="tx1"/>
                  </w14:solidFill>
                </w14:textFill>
              </w:rPr>
              <w:t>年。</w:t>
            </w:r>
          </w:p>
        </w:tc>
      </w:tr>
      <w:tr w14:paraId="6C39845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65" w:hRule="atLeast"/>
          <w:jc w:val="center"/>
        </w:trPr>
        <w:tc>
          <w:tcPr>
            <w:tcW w:w="908" w:type="dxa"/>
            <w:tcBorders>
              <w:top w:val="single" w:color="auto" w:sz="4" w:space="0"/>
              <w:bottom w:val="single" w:color="auto" w:sz="4" w:space="0"/>
              <w:right w:val="single" w:color="auto" w:sz="4" w:space="0"/>
            </w:tcBorders>
            <w:vAlign w:val="center"/>
          </w:tcPr>
          <w:p w14:paraId="4828928F">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19</w:t>
            </w:r>
          </w:p>
        </w:tc>
        <w:tc>
          <w:tcPr>
            <w:tcW w:w="2155" w:type="dxa"/>
            <w:tcBorders>
              <w:top w:val="single" w:color="auto" w:sz="4" w:space="0"/>
              <w:left w:val="single" w:color="auto" w:sz="4" w:space="0"/>
              <w:bottom w:val="single" w:color="auto" w:sz="4" w:space="0"/>
              <w:right w:val="single" w:color="auto" w:sz="4" w:space="0"/>
            </w:tcBorders>
            <w:vAlign w:val="center"/>
          </w:tcPr>
          <w:p w14:paraId="2EBA61A3">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评标办法</w:t>
            </w:r>
          </w:p>
        </w:tc>
        <w:tc>
          <w:tcPr>
            <w:tcW w:w="6625" w:type="dxa"/>
            <w:tcBorders>
              <w:top w:val="single" w:color="auto" w:sz="4" w:space="0"/>
              <w:left w:val="single" w:color="auto" w:sz="4" w:space="0"/>
              <w:bottom w:val="single" w:color="auto" w:sz="4" w:space="0"/>
            </w:tcBorders>
            <w:vAlign w:val="center"/>
          </w:tcPr>
          <w:p w14:paraId="6C0CEE96">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综合评分法。</w:t>
            </w:r>
          </w:p>
        </w:tc>
      </w:tr>
      <w:tr w14:paraId="5F29904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65" w:hRule="atLeast"/>
          <w:jc w:val="center"/>
        </w:trPr>
        <w:tc>
          <w:tcPr>
            <w:tcW w:w="908" w:type="dxa"/>
            <w:tcBorders>
              <w:top w:val="single" w:color="auto" w:sz="4" w:space="0"/>
              <w:bottom w:val="single" w:color="auto" w:sz="4" w:space="0"/>
              <w:right w:val="single" w:color="auto" w:sz="4" w:space="0"/>
            </w:tcBorders>
            <w:vAlign w:val="center"/>
          </w:tcPr>
          <w:p w14:paraId="59BB13F2">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20</w:t>
            </w:r>
          </w:p>
        </w:tc>
        <w:tc>
          <w:tcPr>
            <w:tcW w:w="2155" w:type="dxa"/>
            <w:tcBorders>
              <w:top w:val="single" w:color="auto" w:sz="4" w:space="0"/>
              <w:left w:val="single" w:color="auto" w:sz="4" w:space="0"/>
              <w:bottom w:val="single" w:color="auto" w:sz="4" w:space="0"/>
              <w:right w:val="single" w:color="auto" w:sz="4" w:space="0"/>
            </w:tcBorders>
            <w:vAlign w:val="center"/>
          </w:tcPr>
          <w:p w14:paraId="3354EB49">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联合体投标</w:t>
            </w:r>
          </w:p>
        </w:tc>
        <w:tc>
          <w:tcPr>
            <w:tcW w:w="6625" w:type="dxa"/>
            <w:tcBorders>
              <w:top w:val="single" w:color="auto" w:sz="4" w:space="0"/>
              <w:left w:val="single" w:color="auto" w:sz="4" w:space="0"/>
              <w:bottom w:val="single" w:color="auto" w:sz="4" w:space="0"/>
            </w:tcBorders>
            <w:vAlign w:val="center"/>
          </w:tcPr>
          <w:p w14:paraId="15AD419E">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不接受。</w:t>
            </w:r>
          </w:p>
        </w:tc>
      </w:tr>
      <w:tr w14:paraId="5C1205D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00BC2658">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21</w:t>
            </w:r>
          </w:p>
        </w:tc>
        <w:tc>
          <w:tcPr>
            <w:tcW w:w="2155" w:type="dxa"/>
            <w:tcBorders>
              <w:top w:val="single" w:color="auto" w:sz="4" w:space="0"/>
              <w:left w:val="single" w:color="auto" w:sz="4" w:space="0"/>
              <w:bottom w:val="single" w:color="auto" w:sz="4" w:space="0"/>
              <w:right w:val="single" w:color="auto" w:sz="4" w:space="0"/>
            </w:tcBorders>
            <w:vAlign w:val="center"/>
          </w:tcPr>
          <w:p w14:paraId="4ABB5818">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履约保证金</w:t>
            </w:r>
          </w:p>
        </w:tc>
        <w:tc>
          <w:tcPr>
            <w:tcW w:w="6625" w:type="dxa"/>
            <w:tcBorders>
              <w:top w:val="single" w:color="auto" w:sz="4" w:space="0"/>
              <w:left w:val="single" w:color="auto" w:sz="4" w:space="0"/>
              <w:bottom w:val="single" w:color="auto" w:sz="4" w:space="0"/>
            </w:tcBorders>
            <w:vAlign w:val="center"/>
          </w:tcPr>
          <w:p w14:paraId="1F78ED34">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本项目不收取履约保证金。</w:t>
            </w:r>
          </w:p>
        </w:tc>
      </w:tr>
      <w:tr w14:paraId="602FFE1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2C570C36">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22</w:t>
            </w:r>
          </w:p>
        </w:tc>
        <w:tc>
          <w:tcPr>
            <w:tcW w:w="2155" w:type="dxa"/>
            <w:tcBorders>
              <w:top w:val="single" w:color="auto" w:sz="4" w:space="0"/>
              <w:left w:val="single" w:color="auto" w:sz="4" w:space="0"/>
              <w:bottom w:val="single" w:color="auto" w:sz="4" w:space="0"/>
              <w:right w:val="single" w:color="auto" w:sz="4" w:space="0"/>
            </w:tcBorders>
            <w:vAlign w:val="center"/>
          </w:tcPr>
          <w:p w14:paraId="5336CDBA">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付款方式</w:t>
            </w:r>
          </w:p>
        </w:tc>
        <w:tc>
          <w:tcPr>
            <w:tcW w:w="6625" w:type="dxa"/>
            <w:tcBorders>
              <w:top w:val="single" w:color="auto" w:sz="4" w:space="0"/>
              <w:left w:val="single" w:color="auto" w:sz="4" w:space="0"/>
              <w:bottom w:val="single" w:color="auto" w:sz="4" w:space="0"/>
            </w:tcBorders>
            <w:vAlign w:val="center"/>
          </w:tcPr>
          <w:p w14:paraId="36C09316">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lang w:val="en-US" w:eastAsia="zh-CN"/>
                <w14:textFill>
                  <w14:solidFill>
                    <w14:schemeClr w14:val="tx1"/>
                  </w14:solidFill>
                </w14:textFill>
              </w:rPr>
              <w:t>采购人根据项目实施进度付款</w:t>
            </w:r>
            <w:r>
              <w:rPr>
                <w:rFonts w:hint="eastAsia" w:ascii="仿宋_GB2312" w:hAnsi="宋体" w:eastAsia="仿宋_GB2312"/>
                <w:color w:val="000000" w:themeColor="text1"/>
                <w:sz w:val="28"/>
                <w:szCs w:val="28"/>
                <w:highlight w:val="none"/>
                <w14:textFill>
                  <w14:solidFill>
                    <w14:schemeClr w14:val="tx1"/>
                  </w14:solidFill>
                </w14:textFill>
              </w:rPr>
              <w:t>。</w:t>
            </w:r>
          </w:p>
        </w:tc>
      </w:tr>
      <w:tr w14:paraId="7C142CE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29" w:hRule="atLeast"/>
          <w:jc w:val="center"/>
        </w:trPr>
        <w:tc>
          <w:tcPr>
            <w:tcW w:w="908" w:type="dxa"/>
            <w:tcBorders>
              <w:top w:val="single" w:color="auto" w:sz="4" w:space="0"/>
              <w:bottom w:val="single" w:color="auto" w:sz="4" w:space="0"/>
              <w:right w:val="single" w:color="auto" w:sz="4" w:space="0"/>
            </w:tcBorders>
            <w:vAlign w:val="center"/>
          </w:tcPr>
          <w:p w14:paraId="0B0B9CB3">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23</w:t>
            </w:r>
          </w:p>
        </w:tc>
        <w:tc>
          <w:tcPr>
            <w:tcW w:w="2155" w:type="dxa"/>
            <w:tcBorders>
              <w:top w:val="single" w:color="auto" w:sz="4" w:space="0"/>
              <w:left w:val="single" w:color="auto" w:sz="4" w:space="0"/>
              <w:bottom w:val="single" w:color="auto" w:sz="4" w:space="0"/>
              <w:right w:val="single" w:color="auto" w:sz="4" w:space="0"/>
            </w:tcBorders>
            <w:vAlign w:val="center"/>
          </w:tcPr>
          <w:p w14:paraId="4376BDF6">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资金来源</w:t>
            </w:r>
          </w:p>
        </w:tc>
        <w:tc>
          <w:tcPr>
            <w:tcW w:w="6625" w:type="dxa"/>
            <w:tcBorders>
              <w:top w:val="single" w:color="auto" w:sz="4" w:space="0"/>
              <w:left w:val="single" w:color="auto" w:sz="4" w:space="0"/>
              <w:bottom w:val="single" w:color="auto" w:sz="4" w:space="0"/>
            </w:tcBorders>
            <w:vAlign w:val="center"/>
          </w:tcPr>
          <w:p w14:paraId="50EC3832">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专项资金</w:t>
            </w:r>
          </w:p>
        </w:tc>
      </w:tr>
      <w:tr w14:paraId="6A07DE4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92" w:hRule="atLeast"/>
          <w:jc w:val="center"/>
        </w:trPr>
        <w:tc>
          <w:tcPr>
            <w:tcW w:w="908" w:type="dxa"/>
            <w:tcBorders>
              <w:top w:val="single" w:color="auto" w:sz="4" w:space="0"/>
              <w:bottom w:val="single" w:color="auto" w:sz="4" w:space="0"/>
              <w:right w:val="single" w:color="auto" w:sz="4" w:space="0"/>
            </w:tcBorders>
            <w:vAlign w:val="center"/>
          </w:tcPr>
          <w:p w14:paraId="3342302F">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24</w:t>
            </w:r>
          </w:p>
        </w:tc>
        <w:tc>
          <w:tcPr>
            <w:tcW w:w="2155" w:type="dxa"/>
            <w:tcBorders>
              <w:top w:val="single" w:color="auto" w:sz="4" w:space="0"/>
              <w:left w:val="single" w:color="auto" w:sz="4" w:space="0"/>
              <w:bottom w:val="single" w:color="auto" w:sz="4" w:space="0"/>
              <w:right w:val="single" w:color="auto" w:sz="4" w:space="0"/>
            </w:tcBorders>
            <w:vAlign w:val="center"/>
          </w:tcPr>
          <w:p w14:paraId="2803F88E">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落实情况</w:t>
            </w:r>
          </w:p>
        </w:tc>
        <w:tc>
          <w:tcPr>
            <w:tcW w:w="6625" w:type="dxa"/>
            <w:tcBorders>
              <w:top w:val="single" w:color="auto" w:sz="4" w:space="0"/>
              <w:left w:val="single" w:color="auto" w:sz="4" w:space="0"/>
              <w:bottom w:val="single" w:color="auto" w:sz="4" w:space="0"/>
            </w:tcBorders>
            <w:vAlign w:val="center"/>
          </w:tcPr>
          <w:p w14:paraId="5E557C56">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已落实。</w:t>
            </w:r>
          </w:p>
        </w:tc>
      </w:tr>
      <w:tr w14:paraId="0507A70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6DF6A981">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25</w:t>
            </w:r>
          </w:p>
        </w:tc>
        <w:tc>
          <w:tcPr>
            <w:tcW w:w="2155" w:type="dxa"/>
            <w:tcBorders>
              <w:top w:val="single" w:color="auto" w:sz="4" w:space="0"/>
              <w:left w:val="single" w:color="auto" w:sz="4" w:space="0"/>
              <w:bottom w:val="single" w:color="auto" w:sz="4" w:space="0"/>
              <w:right w:val="single" w:color="auto" w:sz="4" w:space="0"/>
            </w:tcBorders>
            <w:vAlign w:val="center"/>
          </w:tcPr>
          <w:p w14:paraId="4A39BF69">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其他</w:t>
            </w:r>
          </w:p>
        </w:tc>
        <w:tc>
          <w:tcPr>
            <w:tcW w:w="6625" w:type="dxa"/>
            <w:tcBorders>
              <w:top w:val="single" w:color="auto" w:sz="4" w:space="0"/>
              <w:left w:val="single" w:color="auto" w:sz="4" w:space="0"/>
              <w:bottom w:val="single" w:color="auto" w:sz="4" w:space="0"/>
            </w:tcBorders>
            <w:vAlign w:val="center"/>
          </w:tcPr>
          <w:p w14:paraId="13AB3390">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本项目按</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服务</w:t>
            </w:r>
            <w:r>
              <w:rPr>
                <w:rFonts w:hint="eastAsia" w:ascii="仿宋_GB2312" w:hAnsi="宋体" w:eastAsia="仿宋_GB2312"/>
                <w:color w:val="000000" w:themeColor="text1"/>
                <w:sz w:val="28"/>
                <w:szCs w:val="28"/>
                <w:highlight w:val="none"/>
                <w14:textFill>
                  <w14:solidFill>
                    <w14:schemeClr w14:val="tx1"/>
                  </w14:solidFill>
                </w14:textFill>
              </w:rPr>
              <w:t>类以公开招标方式实施采购。</w:t>
            </w:r>
          </w:p>
        </w:tc>
      </w:tr>
    </w:tbl>
    <w:p w14:paraId="424B87E9">
      <w:pPr>
        <w:spacing w:line="560" w:lineRule="exact"/>
        <w:ind w:firstLine="643" w:firstLineChars="201"/>
        <w:rPr>
          <w:rFonts w:eastAsia="黑体"/>
          <w:color w:val="000000" w:themeColor="text1"/>
          <w:sz w:val="32"/>
          <w:szCs w:val="32"/>
          <w:highlight w:val="none"/>
          <w14:textFill>
            <w14:solidFill>
              <w14:schemeClr w14:val="tx1"/>
            </w14:solidFill>
          </w14:textFill>
        </w:rPr>
        <w:sectPr>
          <w:headerReference r:id="rId5" w:type="default"/>
          <w:footerReference r:id="rId6" w:type="default"/>
          <w:pgSz w:w="11906" w:h="16838"/>
          <w:pgMar w:top="1440" w:right="1080" w:bottom="1440" w:left="1080" w:header="851" w:footer="992" w:gutter="0"/>
          <w:cols w:space="425" w:num="1"/>
          <w:docGrid w:type="lines" w:linePitch="312" w:charSpace="0"/>
        </w:sectPr>
      </w:pPr>
    </w:p>
    <w:p w14:paraId="3DE320D8">
      <w:pPr>
        <w:spacing w:line="560" w:lineRule="exact"/>
        <w:ind w:firstLine="643" w:firstLineChars="201"/>
        <w:jc w:val="center"/>
        <w:rPr>
          <w:rFonts w:eastAsia="黑体"/>
          <w:color w:val="000000" w:themeColor="text1"/>
          <w:sz w:val="32"/>
          <w:szCs w:val="32"/>
          <w:highlight w:val="none"/>
          <w14:textFill>
            <w14:solidFill>
              <w14:schemeClr w14:val="tx1"/>
            </w14:solidFill>
          </w14:textFill>
        </w:rPr>
      </w:pPr>
      <w:r>
        <w:rPr>
          <w:rFonts w:hint="eastAsia" w:eastAsia="黑体"/>
          <w:color w:val="000000" w:themeColor="text1"/>
          <w:sz w:val="32"/>
          <w:szCs w:val="32"/>
          <w:highlight w:val="none"/>
          <w14:textFill>
            <w14:solidFill>
              <w14:schemeClr w14:val="tx1"/>
            </w14:solidFill>
          </w14:textFill>
        </w:rPr>
        <w:t>《实质性条款一览表》</w:t>
      </w:r>
    </w:p>
    <w:p w14:paraId="012DDBEC">
      <w:pPr>
        <w:snapToGrid w:val="0"/>
        <w:spacing w:line="500" w:lineRule="exact"/>
        <w:ind w:firstLine="561"/>
        <w:jc w:val="left"/>
        <w:rPr>
          <w:rFonts w:ascii="仿宋_GB2312" w:eastAsia="仿宋_GB2312"/>
          <w:color w:val="000000" w:themeColor="text1"/>
          <w:sz w:val="28"/>
          <w:szCs w:val="28"/>
          <w:highlight w:val="none"/>
          <w14:textFill>
            <w14:solidFill>
              <w14:schemeClr w14:val="tx1"/>
            </w14:solidFill>
          </w14:textFill>
        </w:rPr>
      </w:pPr>
      <w:r>
        <w:rPr>
          <w:rFonts w:hint="eastAsia" w:ascii="仿宋_GB2312" w:eastAsia="仿宋_GB2312"/>
          <w:color w:val="000000" w:themeColor="text1"/>
          <w:sz w:val="28"/>
          <w:szCs w:val="28"/>
          <w:highlight w:val="none"/>
          <w14:textFill>
            <w14:solidFill>
              <w14:schemeClr w14:val="tx1"/>
            </w14:solidFill>
          </w14:textFill>
        </w:rPr>
        <w:t>说明：本表系招标文件及修改性文件中涉及的所有实质性条款的汇总。不允许有任何负偏离，否则投标将被否决。</w:t>
      </w:r>
    </w:p>
    <w:tbl>
      <w:tblPr>
        <w:tblStyle w:val="47"/>
        <w:tblW w:w="9133"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908"/>
        <w:gridCol w:w="2155"/>
        <w:gridCol w:w="6070"/>
      </w:tblGrid>
      <w:tr w14:paraId="4FE151B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3928D730">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序号</w:t>
            </w:r>
          </w:p>
        </w:tc>
        <w:tc>
          <w:tcPr>
            <w:tcW w:w="2155" w:type="dxa"/>
            <w:tcBorders>
              <w:top w:val="single" w:color="auto" w:sz="4" w:space="0"/>
              <w:left w:val="single" w:color="auto" w:sz="4" w:space="0"/>
              <w:bottom w:val="single" w:color="auto" w:sz="4" w:space="0"/>
              <w:right w:val="single" w:color="auto" w:sz="4" w:space="0"/>
            </w:tcBorders>
            <w:vAlign w:val="center"/>
          </w:tcPr>
          <w:p w14:paraId="41B37684">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项目名称</w:t>
            </w:r>
          </w:p>
        </w:tc>
        <w:tc>
          <w:tcPr>
            <w:tcW w:w="6070" w:type="dxa"/>
            <w:tcBorders>
              <w:top w:val="single" w:color="auto" w:sz="4" w:space="0"/>
              <w:left w:val="single" w:color="auto" w:sz="4" w:space="0"/>
              <w:bottom w:val="single" w:color="auto" w:sz="4" w:space="0"/>
            </w:tcBorders>
            <w:vAlign w:val="center"/>
          </w:tcPr>
          <w:p w14:paraId="4581EE30">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内       容</w:t>
            </w:r>
          </w:p>
        </w:tc>
      </w:tr>
      <w:tr w14:paraId="297CF0C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5EB24332">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w:t>
            </w:r>
          </w:p>
        </w:tc>
        <w:tc>
          <w:tcPr>
            <w:tcW w:w="2155" w:type="dxa"/>
            <w:tcBorders>
              <w:top w:val="single" w:color="auto" w:sz="4" w:space="0"/>
              <w:left w:val="single" w:color="auto" w:sz="4" w:space="0"/>
              <w:bottom w:val="single" w:color="auto" w:sz="4" w:space="0"/>
              <w:right w:val="single" w:color="auto" w:sz="4" w:space="0"/>
            </w:tcBorders>
            <w:vAlign w:val="center"/>
          </w:tcPr>
          <w:p w14:paraId="099B6C06">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资格性核查</w:t>
            </w:r>
          </w:p>
        </w:tc>
        <w:tc>
          <w:tcPr>
            <w:tcW w:w="6070" w:type="dxa"/>
            <w:tcBorders>
              <w:top w:val="single" w:color="auto" w:sz="4" w:space="0"/>
              <w:left w:val="single" w:color="auto" w:sz="4" w:space="0"/>
              <w:bottom w:val="single" w:color="auto" w:sz="4" w:space="0"/>
            </w:tcBorders>
          </w:tcPr>
          <w:p w14:paraId="442CD1C8">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1.有效的营业执照副本扫描件；或其他能证明具有独立承担民事责任能力的材料扫描件</w:t>
            </w:r>
            <w:r>
              <w:rPr>
                <w:rFonts w:hint="eastAsia" w:ascii="仿宋_GB2312" w:hAnsi="宋体" w:eastAsia="仿宋_GB2312"/>
                <w:color w:val="000000" w:themeColor="text1"/>
                <w:sz w:val="28"/>
                <w:szCs w:val="28"/>
                <w:highlight w:val="none"/>
                <w:lang w:eastAsia="zh-CN"/>
                <w14:textFill>
                  <w14:solidFill>
                    <w14:schemeClr w14:val="tx1"/>
                  </w14:solidFill>
                </w14:textFill>
              </w:rPr>
              <w:t>（银行、保险、石油石化、电力、电信等特殊行业，分公司参与投标（响应）的，须提供总公司的授权）；</w:t>
            </w:r>
          </w:p>
          <w:p w14:paraId="4731D4B5">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2.法人授权委托书、被授权人身份证扫描件；</w:t>
            </w:r>
          </w:p>
          <w:p w14:paraId="5F8B9489">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3.投标人的依法缴纳税收声明和社会保障资金的声明；近期的完税凭证扫描件及交纳社保资金凭证的扫描件</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（无须缴纳税收的投标人须提供税务部门开具的无欠税证明）</w:t>
            </w:r>
            <w:r>
              <w:rPr>
                <w:rFonts w:hint="eastAsia" w:ascii="仿宋_GB2312" w:hAnsi="宋体" w:eastAsia="仿宋_GB2312"/>
                <w:color w:val="000000" w:themeColor="text1"/>
                <w:sz w:val="28"/>
                <w:szCs w:val="28"/>
                <w:highlight w:val="none"/>
                <w14:textFill>
                  <w14:solidFill>
                    <w14:schemeClr w14:val="tx1"/>
                  </w14:solidFill>
                </w14:textFill>
              </w:rPr>
              <w:t>；</w:t>
            </w:r>
          </w:p>
          <w:p w14:paraId="5B0B729A">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4.投标人参加本项目投标前三年内无重大违法违纪行为声明；</w:t>
            </w:r>
          </w:p>
          <w:p w14:paraId="51CE13B3">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5.投标人自行编制的</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近一年度（2025年度）</w:t>
            </w:r>
            <w:r>
              <w:rPr>
                <w:rFonts w:hint="eastAsia" w:ascii="仿宋_GB2312" w:hAnsi="宋体" w:eastAsia="仿宋_GB2312"/>
                <w:color w:val="000000" w:themeColor="text1"/>
                <w:sz w:val="28"/>
                <w:szCs w:val="28"/>
                <w:highlight w:val="none"/>
                <w14:textFill>
                  <w14:solidFill>
                    <w14:schemeClr w14:val="tx1"/>
                  </w14:solidFill>
                </w14:textFill>
              </w:rPr>
              <w:t>公司财务报表或由中介机构出具的</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近一</w:t>
            </w:r>
            <w:r>
              <w:rPr>
                <w:rFonts w:hint="eastAsia" w:ascii="仿宋_GB2312" w:hAnsi="宋体" w:eastAsia="仿宋_GB2312"/>
                <w:color w:val="000000" w:themeColor="text1"/>
                <w:sz w:val="28"/>
                <w:szCs w:val="28"/>
                <w:highlight w:val="none"/>
                <w14:textFill>
                  <w14:solidFill>
                    <w14:schemeClr w14:val="tx1"/>
                  </w14:solidFill>
                </w14:textFill>
              </w:rPr>
              <w:t>年度</w:t>
            </w:r>
            <w:r>
              <w:rPr>
                <w:rFonts w:hint="eastAsia" w:ascii="仿宋_GB2312" w:hAnsi="宋体" w:eastAsia="仿宋_GB2312"/>
                <w:color w:val="000000" w:themeColor="text1"/>
                <w:sz w:val="28"/>
                <w:szCs w:val="28"/>
                <w:highlight w:val="none"/>
                <w:lang w:eastAsia="zh-CN"/>
                <w14:textFill>
                  <w14:solidFill>
                    <w14:schemeClr w14:val="tx1"/>
                  </w14:solidFill>
                </w14:textFill>
              </w:rPr>
              <w:t>（</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2025年度</w:t>
            </w:r>
            <w:r>
              <w:rPr>
                <w:rFonts w:hint="eastAsia" w:ascii="仿宋_GB2312" w:hAnsi="宋体" w:eastAsia="仿宋_GB2312"/>
                <w:color w:val="000000" w:themeColor="text1"/>
                <w:sz w:val="28"/>
                <w:szCs w:val="28"/>
                <w:highlight w:val="none"/>
                <w:lang w:eastAsia="zh-CN"/>
                <w14:textFill>
                  <w14:solidFill>
                    <w14:schemeClr w14:val="tx1"/>
                  </w14:solidFill>
                </w14:textFill>
              </w:rPr>
              <w:t>）</w:t>
            </w:r>
            <w:r>
              <w:rPr>
                <w:rFonts w:hint="eastAsia" w:ascii="仿宋_GB2312" w:hAnsi="宋体" w:eastAsia="仿宋_GB2312"/>
                <w:color w:val="000000" w:themeColor="text1"/>
                <w:sz w:val="28"/>
                <w:szCs w:val="28"/>
                <w:highlight w:val="none"/>
                <w14:textFill>
                  <w14:solidFill>
                    <w14:schemeClr w14:val="tx1"/>
                  </w14:solidFill>
                </w14:textFill>
              </w:rPr>
              <w:t>财务审计报告书扫描件（</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投标人</w:t>
            </w:r>
            <w:r>
              <w:rPr>
                <w:rFonts w:hint="eastAsia" w:ascii="仿宋_GB2312" w:hAnsi="宋体" w:eastAsia="仿宋_GB2312"/>
                <w:color w:val="000000" w:themeColor="text1"/>
                <w:sz w:val="28"/>
                <w:szCs w:val="28"/>
                <w:highlight w:val="none"/>
                <w14:textFill>
                  <w14:solidFill>
                    <w14:schemeClr w14:val="tx1"/>
                  </w14:solidFill>
                </w14:textFill>
              </w:rPr>
              <w:t>成立不到一年的，提供自成立时间以来的财务报表即可）； B.银行出具的有效期内的资信证明扫描件。注：A、B两项提供任意一项均可；</w:t>
            </w:r>
          </w:p>
          <w:p w14:paraId="1770F7C1">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6.投标人、法定代表人（依法登记的负责人）、授权委托人未被最高法院列入失信被执行人；</w:t>
            </w:r>
          </w:p>
          <w:p w14:paraId="023CF886">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7.国家或行业主管部门规定必须具有的资质、资格证书及其认证测试报告等扫描件；</w:t>
            </w:r>
          </w:p>
          <w:p w14:paraId="6B01EEFA">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8招标文件第四部分“采购项目说明”要求的有关资质资格文件扫描件；</w:t>
            </w:r>
          </w:p>
          <w:p w14:paraId="3E762CC1">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9.投标人认为需要提供的其它资质资格证明文件扫描件。</w:t>
            </w:r>
          </w:p>
        </w:tc>
      </w:tr>
      <w:tr w14:paraId="0BC86B6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59" w:hRule="atLeast"/>
          <w:jc w:val="center"/>
        </w:trPr>
        <w:tc>
          <w:tcPr>
            <w:tcW w:w="908" w:type="dxa"/>
            <w:tcBorders>
              <w:top w:val="single" w:color="auto" w:sz="4" w:space="0"/>
              <w:bottom w:val="single" w:color="auto" w:sz="4" w:space="0"/>
              <w:right w:val="single" w:color="auto" w:sz="4" w:space="0"/>
            </w:tcBorders>
            <w:vAlign w:val="center"/>
          </w:tcPr>
          <w:p w14:paraId="2AB4594B">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2</w:t>
            </w:r>
          </w:p>
        </w:tc>
        <w:tc>
          <w:tcPr>
            <w:tcW w:w="2155" w:type="dxa"/>
            <w:tcBorders>
              <w:top w:val="single" w:color="auto" w:sz="4" w:space="0"/>
              <w:left w:val="single" w:color="auto" w:sz="4" w:space="0"/>
              <w:bottom w:val="single" w:color="auto" w:sz="4" w:space="0"/>
              <w:right w:val="single" w:color="auto" w:sz="4" w:space="0"/>
            </w:tcBorders>
            <w:vAlign w:val="center"/>
          </w:tcPr>
          <w:p w14:paraId="730385B5">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符合性检查</w:t>
            </w:r>
          </w:p>
        </w:tc>
        <w:tc>
          <w:tcPr>
            <w:tcW w:w="6070" w:type="dxa"/>
            <w:tcBorders>
              <w:top w:val="single" w:color="auto" w:sz="4" w:space="0"/>
              <w:left w:val="single" w:color="auto" w:sz="4" w:space="0"/>
              <w:bottom w:val="single" w:color="auto" w:sz="4" w:space="0"/>
            </w:tcBorders>
            <w:vAlign w:val="center"/>
          </w:tcPr>
          <w:p w14:paraId="1FE13D9C">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1.单价或总价超出上限控制价或预算的。</w:t>
            </w:r>
          </w:p>
          <w:p w14:paraId="6B45C728">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2.存在招标文件23.3的关于投标人串通投标的物情形及其他投标无效的情形。</w:t>
            </w:r>
          </w:p>
          <w:p w14:paraId="09F35E00">
            <w:pPr>
              <w:spacing w:line="560" w:lineRule="exact"/>
              <w:rPr>
                <w:color w:val="000000" w:themeColor="text1"/>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3.评标委员会认为不符合招标文件其他实质性要求或法律规定的。</w:t>
            </w:r>
          </w:p>
        </w:tc>
      </w:tr>
    </w:tbl>
    <w:p w14:paraId="33DB8F57">
      <w:pPr>
        <w:rPr>
          <w:rFonts w:ascii="宋体" w:hAnsi="宋体"/>
          <w:color w:val="000000" w:themeColor="text1"/>
          <w:szCs w:val="28"/>
          <w:highlight w:val="none"/>
          <w14:textFill>
            <w14:solidFill>
              <w14:schemeClr w14:val="tx1"/>
            </w14:solidFill>
          </w14:textFill>
        </w:rPr>
      </w:pPr>
    </w:p>
    <w:p w14:paraId="7C93604F">
      <w:pPr>
        <w:spacing w:line="560" w:lineRule="exact"/>
        <w:ind w:firstLine="422" w:firstLineChars="201"/>
        <w:rPr>
          <w:rFonts w:ascii="黑体" w:hAnsi="黑体" w:eastAsia="黑体"/>
          <w:b/>
          <w:color w:val="000000" w:themeColor="text1"/>
          <w:highlight w:val="none"/>
          <w14:textFill>
            <w14:solidFill>
              <w14:schemeClr w14:val="tx1"/>
            </w14:solidFill>
          </w14:textFill>
        </w:rPr>
      </w:pPr>
      <w:r>
        <w:rPr>
          <w:rFonts w:hint="eastAsia" w:ascii="宋体" w:hAnsi="宋体"/>
          <w:color w:val="000000" w:themeColor="text1"/>
          <w:highlight w:val="none"/>
          <w14:textFill>
            <w14:solidFill>
              <w14:schemeClr w14:val="tx1"/>
            </w14:solidFill>
          </w14:textFill>
        </w:rPr>
        <w:br w:type="page"/>
      </w:r>
      <w:r>
        <w:rPr>
          <w:rFonts w:hint="eastAsia" w:ascii="楷体_GB2312" w:hAnsi="仿宋" w:eastAsia="楷体_GB2312" w:cs="宋体"/>
          <w:b/>
          <w:color w:val="000000" w:themeColor="text1"/>
          <w:sz w:val="28"/>
          <w:szCs w:val="28"/>
          <w:highlight w:val="none"/>
          <w14:textFill>
            <w14:solidFill>
              <w14:schemeClr w14:val="tx1"/>
            </w14:solidFill>
          </w14:textFill>
        </w:rPr>
        <w:t>一、说明</w:t>
      </w:r>
    </w:p>
    <w:p w14:paraId="6671AD74">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投标人应接受本招标文件关于电子招投标各项规定。</w:t>
      </w:r>
    </w:p>
    <w:p w14:paraId="7EB12EF4">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1.适用范围</w:t>
      </w:r>
    </w:p>
    <w:p w14:paraId="582FBD0A">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1.1 本招标文件仅适用于本次招标公告中所涉及的项目和内容。</w:t>
      </w:r>
    </w:p>
    <w:p w14:paraId="6E67E4CA">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1.2 本招标文件的解释权为</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，以书面解释为准。</w:t>
      </w:r>
    </w:p>
    <w:p w14:paraId="3D294F33">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1.3 招标文件未做须知明示，而又有相关法律、法规规定的，从其规定。</w:t>
      </w:r>
    </w:p>
    <w:p w14:paraId="33D28DE3">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2.相关要求</w:t>
      </w:r>
    </w:p>
    <w:p w14:paraId="7DB1D046">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2.1投标人应承担所有与准备和参加投标有关的费用。不论投标结果如何，</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和采购人均无义务和责任承担这些费用。</w:t>
      </w:r>
    </w:p>
    <w:p w14:paraId="3A6C7677">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2.2本项目若涉及采购货物，则合格的货物及相应服务应满足以下要求：</w:t>
      </w:r>
    </w:p>
    <w:p w14:paraId="271A9B37">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2.2.1必须是全新、未使用过的原装合格正品（包括零部件），如安装或配置了软件的，须为正版软件。</w:t>
      </w:r>
    </w:p>
    <w:p w14:paraId="5F9A4AC8">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2.2.2投标人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14:paraId="659B8096">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2.3</w:t>
      </w:r>
      <w:r>
        <w:rPr>
          <w:rFonts w:hint="eastAsia" w:ascii="仿宋_GB2312" w:hAnsi="宋体" w:eastAsia="仿宋_GB2312"/>
          <w:b/>
          <w:color w:val="000000" w:themeColor="text1"/>
          <w:sz w:val="28"/>
          <w:szCs w:val="28"/>
          <w:highlight w:val="none"/>
          <w14:textFill>
            <w14:solidFill>
              <w14:schemeClr w14:val="tx1"/>
            </w14:solidFill>
          </w14:textFill>
        </w:rPr>
        <w:t>投标人应通过威海市公共资源交易网（荣成市）登录威海市国有企业阳光采购电子化服务平台获取采购文件，并通过威海市国有企业阳光采购电子化服务平台网上上传电子投标文件，电子投标文件成功上传后，将会生成投标回执，未通过威海市国有企业阳光采购电子化服务平台上传电子投标文件的，为无效投标。投标人不足3家的，本项目直接废标。</w:t>
      </w:r>
    </w:p>
    <w:p w14:paraId="541A99C7">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二、招标文件</w:t>
      </w:r>
    </w:p>
    <w:p w14:paraId="793E3F84">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3.招标文件的构成</w:t>
      </w:r>
    </w:p>
    <w:p w14:paraId="06FA9625">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由各包段本文件（word格式）和各包段的数据文件（excel格式）构成，采用压缩包电子版文件格式提供。</w:t>
      </w:r>
    </w:p>
    <w:p w14:paraId="14A3570B">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3.1 本文件（word格式）由下列文件组成：</w:t>
      </w:r>
    </w:p>
    <w:p w14:paraId="7B0372C4">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（1）采购公告</w:t>
      </w:r>
    </w:p>
    <w:p w14:paraId="41A3AA34">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（2）投标须知</w:t>
      </w:r>
    </w:p>
    <w:p w14:paraId="36D2C079">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（3）采购内容与要求</w:t>
      </w:r>
    </w:p>
    <w:p w14:paraId="552F2E0A">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（4）评审原则和方法</w:t>
      </w:r>
    </w:p>
    <w:p w14:paraId="656DA3A1">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（5）投标（响应）文件格式</w:t>
      </w:r>
    </w:p>
    <w:p w14:paraId="06040FF3">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（6）合同（范本）</w:t>
      </w:r>
    </w:p>
    <w:p w14:paraId="09E895C3">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（7）在采购过程中由采购人或</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发出的修正和补充文件等（如有）</w:t>
      </w:r>
    </w:p>
    <w:p w14:paraId="2E26F8C8">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3.2 数据文件（excel格式）由下列文件组成：</w:t>
      </w:r>
    </w:p>
    <w:p w14:paraId="787C8266">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（1）封面</w:t>
      </w:r>
    </w:p>
    <w:p w14:paraId="6001858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（2）投标报价表（含明细）</w:t>
      </w:r>
    </w:p>
    <w:p w14:paraId="2AB4BBCF">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（3）需求响应表（如有）</w:t>
      </w:r>
    </w:p>
    <w:p w14:paraId="22C716D4">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（4）评审对照表</w:t>
      </w:r>
    </w:p>
    <w:p w14:paraId="700930C6">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（5）评分对照表（如有）</w:t>
      </w:r>
    </w:p>
    <w:p w14:paraId="522651D3">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3.3 投标人应认真阅读招标文件中所有的事项、格式、条款和技术规范、参数及要求等，如果投标人没有按照招标文件要求提交全部资料，或者投标人没有对招标文件在各方面都做出实质性响应，其风险应由投标人自行承担并根据有关政策和条款规定，其投标有可能被拒绝，或者被认定为无效投标（响应）。</w:t>
      </w:r>
    </w:p>
    <w:p w14:paraId="18A823E1">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4.招标文件的澄清</w:t>
      </w:r>
    </w:p>
    <w:p w14:paraId="0DE44C0F">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4.1</w:t>
      </w:r>
      <w:r>
        <w:rPr>
          <w:rFonts w:hint="eastAsia" w:ascii="仿宋_GB2312" w:hAnsi="宋体" w:eastAsia="仿宋_GB2312"/>
          <w:color w:val="000000" w:themeColor="text1"/>
          <w:sz w:val="28"/>
          <w:szCs w:val="28"/>
          <w:highlight w:val="none"/>
          <w14:textFill>
            <w14:solidFill>
              <w14:schemeClr w14:val="tx1"/>
            </w14:solidFill>
          </w14:textFill>
        </w:rPr>
        <w:t>投标人</w:t>
      </w:r>
      <w:r>
        <w:rPr>
          <w:rFonts w:hint="eastAsia" w:ascii="仿宋_GB2312" w:hAnsi="仿宋" w:eastAsia="仿宋_GB2312" w:cs="宋体"/>
          <w:color w:val="000000" w:themeColor="text1"/>
          <w:sz w:val="28"/>
          <w:szCs w:val="28"/>
          <w:highlight w:val="none"/>
          <w14:textFill>
            <w14:solidFill>
              <w14:schemeClr w14:val="tx1"/>
            </w14:solidFill>
          </w14:textFill>
        </w:rPr>
        <w:t>在收到招标文件后，对招标文件若有任何疑问或要求澄清招标文件的，应在有效期内按“投标须知前附表”第四项向</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提出，必要时</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将协助采购人组织所有获取采购文件</w:t>
      </w:r>
      <w:r>
        <w:rPr>
          <w:rFonts w:hint="eastAsia" w:ascii="仿宋_GB2312" w:hAnsi="宋体" w:eastAsia="仿宋_GB2312"/>
          <w:color w:val="000000" w:themeColor="text1"/>
          <w:sz w:val="28"/>
          <w:szCs w:val="28"/>
          <w:highlight w:val="none"/>
          <w14:textFill>
            <w14:solidFill>
              <w14:schemeClr w14:val="tx1"/>
            </w14:solidFill>
          </w14:textFill>
        </w:rPr>
        <w:t>投标人</w:t>
      </w:r>
      <w:r>
        <w:rPr>
          <w:rFonts w:hint="eastAsia" w:ascii="仿宋_GB2312" w:hAnsi="仿宋" w:eastAsia="仿宋_GB2312" w:cs="宋体"/>
          <w:color w:val="000000" w:themeColor="text1"/>
          <w:sz w:val="28"/>
          <w:szCs w:val="28"/>
          <w:highlight w:val="none"/>
          <w14:textFill>
            <w14:solidFill>
              <w14:schemeClr w14:val="tx1"/>
            </w14:solidFill>
          </w14:textFill>
        </w:rPr>
        <w:t>举行答疑会，</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根据需要主动对招标文件进行必要的澄清或根据</w:t>
      </w:r>
      <w:r>
        <w:rPr>
          <w:rFonts w:hint="eastAsia" w:ascii="仿宋_GB2312" w:hAnsi="宋体" w:eastAsia="仿宋_GB2312"/>
          <w:color w:val="000000" w:themeColor="text1"/>
          <w:sz w:val="28"/>
          <w:szCs w:val="28"/>
          <w:highlight w:val="none"/>
          <w14:textFill>
            <w14:solidFill>
              <w14:schemeClr w14:val="tx1"/>
            </w14:solidFill>
          </w14:textFill>
        </w:rPr>
        <w:t>投标人</w:t>
      </w:r>
      <w:r>
        <w:rPr>
          <w:rFonts w:hint="eastAsia" w:ascii="仿宋_GB2312" w:hAnsi="仿宋" w:eastAsia="仿宋_GB2312" w:cs="宋体"/>
          <w:color w:val="000000" w:themeColor="text1"/>
          <w:sz w:val="28"/>
          <w:szCs w:val="28"/>
          <w:highlight w:val="none"/>
          <w14:textFill>
            <w14:solidFill>
              <w14:schemeClr w14:val="tx1"/>
            </w14:solidFill>
          </w14:textFill>
        </w:rPr>
        <w:t>的要求对招标文件做出澄清，都将以原网站公开发布形式（包括电子交易系统推送）答复或发送给所有</w:t>
      </w:r>
      <w:r>
        <w:rPr>
          <w:rFonts w:hint="eastAsia" w:ascii="仿宋_GB2312" w:hAnsi="宋体" w:eastAsia="仿宋_GB2312"/>
          <w:color w:val="000000" w:themeColor="text1"/>
          <w:sz w:val="28"/>
          <w:szCs w:val="28"/>
          <w:highlight w:val="none"/>
          <w14:textFill>
            <w14:solidFill>
              <w14:schemeClr w14:val="tx1"/>
            </w14:solidFill>
          </w14:textFill>
        </w:rPr>
        <w:t>投标人</w:t>
      </w:r>
      <w:r>
        <w:rPr>
          <w:rFonts w:hint="eastAsia" w:ascii="仿宋_GB2312" w:hAnsi="仿宋" w:eastAsia="仿宋_GB2312" w:cs="宋体"/>
          <w:color w:val="000000" w:themeColor="text1"/>
          <w:sz w:val="28"/>
          <w:szCs w:val="28"/>
          <w:highlight w:val="none"/>
          <w14:textFill>
            <w14:solidFill>
              <w14:schemeClr w14:val="tx1"/>
            </w14:solidFill>
          </w14:textFill>
        </w:rPr>
        <w:t>。澄清文件作为招标文件的组成部分，对</w:t>
      </w:r>
      <w:r>
        <w:rPr>
          <w:rFonts w:hint="eastAsia" w:ascii="仿宋_GB2312" w:hAnsi="宋体" w:eastAsia="仿宋_GB2312"/>
          <w:color w:val="000000" w:themeColor="text1"/>
          <w:sz w:val="28"/>
          <w:szCs w:val="28"/>
          <w:highlight w:val="none"/>
          <w14:textFill>
            <w14:solidFill>
              <w14:schemeClr w14:val="tx1"/>
            </w14:solidFill>
          </w14:textFill>
        </w:rPr>
        <w:t>投标人</w:t>
      </w:r>
      <w:r>
        <w:rPr>
          <w:rFonts w:hint="eastAsia" w:ascii="仿宋_GB2312" w:hAnsi="仿宋" w:eastAsia="仿宋_GB2312" w:cs="宋体"/>
          <w:color w:val="000000" w:themeColor="text1"/>
          <w:sz w:val="28"/>
          <w:szCs w:val="28"/>
          <w:highlight w:val="none"/>
          <w14:textFill>
            <w14:solidFill>
              <w14:schemeClr w14:val="tx1"/>
            </w14:solidFill>
          </w14:textFill>
        </w:rPr>
        <w:t>起约束作用。</w:t>
      </w:r>
    </w:p>
    <w:p w14:paraId="605C5EF3">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4.2投标人在规定的时间内未对招标文件澄清或提出疑问的，</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将视其为接受招标文件的所有条款，对招标文件没有异议，此后也不再受理对招标文件的相关质疑。</w:t>
      </w:r>
    </w:p>
    <w:p w14:paraId="0BD321E7">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5.招标文件的修改</w:t>
      </w:r>
    </w:p>
    <w:p w14:paraId="46AFD3C6">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5.l 在投标截止时间2日以前，无论出于何种原因，</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或采购人可主动或在解答投标人提出的疑问时对招标文件进行修改。</w:t>
      </w:r>
    </w:p>
    <w:p w14:paraId="6D99304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5.2 修改后的内容是招标文件的组成部分，采购人、</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将会通过“威海市公共资源交易网（荣成市）”，以更正公告形式（电子交易系统发送更正提醒通知）一并告知所有潜在投标人，并对潜在投标人具有约束力。潜在投标人在收到上述通知后，应立即以书面形式向</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或采购人确认，如在24小时内无书面回函则视为同意修改内容，并有义务履行相应的义务。</w:t>
      </w:r>
    </w:p>
    <w:p w14:paraId="0665BF3D">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5.3澄清或者修改的内容可能影响投标文件编制的，采购人或</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将在投标截止时间2日前，通过原网站发布公告的形式（电子交易系统内发送更正提醒通知）通知所有获取招标文件的潜在投标人</w:t>
      </w:r>
      <w:r>
        <w:rPr>
          <w:rFonts w:hint="eastAsia" w:ascii="仿宋_GB2312" w:hAnsi="宋体" w:eastAsia="仿宋_GB2312"/>
          <w:color w:val="000000" w:themeColor="text1"/>
          <w:sz w:val="28"/>
          <w:szCs w:val="28"/>
          <w:highlight w:val="none"/>
          <w14:textFill>
            <w14:solidFill>
              <w14:schemeClr w14:val="tx1"/>
            </w14:solidFill>
          </w14:textFill>
        </w:rPr>
        <w:t>（采购文件变更的，投标人必须从电子交易系统中重新下载采购文件，并在新下载文件的基础上编制投标文件）；</w:t>
      </w:r>
      <w:r>
        <w:rPr>
          <w:rFonts w:hint="eastAsia" w:ascii="仿宋_GB2312" w:hAnsi="仿宋" w:eastAsia="仿宋_GB2312" w:cs="宋体"/>
          <w:color w:val="000000" w:themeColor="text1"/>
          <w:sz w:val="28"/>
          <w:szCs w:val="28"/>
          <w:highlight w:val="none"/>
          <w14:textFill>
            <w14:solidFill>
              <w14:schemeClr w14:val="tx1"/>
            </w14:solidFill>
          </w14:textFill>
        </w:rPr>
        <w:t>不足2日的，采购人或者</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将顺延提交投标文件的截止时间。</w:t>
      </w:r>
    </w:p>
    <w:p w14:paraId="34A8D94B">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三、投标文件的编制</w:t>
      </w:r>
    </w:p>
    <w:p w14:paraId="1F5CC61F">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6.投标文件编制要求</w:t>
      </w:r>
    </w:p>
    <w:p w14:paraId="13CFAAEB">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6.1投标人编写的文件和往来信件应以简体中文书写。如果投标文件或与投标有关的其它文件、信件及来往函电以其它语言书写的，投标人应将其译成中文，如未翻译该文件为无效文件。</w:t>
      </w:r>
    </w:p>
    <w:p w14:paraId="7891BC96">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6.2投标文件中使用的计量单位应使用中华人民共和国法定计量单位。</w:t>
      </w:r>
    </w:p>
    <w:p w14:paraId="77310A6F">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6.3投标人必须保证投标文件所提供的全部资料真实可靠，并接受采购人或</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对其中任何资料进一步核实的要求。如果因为投标文件填报的内容不详，或没有提供招标文件中所要求的全部资料及数据，或提供虚假文件，由此造成的后果由投标人自负。</w:t>
      </w:r>
    </w:p>
    <w:p w14:paraId="5CEB378C">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6.4投标人应按招标文件中提供的投标文件格式（详见第五部分 投标（响应）文件格式）按包段编写投标文件，并使用A4规格编制。投标文件应编写目录，具有结构清晰的文档结构图（打开word视图中的“文档结构图”后能看到详细章节），页码连续。</w:t>
      </w:r>
    </w:p>
    <w:p w14:paraId="6BBA0B49">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6.5</w:t>
      </w:r>
      <w:r>
        <w:rPr>
          <w:rFonts w:hint="eastAsia" w:ascii="仿宋_GB2312" w:hAnsi="宋体" w:eastAsia="仿宋_GB2312"/>
          <w:color w:val="000000" w:themeColor="text1"/>
          <w:sz w:val="28"/>
          <w:szCs w:val="28"/>
          <w:highlight w:val="none"/>
          <w14:textFill>
            <w14:solidFill>
              <w14:schemeClr w14:val="tx1"/>
            </w14:solidFill>
          </w14:textFill>
        </w:rPr>
        <w:t>投标人按照采购文件要求所提供的各种证明文件必须真实且合法有效,经扫描后粘贴到响应文件的相关页上，确保清晰度可辨认，评审时由于无法辨认所产生的后果，由投标人自行承担。</w:t>
      </w:r>
    </w:p>
    <w:p w14:paraId="7AB3AE74">
      <w:pPr>
        <w:spacing w:line="560" w:lineRule="exact"/>
        <w:ind w:firstLine="565" w:firstLineChars="201"/>
        <w:rPr>
          <w:rFonts w:ascii="仿宋_GB2312" w:hAnsi="仿宋" w:eastAsia="仿宋_GB2312" w:cs="宋体"/>
          <w:b/>
          <w:color w:val="000000" w:themeColor="text1"/>
          <w:sz w:val="28"/>
          <w:szCs w:val="28"/>
          <w:highlight w:val="none"/>
          <w14:textFill>
            <w14:solidFill>
              <w14:schemeClr w14:val="tx1"/>
            </w14:solidFill>
          </w14:textFill>
        </w:rPr>
      </w:pPr>
      <w:r>
        <w:rPr>
          <w:rFonts w:hint="eastAsia" w:ascii="仿宋_GB2312" w:hAnsi="仿宋" w:eastAsia="仿宋_GB2312" w:cs="宋体"/>
          <w:b/>
          <w:color w:val="000000" w:themeColor="text1"/>
          <w:sz w:val="28"/>
          <w:szCs w:val="28"/>
          <w:highlight w:val="none"/>
          <w14:textFill>
            <w14:solidFill>
              <w14:schemeClr w14:val="tx1"/>
            </w14:solidFill>
          </w14:textFill>
        </w:rPr>
        <w:t>6.6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w:t>
      </w:r>
      <w:r>
        <w:rPr>
          <w:rFonts w:hint="eastAsia" w:ascii="仿宋_GB2312" w:hAnsi="宋体" w:eastAsia="仿宋_GB2312"/>
          <w:b/>
          <w:color w:val="000000" w:themeColor="text1"/>
          <w:sz w:val="28"/>
          <w:szCs w:val="28"/>
          <w:highlight w:val="none"/>
          <w14:textFill>
            <w14:solidFill>
              <w14:schemeClr w14:val="tx1"/>
            </w14:solidFill>
          </w14:textFill>
        </w:rPr>
        <w:t>对于不涉及或无法填写的评审项（评分项）（例如：报价），可在页码索引处填写1。</w:t>
      </w:r>
    </w:p>
    <w:p w14:paraId="67DD5F38">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6.7为了保证系统整体效率，系统对所投递的电子文件有大小的限制，因此，投标人应尽可能降低本文件的大小，小尺寸投标文件将使递交更快捷、减少差错发生几率，避免投标截止时间前未能完整上传文件。</w:t>
      </w:r>
    </w:p>
    <w:p w14:paraId="48251775">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6.8投标文件具有法律效力，投标人与</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或采购人任何人的口头协议不影响投标文件的任何条款和内容。</w:t>
      </w:r>
    </w:p>
    <w:p w14:paraId="6412079E">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6.9采购人或</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均无义务向投标人解释其中标或未中标的原因，且无论投标人是否中标，投标人所递交的投标文件均不予退还，不提供副本拷贝。</w:t>
      </w:r>
    </w:p>
    <w:p w14:paraId="1F5A267B">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7.数据文件编制要求</w:t>
      </w:r>
    </w:p>
    <w:p w14:paraId="54659857">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7.1投标人须从所投项目的招标文件压缩包内对应包段目录下获取本文件</w:t>
      </w:r>
      <w:r>
        <w:rPr>
          <w:rFonts w:hint="eastAsia" w:ascii="仿宋_GB2312" w:hAnsi="宋体" w:eastAsia="仿宋_GB2312"/>
          <w:color w:val="000000" w:themeColor="text1"/>
          <w:sz w:val="28"/>
          <w:szCs w:val="28"/>
          <w:highlight w:val="none"/>
          <w14:textFill>
            <w14:solidFill>
              <w14:schemeClr w14:val="tx1"/>
            </w14:solidFill>
          </w14:textFill>
        </w:rPr>
        <w:t>（变更后的数据文件需要重新下载）</w:t>
      </w:r>
      <w:r>
        <w:rPr>
          <w:rFonts w:hint="eastAsia" w:ascii="仿宋_GB2312" w:hAnsi="仿宋" w:eastAsia="仿宋_GB2312" w:cs="宋体"/>
          <w:color w:val="000000" w:themeColor="text1"/>
          <w:sz w:val="28"/>
          <w:szCs w:val="28"/>
          <w:highlight w:val="none"/>
          <w14:textFill>
            <w14:solidFill>
              <w14:schemeClr w14:val="tx1"/>
            </w14:solidFill>
          </w14:textFill>
        </w:rPr>
        <w:t>，必须在原文件上严格按照其中要求填写，其内部已约定好固定格式和相关内容，且带有特定的唯一性数字指纹，对采用非该文件基础上编制或对该文件进行任何工作表、表格行、表格列的增减</w:t>
      </w:r>
      <w:r>
        <w:rPr>
          <w:rFonts w:ascii="Calibri" w:hAnsi="Calibri" w:eastAsia="仿宋_GB2312" w:cs="宋体"/>
          <w:color w:val="000000" w:themeColor="text1"/>
          <w:sz w:val="28"/>
          <w:szCs w:val="28"/>
          <w:highlight w:val="none"/>
          <w14:textFill>
            <w14:solidFill>
              <w14:schemeClr w14:val="tx1"/>
            </w14:solidFill>
          </w14:textFill>
        </w:rPr>
        <w:t>、对工作表先后顺序的变动，</w:t>
      </w:r>
      <w:r>
        <w:rPr>
          <w:rFonts w:hint="eastAsia" w:ascii="仿宋_GB2312" w:hAnsi="仿宋" w:eastAsia="仿宋_GB2312" w:cs="宋体"/>
          <w:color w:val="000000" w:themeColor="text1"/>
          <w:sz w:val="28"/>
          <w:szCs w:val="28"/>
          <w:highlight w:val="none"/>
          <w14:textFill>
            <w14:solidFill>
              <w14:schemeClr w14:val="tx1"/>
            </w14:solidFill>
          </w14:textFill>
        </w:rPr>
        <w:t>以及对锁定区域内的数据进行更改、</w:t>
      </w:r>
      <w:r>
        <w:rPr>
          <w:rFonts w:hint="eastAsia" w:ascii="仿宋_GB2312" w:hAnsi="仿宋" w:eastAsia="仿宋_GB2312" w:cs="宋体"/>
          <w:b/>
          <w:color w:val="000000" w:themeColor="text1"/>
          <w:sz w:val="28"/>
          <w:szCs w:val="28"/>
          <w:highlight w:val="none"/>
          <w14:textFill>
            <w14:solidFill>
              <w14:schemeClr w14:val="tx1"/>
            </w14:solidFill>
          </w14:textFill>
        </w:rPr>
        <w:t>文件另存到其他文件</w:t>
      </w:r>
      <w:r>
        <w:rPr>
          <w:rFonts w:hint="eastAsia" w:ascii="仿宋_GB2312" w:hAnsi="仿宋" w:eastAsia="仿宋_GB2312" w:cs="宋体"/>
          <w:color w:val="000000" w:themeColor="text1"/>
          <w:sz w:val="28"/>
          <w:szCs w:val="28"/>
          <w:highlight w:val="none"/>
          <w14:textFill>
            <w14:solidFill>
              <w14:schemeClr w14:val="tx1"/>
            </w14:solidFill>
          </w14:textFill>
        </w:rPr>
        <w:t>等违规性操作，都会破坏本文件中的数字指纹，导致系统无法接收该文件使其</w:t>
      </w:r>
      <w:r>
        <w:rPr>
          <w:rFonts w:hint="eastAsia" w:ascii="仿宋_GB2312" w:hAnsi="仿宋" w:eastAsia="仿宋_GB2312" w:cs="宋体"/>
          <w:b/>
          <w:color w:val="000000" w:themeColor="text1"/>
          <w:sz w:val="28"/>
          <w:szCs w:val="28"/>
          <w:highlight w:val="none"/>
          <w14:textFill>
            <w14:solidFill>
              <w14:schemeClr w14:val="tx1"/>
            </w14:solidFill>
          </w14:textFill>
        </w:rPr>
        <w:t>投标失败</w:t>
      </w:r>
      <w:r>
        <w:rPr>
          <w:rFonts w:hint="eastAsia" w:ascii="仿宋_GB2312" w:hAnsi="仿宋" w:eastAsia="仿宋_GB2312" w:cs="宋体"/>
          <w:color w:val="000000" w:themeColor="text1"/>
          <w:sz w:val="28"/>
          <w:szCs w:val="28"/>
          <w:highlight w:val="none"/>
          <w14:textFill>
            <w14:solidFill>
              <w14:schemeClr w14:val="tx1"/>
            </w14:solidFill>
          </w14:textFill>
        </w:rPr>
        <w:t>。</w:t>
      </w:r>
    </w:p>
    <w:p w14:paraId="35752573">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7.2投标人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仿宋" w:eastAsia="仿宋_GB2312" w:cs="宋体"/>
          <w:b/>
          <w:color w:val="000000" w:themeColor="text1"/>
          <w:sz w:val="28"/>
          <w:szCs w:val="28"/>
          <w:highlight w:val="none"/>
          <w14:textFill>
            <w14:solidFill>
              <w14:schemeClr w14:val="tx1"/>
            </w14:solidFill>
          </w14:textFill>
        </w:rPr>
        <w:t>投标失败</w:t>
      </w:r>
      <w:r>
        <w:rPr>
          <w:rFonts w:hint="eastAsia" w:ascii="仿宋_GB2312" w:hAnsi="仿宋" w:eastAsia="仿宋_GB2312" w:cs="宋体"/>
          <w:color w:val="000000" w:themeColor="text1"/>
          <w:sz w:val="28"/>
          <w:szCs w:val="28"/>
          <w:highlight w:val="none"/>
          <w14:textFill>
            <w14:solidFill>
              <w14:schemeClr w14:val="tx1"/>
            </w14:solidFill>
          </w14:textFill>
        </w:rPr>
        <w:t>。</w:t>
      </w:r>
    </w:p>
    <w:p w14:paraId="755FA28E">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7.3投标人在对数据文件电子签章前，应按照上述2项的要求进行认真检查、确认。因投标人自身原因所导致其投标失败的，须自行承担相关责任。</w:t>
      </w:r>
    </w:p>
    <w:p w14:paraId="7F4B69D7">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8.文件构成</w:t>
      </w:r>
    </w:p>
    <w:p w14:paraId="6DAF4E60">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投标人应按不同包段分别编制投标文件，每个包段的投标文件分两册必须包括：投标文件（pdf格式）（第一册）、数据文件（PDF格式）（第二册），以上内容缺一不可，否则为</w:t>
      </w:r>
      <w:r>
        <w:rPr>
          <w:rFonts w:hint="eastAsia" w:ascii="仿宋_GB2312" w:hAnsi="仿宋" w:eastAsia="仿宋_GB2312" w:cs="宋体"/>
          <w:b/>
          <w:color w:val="000000" w:themeColor="text1"/>
          <w:sz w:val="28"/>
          <w:szCs w:val="28"/>
          <w:highlight w:val="none"/>
          <w14:textFill>
            <w14:solidFill>
              <w14:schemeClr w14:val="tx1"/>
            </w14:solidFill>
          </w14:textFill>
        </w:rPr>
        <w:t>无效投标（响应）</w:t>
      </w:r>
      <w:r>
        <w:rPr>
          <w:rFonts w:hint="eastAsia" w:ascii="仿宋_GB2312" w:hAnsi="仿宋" w:eastAsia="仿宋_GB2312" w:cs="宋体"/>
          <w:color w:val="000000" w:themeColor="text1"/>
          <w:sz w:val="28"/>
          <w:szCs w:val="28"/>
          <w:highlight w:val="none"/>
          <w14:textFill>
            <w14:solidFill>
              <w14:schemeClr w14:val="tx1"/>
            </w14:solidFill>
          </w14:textFill>
        </w:rPr>
        <w:t>。</w:t>
      </w:r>
    </w:p>
    <w:p w14:paraId="6C833CB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8.1投标人编制的投标文件（pdf格式）（第一册）应包括但不少于下列内容：</w:t>
      </w:r>
    </w:p>
    <w:p w14:paraId="54830DAD">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（1）投标文件封面（格式见本文件第五章）</w:t>
      </w:r>
    </w:p>
    <w:p w14:paraId="62195DDD">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（2）投标文件目录</w:t>
      </w:r>
    </w:p>
    <w:p w14:paraId="447E3DF1">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（3）投标承诺函（格式见本文件第五章）</w:t>
      </w:r>
    </w:p>
    <w:p w14:paraId="1AAE56C3">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（4）投标人资格证明文件</w:t>
      </w:r>
    </w:p>
    <w:p w14:paraId="45B6A1DF">
      <w:pPr>
        <w:spacing w:line="560" w:lineRule="exact"/>
        <w:ind w:firstLine="562" w:firstLineChars="201"/>
        <w:rPr>
          <w:rFonts w:hint="eastAsia" w:ascii="仿宋_GB2312" w:hAnsi="仿宋" w:eastAsia="仿宋_GB2312" w:cs="宋体"/>
          <w:color w:val="000000" w:themeColor="text1"/>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①有效的营业执照副本扫描件；或其他能证明具有独立承担民事责任能力的材料扫描件</w:t>
      </w:r>
      <w:r>
        <w:rPr>
          <w:rFonts w:hint="eastAsia" w:ascii="仿宋_GB2312" w:hAnsi="仿宋" w:eastAsia="仿宋_GB2312" w:cs="宋体"/>
          <w:color w:val="000000" w:themeColor="text1"/>
          <w:sz w:val="28"/>
          <w:szCs w:val="28"/>
          <w:highlight w:val="none"/>
          <w:lang w:eastAsia="zh-CN"/>
          <w14:textFill>
            <w14:solidFill>
              <w14:schemeClr w14:val="tx1"/>
            </w14:solidFill>
          </w14:textFill>
        </w:rPr>
        <w:t>（银行、保险、石油石化、电力、电信等特殊行业，分公司参与投标（响应）的，须提供总公司的授权）；</w:t>
      </w:r>
    </w:p>
    <w:p w14:paraId="1712C7D5">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②法定代表人授权委托书；被授权人身份证扫描件；</w:t>
      </w:r>
    </w:p>
    <w:p w14:paraId="1922F805">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若投标单位代表为企业法定代表人/依法登记的负责人的，则只需提供企业法定代表人/依法登记的负责人身份证扫描件；</w:t>
      </w:r>
    </w:p>
    <w:p w14:paraId="52EB5384">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③投标人的依法交纳税收和社会保障资金的声明（格式自拟）；近期的完税凭证扫描件及交纳社保资金凭证的扫描件</w:t>
      </w:r>
      <w:r>
        <w:rPr>
          <w:rFonts w:hint="eastAsia" w:ascii="仿宋_GB2312" w:hAnsi="仿宋" w:eastAsia="仿宋_GB2312" w:cs="宋体"/>
          <w:color w:val="000000" w:themeColor="text1"/>
          <w:sz w:val="28"/>
          <w:szCs w:val="28"/>
          <w:highlight w:val="none"/>
          <w:lang w:val="en-US" w:eastAsia="zh-CN"/>
          <w14:textFill>
            <w14:solidFill>
              <w14:schemeClr w14:val="tx1"/>
            </w14:solidFill>
          </w14:textFill>
        </w:rPr>
        <w:t>（无须缴纳税收的投标人须提供税务部门开具的无欠税证明）</w:t>
      </w:r>
      <w:r>
        <w:rPr>
          <w:rFonts w:hint="eastAsia" w:ascii="仿宋_GB2312" w:hAnsi="仿宋" w:eastAsia="仿宋_GB2312" w:cs="宋体"/>
          <w:color w:val="000000" w:themeColor="text1"/>
          <w:sz w:val="28"/>
          <w:szCs w:val="28"/>
          <w:highlight w:val="none"/>
          <w14:textFill>
            <w14:solidFill>
              <w14:schemeClr w14:val="tx1"/>
            </w14:solidFill>
          </w14:textFill>
        </w:rPr>
        <w:t>；</w:t>
      </w:r>
    </w:p>
    <w:p w14:paraId="7BDAABE8">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④投标人近3年内在经营活动中没有重大违法记录的声明（格式见本文件第五章），如不提供视为</w:t>
      </w:r>
      <w:r>
        <w:rPr>
          <w:rFonts w:hint="eastAsia" w:ascii="仿宋_GB2312" w:hAnsi="仿宋" w:eastAsia="仿宋_GB2312" w:cs="宋体"/>
          <w:b/>
          <w:color w:val="000000" w:themeColor="text1"/>
          <w:sz w:val="28"/>
          <w:szCs w:val="28"/>
          <w:highlight w:val="none"/>
          <w14:textFill>
            <w14:solidFill>
              <w14:schemeClr w14:val="tx1"/>
            </w14:solidFill>
          </w14:textFill>
        </w:rPr>
        <w:t>无效投标（响应）</w:t>
      </w:r>
      <w:r>
        <w:rPr>
          <w:rFonts w:hint="eastAsia" w:ascii="仿宋_GB2312" w:hAnsi="仿宋" w:eastAsia="仿宋_GB2312" w:cs="宋体"/>
          <w:color w:val="000000" w:themeColor="text1"/>
          <w:sz w:val="28"/>
          <w:szCs w:val="28"/>
          <w:highlight w:val="none"/>
          <w14:textFill>
            <w14:solidFill>
              <w14:schemeClr w14:val="tx1"/>
            </w14:solidFill>
          </w14:textFill>
        </w:rPr>
        <w:t>。</w:t>
      </w:r>
    </w:p>
    <w:p w14:paraId="0331F68F">
      <w:pPr>
        <w:pStyle w:val="13"/>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⑤投标人、法定代表人（依法登记的负责人）、授权委托人未被最高法院列入失信被执行人截图（网址http://zxgk.court.gov.cn/zhzxgk/）</w:t>
      </w:r>
    </w:p>
    <w:p w14:paraId="47117319">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⑥招标文件公告中要求的有关资质资格文件。</w:t>
      </w:r>
    </w:p>
    <w:p w14:paraId="0FAB0B34">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⑦投标人认为需要提供的资质资格证明文件。</w:t>
      </w:r>
    </w:p>
    <w:p w14:paraId="51A66666">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bookmarkStart w:id="13" w:name="OLE_LINK52"/>
      <w:bookmarkStart w:id="14" w:name="OLE_LINK53"/>
      <w:r>
        <w:rPr>
          <w:rFonts w:hint="eastAsia" w:ascii="仿宋_GB2312" w:hAnsi="仿宋" w:eastAsia="仿宋_GB2312" w:cs="宋体"/>
          <w:color w:val="000000" w:themeColor="text1"/>
          <w:sz w:val="28"/>
          <w:szCs w:val="28"/>
          <w:highlight w:val="none"/>
          <w14:textFill>
            <w14:solidFill>
              <w14:schemeClr w14:val="tx1"/>
            </w14:solidFill>
          </w14:textFill>
        </w:rPr>
        <w:t>以上所有资质资格证明文件均需加盖投标人签章</w:t>
      </w:r>
      <w:bookmarkEnd w:id="13"/>
      <w:bookmarkEnd w:id="14"/>
      <w:r>
        <w:rPr>
          <w:rFonts w:hint="eastAsia" w:ascii="仿宋_GB2312" w:hAnsi="仿宋" w:eastAsia="仿宋_GB2312" w:cs="宋体"/>
          <w:color w:val="000000" w:themeColor="text1"/>
          <w:sz w:val="28"/>
          <w:szCs w:val="28"/>
          <w:highlight w:val="none"/>
          <w14:textFill>
            <w14:solidFill>
              <w14:schemeClr w14:val="tx1"/>
            </w14:solidFill>
          </w14:textFill>
        </w:rPr>
        <w:t>。</w:t>
      </w:r>
    </w:p>
    <w:p w14:paraId="045F602B">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（5）财务状况报告等相关材料</w:t>
      </w:r>
    </w:p>
    <w:p w14:paraId="6C9753F3">
      <w:pPr>
        <w:spacing w:line="560" w:lineRule="exact"/>
        <w:ind w:firstLine="562" w:firstLineChars="201"/>
        <w:rPr>
          <w:rFonts w:hint="eastAsia"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A. 投标人自行编制的</w:t>
      </w:r>
      <w:r>
        <w:rPr>
          <w:rFonts w:hint="eastAsia" w:ascii="仿宋_GB2312" w:hAnsi="仿宋" w:eastAsia="仿宋_GB2312" w:cs="宋体"/>
          <w:color w:val="000000" w:themeColor="text1"/>
          <w:sz w:val="28"/>
          <w:szCs w:val="28"/>
          <w:highlight w:val="none"/>
          <w:lang w:val="en-US" w:eastAsia="zh-CN"/>
          <w14:textFill>
            <w14:solidFill>
              <w14:schemeClr w14:val="tx1"/>
            </w14:solidFill>
          </w14:textFill>
        </w:rPr>
        <w:t>近一年度（2025年度）</w:t>
      </w:r>
      <w:r>
        <w:rPr>
          <w:rFonts w:hint="eastAsia" w:ascii="仿宋_GB2312" w:hAnsi="仿宋" w:eastAsia="仿宋_GB2312" w:cs="宋体"/>
          <w:color w:val="000000" w:themeColor="text1"/>
          <w:sz w:val="28"/>
          <w:szCs w:val="28"/>
          <w:highlight w:val="none"/>
          <w14:textFill>
            <w14:solidFill>
              <w14:schemeClr w14:val="tx1"/>
            </w14:solidFill>
          </w14:textFill>
        </w:rPr>
        <w:t>公司财务报表或由中介机构出具的</w:t>
      </w:r>
      <w:r>
        <w:rPr>
          <w:rFonts w:hint="eastAsia" w:ascii="仿宋_GB2312" w:hAnsi="仿宋" w:eastAsia="仿宋_GB2312" w:cs="宋体"/>
          <w:color w:val="000000" w:themeColor="text1"/>
          <w:sz w:val="28"/>
          <w:szCs w:val="28"/>
          <w:highlight w:val="none"/>
          <w:lang w:val="en-US" w:eastAsia="zh-CN"/>
          <w14:textFill>
            <w14:solidFill>
              <w14:schemeClr w14:val="tx1"/>
            </w14:solidFill>
          </w14:textFill>
        </w:rPr>
        <w:t>近一</w:t>
      </w:r>
      <w:r>
        <w:rPr>
          <w:rFonts w:hint="eastAsia" w:ascii="仿宋_GB2312" w:hAnsi="仿宋" w:eastAsia="仿宋_GB2312" w:cs="宋体"/>
          <w:color w:val="000000" w:themeColor="text1"/>
          <w:sz w:val="28"/>
          <w:szCs w:val="28"/>
          <w:highlight w:val="none"/>
          <w14:textFill>
            <w14:solidFill>
              <w14:schemeClr w14:val="tx1"/>
            </w14:solidFill>
          </w14:textFill>
        </w:rPr>
        <w:t>年度</w:t>
      </w:r>
      <w:r>
        <w:rPr>
          <w:rFonts w:hint="eastAsia" w:ascii="仿宋_GB2312" w:hAnsi="仿宋" w:eastAsia="仿宋_GB2312" w:cs="宋体"/>
          <w:color w:val="000000" w:themeColor="text1"/>
          <w:sz w:val="28"/>
          <w:szCs w:val="28"/>
          <w:highlight w:val="none"/>
          <w:lang w:eastAsia="zh-CN"/>
          <w14:textFill>
            <w14:solidFill>
              <w14:schemeClr w14:val="tx1"/>
            </w14:solidFill>
          </w14:textFill>
        </w:rPr>
        <w:t>（</w:t>
      </w:r>
      <w:r>
        <w:rPr>
          <w:rFonts w:hint="eastAsia" w:ascii="仿宋_GB2312" w:hAnsi="仿宋" w:eastAsia="仿宋_GB2312" w:cs="宋体"/>
          <w:color w:val="000000" w:themeColor="text1"/>
          <w:sz w:val="28"/>
          <w:szCs w:val="28"/>
          <w:highlight w:val="none"/>
          <w:lang w:val="en-US" w:eastAsia="zh-CN"/>
          <w14:textFill>
            <w14:solidFill>
              <w14:schemeClr w14:val="tx1"/>
            </w14:solidFill>
          </w14:textFill>
        </w:rPr>
        <w:t>2025年度</w:t>
      </w:r>
      <w:r>
        <w:rPr>
          <w:rFonts w:hint="eastAsia" w:ascii="仿宋_GB2312" w:hAnsi="仿宋" w:eastAsia="仿宋_GB2312" w:cs="宋体"/>
          <w:color w:val="000000" w:themeColor="text1"/>
          <w:sz w:val="28"/>
          <w:szCs w:val="28"/>
          <w:highlight w:val="none"/>
          <w:lang w:eastAsia="zh-CN"/>
          <w14:textFill>
            <w14:solidFill>
              <w14:schemeClr w14:val="tx1"/>
            </w14:solidFill>
          </w14:textFill>
        </w:rPr>
        <w:t>）</w:t>
      </w:r>
      <w:r>
        <w:rPr>
          <w:rFonts w:hint="eastAsia" w:ascii="仿宋_GB2312" w:hAnsi="仿宋" w:eastAsia="仿宋_GB2312" w:cs="宋体"/>
          <w:color w:val="000000" w:themeColor="text1"/>
          <w:sz w:val="28"/>
          <w:szCs w:val="28"/>
          <w:highlight w:val="none"/>
          <w14:textFill>
            <w14:solidFill>
              <w14:schemeClr w14:val="tx1"/>
            </w14:solidFill>
          </w14:textFill>
        </w:rPr>
        <w:t>财务审计报告书扫描件（</w:t>
      </w:r>
      <w:r>
        <w:rPr>
          <w:rFonts w:hint="eastAsia" w:ascii="仿宋_GB2312" w:hAnsi="仿宋" w:eastAsia="仿宋_GB2312" w:cs="宋体"/>
          <w:color w:val="000000" w:themeColor="text1"/>
          <w:sz w:val="28"/>
          <w:szCs w:val="28"/>
          <w:highlight w:val="none"/>
          <w:lang w:val="en-US" w:eastAsia="zh-CN"/>
          <w14:textFill>
            <w14:solidFill>
              <w14:schemeClr w14:val="tx1"/>
            </w14:solidFill>
          </w14:textFill>
        </w:rPr>
        <w:t>投标人</w:t>
      </w:r>
      <w:r>
        <w:rPr>
          <w:rFonts w:hint="eastAsia" w:ascii="仿宋_GB2312" w:hAnsi="仿宋" w:eastAsia="仿宋_GB2312" w:cs="宋体"/>
          <w:color w:val="000000" w:themeColor="text1"/>
          <w:sz w:val="28"/>
          <w:szCs w:val="28"/>
          <w:highlight w:val="none"/>
          <w14:textFill>
            <w14:solidFill>
              <w14:schemeClr w14:val="tx1"/>
            </w14:solidFill>
          </w14:textFill>
        </w:rPr>
        <w:t>成立不到一年的，提供自成立时间以来的财务报表即可）；</w:t>
      </w:r>
    </w:p>
    <w:p w14:paraId="54F4BC13">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B.</w:t>
      </w:r>
      <w:r>
        <w:rPr>
          <w:rFonts w:hint="eastAsia" w:ascii="仿宋_GB2312" w:hAnsi="宋体" w:eastAsia="仿宋_GB2312"/>
          <w:color w:val="000000" w:themeColor="text1"/>
          <w:sz w:val="28"/>
          <w:szCs w:val="28"/>
          <w:highlight w:val="none"/>
          <w14:textFill>
            <w14:solidFill>
              <w14:schemeClr w14:val="tx1"/>
            </w14:solidFill>
          </w14:textFill>
        </w:rPr>
        <w:t>银行出具的有效期内的资信证明扫描件</w:t>
      </w:r>
      <w:r>
        <w:rPr>
          <w:rFonts w:hint="eastAsia" w:ascii="仿宋_GB2312" w:hAnsi="仿宋" w:eastAsia="仿宋_GB2312" w:cs="宋体"/>
          <w:color w:val="000000" w:themeColor="text1"/>
          <w:sz w:val="28"/>
          <w:szCs w:val="28"/>
          <w:highlight w:val="none"/>
          <w14:textFill>
            <w14:solidFill>
              <w14:schemeClr w14:val="tx1"/>
            </w14:solidFill>
          </w14:textFill>
        </w:rPr>
        <w:t>。</w:t>
      </w:r>
    </w:p>
    <w:p w14:paraId="4FE3802A">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注：A、B两项提供任意一项均可。</w:t>
      </w:r>
    </w:p>
    <w:p w14:paraId="3C47809C">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以上证明文件均需加盖投标人签章</w:t>
      </w:r>
    </w:p>
    <w:p w14:paraId="3DCC359B">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（6）投标人基本情况（格式见本文件第五章）</w:t>
      </w:r>
    </w:p>
    <w:p w14:paraId="50D1960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（7）技术文件，包括但不限于以下内容:</w:t>
      </w:r>
    </w:p>
    <w:p w14:paraId="44AB7B25">
      <w:pPr>
        <w:spacing w:line="560" w:lineRule="exact"/>
        <w:ind w:firstLine="562" w:firstLineChars="201"/>
        <w:rPr>
          <w:rFonts w:hint="eastAsia" w:ascii="仿宋_GB2312" w:hAnsi="仿宋" w:eastAsia="仿宋_GB2312" w:cs="宋体"/>
          <w:color w:val="000000" w:themeColor="text1"/>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z w:val="28"/>
          <w:szCs w:val="28"/>
          <w:highlight w:val="none"/>
          <w:lang w:val="en-US" w:eastAsia="zh-CN"/>
          <w14:textFill>
            <w14:solidFill>
              <w14:schemeClr w14:val="tx1"/>
            </w14:solidFill>
          </w14:textFill>
        </w:rPr>
        <w:t>①</w:t>
      </w:r>
      <w:r>
        <w:rPr>
          <w:rFonts w:hint="eastAsia" w:ascii="仿宋_GB2312" w:hAnsi="仿宋" w:eastAsia="仿宋_GB2312" w:cs="宋体"/>
          <w:color w:val="000000" w:themeColor="text1"/>
          <w:sz w:val="28"/>
          <w:szCs w:val="28"/>
          <w:highlight w:val="none"/>
          <w14:textFill>
            <w14:solidFill>
              <w14:schemeClr w14:val="tx1"/>
            </w14:solidFill>
          </w14:textFill>
        </w:rPr>
        <w:t>系统开发方案</w:t>
      </w:r>
      <w:r>
        <w:rPr>
          <w:rFonts w:hint="eastAsia" w:ascii="仿宋_GB2312" w:hAnsi="仿宋" w:eastAsia="仿宋_GB2312" w:cs="宋体"/>
          <w:color w:val="000000" w:themeColor="text1"/>
          <w:sz w:val="28"/>
          <w:szCs w:val="28"/>
          <w:highlight w:val="none"/>
          <w:lang w:eastAsia="zh-CN"/>
          <w14:textFill>
            <w14:solidFill>
              <w14:schemeClr w14:val="tx1"/>
            </w14:solidFill>
          </w14:textFill>
        </w:rPr>
        <w:t>；</w:t>
      </w:r>
    </w:p>
    <w:p w14:paraId="4F4BF144">
      <w:pPr>
        <w:spacing w:line="560" w:lineRule="exact"/>
        <w:ind w:firstLine="562" w:firstLineChars="201"/>
        <w:rPr>
          <w:rFonts w:hint="eastAsia" w:ascii="仿宋_GB2312" w:hAnsi="仿宋" w:eastAsia="仿宋_GB2312" w:cs="宋体"/>
          <w:color w:val="000000" w:themeColor="text1"/>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z w:val="28"/>
          <w:szCs w:val="28"/>
          <w:highlight w:val="none"/>
          <w:lang w:val="en-US" w:eastAsia="zh-CN"/>
          <w14:textFill>
            <w14:solidFill>
              <w14:schemeClr w14:val="tx1"/>
            </w14:solidFill>
          </w14:textFill>
        </w:rPr>
        <w:t>②</w:t>
      </w:r>
      <w:r>
        <w:rPr>
          <w:rFonts w:hint="eastAsia" w:ascii="仿宋_GB2312" w:hAnsi="仿宋" w:eastAsia="仿宋_GB2312" w:cs="宋体"/>
          <w:color w:val="000000" w:themeColor="text1"/>
          <w:sz w:val="28"/>
          <w:szCs w:val="28"/>
          <w:highlight w:val="none"/>
          <w14:textFill>
            <w14:solidFill>
              <w14:schemeClr w14:val="tx1"/>
            </w14:solidFill>
          </w14:textFill>
        </w:rPr>
        <w:t>项目实施方案</w:t>
      </w:r>
      <w:r>
        <w:rPr>
          <w:rFonts w:hint="eastAsia" w:ascii="仿宋_GB2312" w:hAnsi="仿宋" w:eastAsia="仿宋_GB2312" w:cs="宋体"/>
          <w:color w:val="000000" w:themeColor="text1"/>
          <w:sz w:val="28"/>
          <w:szCs w:val="28"/>
          <w:highlight w:val="none"/>
          <w:lang w:eastAsia="zh-CN"/>
          <w14:textFill>
            <w14:solidFill>
              <w14:schemeClr w14:val="tx1"/>
            </w14:solidFill>
          </w14:textFill>
        </w:rPr>
        <w:t>；</w:t>
      </w:r>
    </w:p>
    <w:p w14:paraId="48F47D88">
      <w:pPr>
        <w:spacing w:line="560" w:lineRule="exact"/>
        <w:ind w:firstLine="562" w:firstLineChars="201"/>
        <w:rPr>
          <w:rFonts w:hint="eastAsia" w:ascii="仿宋_GB2312" w:hAnsi="仿宋" w:eastAsia="仿宋_GB2312" w:cs="宋体"/>
          <w:color w:val="000000" w:themeColor="text1"/>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z w:val="28"/>
          <w:szCs w:val="28"/>
          <w:highlight w:val="none"/>
          <w:lang w:val="en-US" w:eastAsia="zh-CN"/>
          <w14:textFill>
            <w14:solidFill>
              <w14:schemeClr w14:val="tx1"/>
            </w14:solidFill>
          </w14:textFill>
        </w:rPr>
        <w:t>③</w:t>
      </w:r>
      <w:r>
        <w:rPr>
          <w:rFonts w:hint="eastAsia" w:ascii="仿宋_GB2312" w:hAnsi="仿宋" w:eastAsia="仿宋_GB2312" w:cs="宋体"/>
          <w:color w:val="000000" w:themeColor="text1"/>
          <w:sz w:val="28"/>
          <w:szCs w:val="28"/>
          <w:highlight w:val="none"/>
          <w14:textFill>
            <w14:solidFill>
              <w14:schemeClr w14:val="tx1"/>
            </w14:solidFill>
          </w14:textFill>
        </w:rPr>
        <w:t>拟派团队</w:t>
      </w:r>
      <w:r>
        <w:rPr>
          <w:rFonts w:hint="eastAsia" w:ascii="仿宋_GB2312" w:hAnsi="仿宋" w:eastAsia="仿宋_GB2312" w:cs="宋体"/>
          <w:color w:val="000000" w:themeColor="text1"/>
          <w:sz w:val="28"/>
          <w:szCs w:val="28"/>
          <w:highlight w:val="none"/>
          <w:lang w:eastAsia="zh-CN"/>
          <w14:textFill>
            <w14:solidFill>
              <w14:schemeClr w14:val="tx1"/>
            </w14:solidFill>
          </w14:textFill>
        </w:rPr>
        <w:t>；</w:t>
      </w:r>
    </w:p>
    <w:p w14:paraId="5670A1D0">
      <w:pPr>
        <w:spacing w:line="560" w:lineRule="exact"/>
        <w:ind w:firstLine="562" w:firstLineChars="201"/>
        <w:rPr>
          <w:rFonts w:hint="eastAsia" w:ascii="仿宋_GB2312" w:hAnsi="仿宋" w:eastAsia="仿宋_GB2312" w:cs="宋体"/>
          <w:color w:val="000000" w:themeColor="text1"/>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z w:val="28"/>
          <w:szCs w:val="28"/>
          <w:highlight w:val="none"/>
          <w:lang w:val="en-US" w:eastAsia="zh-CN"/>
          <w14:textFill>
            <w14:solidFill>
              <w14:schemeClr w14:val="tx1"/>
            </w14:solidFill>
          </w14:textFill>
        </w:rPr>
        <w:t>④</w:t>
      </w:r>
      <w:r>
        <w:rPr>
          <w:rFonts w:hint="eastAsia" w:ascii="仿宋_GB2312" w:hAnsi="仿宋" w:eastAsia="仿宋_GB2312" w:cs="宋体"/>
          <w:color w:val="000000" w:themeColor="text1"/>
          <w:sz w:val="28"/>
          <w:szCs w:val="28"/>
          <w:highlight w:val="none"/>
          <w14:textFill>
            <w14:solidFill>
              <w14:schemeClr w14:val="tx1"/>
            </w14:solidFill>
          </w14:textFill>
        </w:rPr>
        <w:t>内部管控及应急处理方案</w:t>
      </w:r>
      <w:r>
        <w:rPr>
          <w:rFonts w:hint="eastAsia" w:ascii="仿宋_GB2312" w:hAnsi="仿宋" w:eastAsia="仿宋_GB2312" w:cs="宋体"/>
          <w:color w:val="000000" w:themeColor="text1"/>
          <w:sz w:val="28"/>
          <w:szCs w:val="28"/>
          <w:highlight w:val="none"/>
          <w:lang w:eastAsia="zh-CN"/>
          <w14:textFill>
            <w14:solidFill>
              <w14:schemeClr w14:val="tx1"/>
            </w14:solidFill>
          </w14:textFill>
        </w:rPr>
        <w:t>；</w:t>
      </w:r>
    </w:p>
    <w:p w14:paraId="51F5048A">
      <w:pPr>
        <w:spacing w:line="560" w:lineRule="exact"/>
        <w:ind w:firstLine="562" w:firstLineChars="201"/>
        <w:rPr>
          <w:rFonts w:hint="eastAsia" w:ascii="仿宋_GB2312" w:hAnsi="仿宋" w:eastAsia="仿宋_GB2312" w:cs="宋体"/>
          <w:color w:val="000000" w:themeColor="text1"/>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z w:val="28"/>
          <w:szCs w:val="28"/>
          <w:highlight w:val="none"/>
          <w:lang w:val="en-US" w:eastAsia="zh-CN"/>
          <w14:textFill>
            <w14:solidFill>
              <w14:schemeClr w14:val="tx1"/>
            </w14:solidFill>
          </w14:textFill>
        </w:rPr>
        <w:t>⑤</w:t>
      </w:r>
      <w:r>
        <w:rPr>
          <w:rFonts w:hint="eastAsia" w:ascii="仿宋_GB2312" w:hAnsi="仿宋" w:eastAsia="仿宋_GB2312" w:cs="宋体"/>
          <w:color w:val="000000" w:themeColor="text1"/>
          <w:sz w:val="28"/>
          <w:szCs w:val="28"/>
          <w:highlight w:val="none"/>
          <w14:textFill>
            <w14:solidFill>
              <w14:schemeClr w14:val="tx1"/>
            </w14:solidFill>
          </w14:textFill>
        </w:rPr>
        <w:t>档案管理及数据保密措施</w:t>
      </w:r>
      <w:r>
        <w:rPr>
          <w:rFonts w:hint="eastAsia" w:ascii="仿宋_GB2312" w:hAnsi="仿宋" w:eastAsia="仿宋_GB2312" w:cs="宋体"/>
          <w:color w:val="000000" w:themeColor="text1"/>
          <w:sz w:val="28"/>
          <w:szCs w:val="28"/>
          <w:highlight w:val="none"/>
          <w:lang w:eastAsia="zh-CN"/>
          <w14:textFill>
            <w14:solidFill>
              <w14:schemeClr w14:val="tx1"/>
            </w14:solidFill>
          </w14:textFill>
        </w:rPr>
        <w:t>；</w:t>
      </w:r>
    </w:p>
    <w:p w14:paraId="4DD73E24">
      <w:pPr>
        <w:spacing w:line="560" w:lineRule="exact"/>
        <w:ind w:firstLine="562" w:firstLineChars="201"/>
        <w:rPr>
          <w:rFonts w:hint="eastAsia" w:ascii="仿宋_GB2312" w:hAnsi="仿宋" w:eastAsia="仿宋_GB2312" w:cs="宋体"/>
          <w:color w:val="000000" w:themeColor="text1"/>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z w:val="28"/>
          <w:szCs w:val="28"/>
          <w:highlight w:val="none"/>
          <w:lang w:val="en-US" w:eastAsia="zh-CN"/>
          <w14:textFill>
            <w14:solidFill>
              <w14:schemeClr w14:val="tx1"/>
            </w14:solidFill>
          </w14:textFill>
        </w:rPr>
        <w:t>⑥</w:t>
      </w:r>
      <w:r>
        <w:rPr>
          <w:rFonts w:hint="eastAsia" w:ascii="仿宋_GB2312" w:hAnsi="仿宋" w:eastAsia="仿宋_GB2312" w:cs="宋体"/>
          <w:color w:val="000000" w:themeColor="text1"/>
          <w:sz w:val="28"/>
          <w:szCs w:val="28"/>
          <w:highlight w:val="none"/>
          <w14:textFill>
            <w14:solidFill>
              <w14:schemeClr w14:val="tx1"/>
            </w14:solidFill>
          </w14:textFill>
        </w:rPr>
        <w:t>售后服务承诺</w:t>
      </w:r>
      <w:r>
        <w:rPr>
          <w:rFonts w:hint="eastAsia" w:ascii="仿宋_GB2312" w:hAnsi="仿宋" w:eastAsia="仿宋_GB2312" w:cs="宋体"/>
          <w:color w:val="000000" w:themeColor="text1"/>
          <w:sz w:val="28"/>
          <w:szCs w:val="28"/>
          <w:highlight w:val="none"/>
          <w:lang w:eastAsia="zh-CN"/>
          <w14:textFill>
            <w14:solidFill>
              <w14:schemeClr w14:val="tx1"/>
            </w14:solidFill>
          </w14:textFill>
        </w:rPr>
        <w:t>；</w:t>
      </w:r>
    </w:p>
    <w:p w14:paraId="5DB62F64">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⑦根据招标文件第四部分采购项目说明提供的技术文件；</w:t>
      </w:r>
    </w:p>
    <w:p w14:paraId="49C8A704">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⑧根据招标文件评标标准要求提供的相关技术文件。</w:t>
      </w:r>
    </w:p>
    <w:p w14:paraId="17899049">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（8）投标人2023年至今类似项目业绩；</w:t>
      </w:r>
    </w:p>
    <w:p w14:paraId="675D074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（9）要求采购人提供的配合；</w:t>
      </w:r>
    </w:p>
    <w:p w14:paraId="044EACEF">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8.2数据文件（PDF格式）（第二册）</w:t>
      </w:r>
    </w:p>
    <w:p w14:paraId="3E300EDC">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投标人须从本项目招标文件压缩包内获取对应包段的数据文件（EXCEL格式），并严格按照要求填写。填写完成后在威海市国有企业阳光采购电子化服务平台中上传该数据文件（EXCEL格式），系统将自动转换为PDF格式，再加盖投标人电子印章，未按要求填写或盖章为</w:t>
      </w:r>
      <w:r>
        <w:rPr>
          <w:rFonts w:hint="eastAsia" w:ascii="仿宋_GB2312" w:hAnsi="仿宋" w:eastAsia="仿宋_GB2312" w:cs="宋体"/>
          <w:b/>
          <w:color w:val="000000" w:themeColor="text1"/>
          <w:sz w:val="28"/>
          <w:szCs w:val="28"/>
          <w:highlight w:val="none"/>
          <w14:textFill>
            <w14:solidFill>
              <w14:schemeClr w14:val="tx1"/>
            </w14:solidFill>
          </w14:textFill>
        </w:rPr>
        <w:t>无效投标（响应）</w:t>
      </w:r>
      <w:r>
        <w:rPr>
          <w:rFonts w:hint="eastAsia" w:ascii="仿宋_GB2312" w:hAnsi="仿宋" w:eastAsia="仿宋_GB2312" w:cs="宋体"/>
          <w:color w:val="000000" w:themeColor="text1"/>
          <w:sz w:val="28"/>
          <w:szCs w:val="28"/>
          <w:highlight w:val="none"/>
          <w14:textFill>
            <w14:solidFill>
              <w14:schemeClr w14:val="tx1"/>
            </w14:solidFill>
          </w14:textFill>
        </w:rPr>
        <w:t>。数据文件（PDF格式）包含下列内容：</w:t>
      </w:r>
    </w:p>
    <w:p w14:paraId="0695C35C">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（1）封面</w:t>
      </w:r>
    </w:p>
    <w:p w14:paraId="463E1614">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（2）投标报价表（含明细）</w:t>
      </w:r>
    </w:p>
    <w:p w14:paraId="13987A33">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（3）需求响应表（如有）</w:t>
      </w:r>
    </w:p>
    <w:p w14:paraId="576FF500">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9.投标报价</w:t>
      </w:r>
    </w:p>
    <w:p w14:paraId="52D22338">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9.1投标人所提供的服务均以人民币报价，精确到小数点后两位。</w:t>
      </w:r>
    </w:p>
    <w:p w14:paraId="7A0F96AD">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9.2投标人应按照“第三部分采购内容与要求”的服务内容、责任范围以及合同条款进行报价。并按数据文件中“投标报价表（含明细）”规定的格式报出分项价格和总价。</w:t>
      </w:r>
    </w:p>
    <w:p w14:paraId="502E3AB3">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9.3投标人应按数据文件“投标报价表（含明细）”要求的统一格式填写，并加盖电子公章。</w:t>
      </w:r>
    </w:p>
    <w:p w14:paraId="360DDC95">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9.4《投标报价表（含明细）》填写时应响应下列要求：</w:t>
      </w:r>
    </w:p>
    <w:p w14:paraId="6165F590">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（1）所有根据合同或其它原因应由投标人支付的税款和其它应交纳的费用都要包括在投标人提交的报价中；</w:t>
      </w:r>
    </w:p>
    <w:p w14:paraId="4142B4C5">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w:t>
      </w:r>
      <w:r>
        <w:rPr>
          <w:rFonts w:hint="eastAsia" w:ascii="仿宋_GB2312" w:hAnsi="仿宋" w:eastAsia="仿宋_GB2312" w:cs="宋体"/>
          <w:color w:val="000000" w:themeColor="text1"/>
          <w:sz w:val="28"/>
          <w:szCs w:val="28"/>
          <w:highlight w:val="none"/>
          <w:lang w:val="en-US" w:eastAsia="zh-CN"/>
          <w14:textFill>
            <w14:solidFill>
              <w14:schemeClr w14:val="tx1"/>
            </w14:solidFill>
          </w14:textFill>
        </w:rPr>
        <w:t>本项目为交钥匙项目，</w:t>
      </w:r>
      <w:r>
        <w:rPr>
          <w:rFonts w:hint="eastAsia" w:ascii="仿宋_GB2312" w:hAnsi="仿宋" w:eastAsia="仿宋_GB2312" w:cs="宋体"/>
          <w:color w:val="000000" w:themeColor="text1"/>
          <w:sz w:val="28"/>
          <w:szCs w:val="28"/>
          <w:highlight w:val="none"/>
          <w14:textFill>
            <w14:solidFill>
              <w14:schemeClr w14:val="tx1"/>
            </w14:solidFill>
          </w14:textFill>
        </w:rPr>
        <w:t>投标人应对本次招标的全部内容以进行报价，包括系统及运行调试、</w:t>
      </w:r>
      <w:r>
        <w:rPr>
          <w:rFonts w:hint="eastAsia" w:ascii="仿宋_GB2312" w:hAnsi="仿宋" w:eastAsia="仿宋_GB2312" w:cs="宋体"/>
          <w:color w:val="000000" w:themeColor="text1"/>
          <w:sz w:val="28"/>
          <w:szCs w:val="28"/>
          <w:highlight w:val="none"/>
          <w:lang w:val="en-US" w:eastAsia="zh-CN"/>
          <w14:textFill>
            <w14:solidFill>
              <w14:schemeClr w14:val="tx1"/>
            </w14:solidFill>
          </w14:textFill>
        </w:rPr>
        <w:t>人工、设备费、</w:t>
      </w:r>
      <w:r>
        <w:rPr>
          <w:rFonts w:hint="eastAsia" w:ascii="仿宋_GB2312" w:hAnsi="仿宋" w:eastAsia="仿宋_GB2312" w:cs="宋体"/>
          <w:color w:val="000000" w:themeColor="text1"/>
          <w:sz w:val="28"/>
          <w:szCs w:val="28"/>
          <w:highlight w:val="none"/>
          <w14:textFill>
            <w14:solidFill>
              <w14:schemeClr w14:val="tx1"/>
            </w14:solidFill>
          </w14:textFill>
        </w:rPr>
        <w:t>维护费、通讯费、交通费、住宿费、技术培训、管理、保险、验收、</w:t>
      </w:r>
      <w:r>
        <w:rPr>
          <w:rFonts w:hint="eastAsia" w:ascii="仿宋_GB2312" w:hAnsi="仿宋" w:eastAsia="仿宋_GB2312" w:cs="宋体"/>
          <w:color w:val="000000" w:themeColor="text1"/>
          <w:sz w:val="28"/>
          <w:szCs w:val="28"/>
          <w:highlight w:val="none"/>
          <w:lang w:val="en-US" w:eastAsia="zh-CN"/>
          <w14:textFill>
            <w14:solidFill>
              <w14:schemeClr w14:val="tx1"/>
            </w14:solidFill>
          </w14:textFill>
        </w:rPr>
        <w:t>售后服务、</w:t>
      </w:r>
      <w:r>
        <w:rPr>
          <w:rFonts w:hint="eastAsia" w:ascii="仿宋_GB2312" w:hAnsi="仿宋" w:eastAsia="仿宋_GB2312" w:cs="宋体"/>
          <w:color w:val="000000" w:themeColor="text1"/>
          <w:sz w:val="28"/>
          <w:szCs w:val="28"/>
          <w:highlight w:val="none"/>
          <w14:textFill>
            <w14:solidFill>
              <w14:schemeClr w14:val="tx1"/>
            </w14:solidFill>
          </w14:textFill>
        </w:rPr>
        <w:t>利润、税金及附带服务等全部费用，以人民币为结算单位，投标报价中免费提供的项目，应注明免费。</w:t>
      </w:r>
    </w:p>
    <w:p w14:paraId="0C8453AB">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（3）投标人应对本次招标的全部内容进行报价，缺项报价投标无效。如因投标人自身的原因报价失误而造成的损失，由投标人自行承担。</w:t>
      </w:r>
    </w:p>
    <w:p w14:paraId="219EF910">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（4）投标人须严格按照报价明细表说明进行填写，报价明细表中 “*”是必填项，任何必填项为空时都可能导致本次投标无效。</w:t>
      </w:r>
    </w:p>
    <w:p w14:paraId="1767BFC8">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（5）《投标报价表（含明细）》中“投标产品的型号”，型号填写的一般规则为：品牌+产品型号。否则会因非实质性响应而被拒绝；</w:t>
      </w:r>
    </w:p>
    <w:p w14:paraId="51DFE4E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（6）《投标报价表（含明细）》中合价将由单价*数量自动计算，无需手工录入。</w:t>
      </w:r>
    </w:p>
    <w:p w14:paraId="4FB31BA4">
      <w:pPr>
        <w:spacing w:line="560" w:lineRule="exact"/>
        <w:ind w:firstLine="560" w:firstLineChars="200"/>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9</w:t>
      </w:r>
      <w:r>
        <w:rPr>
          <w:rFonts w:ascii="仿宋_GB2312" w:hAnsi="仿宋" w:eastAsia="仿宋_GB2312" w:cs="宋体"/>
          <w:color w:val="000000" w:themeColor="text1"/>
          <w:sz w:val="28"/>
          <w:szCs w:val="28"/>
          <w:highlight w:val="none"/>
          <w14:textFill>
            <w14:solidFill>
              <w14:schemeClr w14:val="tx1"/>
            </w14:solidFill>
          </w14:textFill>
        </w:rPr>
        <w:t>.5《需求响应表</w:t>
      </w:r>
      <w:r>
        <w:rPr>
          <w:rFonts w:hint="eastAsia" w:ascii="仿宋_GB2312" w:hAnsi="仿宋" w:eastAsia="仿宋_GB2312" w:cs="宋体"/>
          <w:color w:val="000000" w:themeColor="text1"/>
          <w:sz w:val="28"/>
          <w:szCs w:val="28"/>
          <w:highlight w:val="none"/>
          <w14:textFill>
            <w14:solidFill>
              <w14:schemeClr w14:val="tx1"/>
            </w14:solidFill>
          </w14:textFill>
        </w:rPr>
        <w:t>》</w:t>
      </w:r>
      <w:r>
        <w:rPr>
          <w:rFonts w:ascii="仿宋_GB2312" w:hAnsi="仿宋" w:eastAsia="仿宋_GB2312" w:cs="宋体"/>
          <w:color w:val="000000" w:themeColor="text1"/>
          <w:sz w:val="28"/>
          <w:szCs w:val="28"/>
          <w:highlight w:val="none"/>
          <w14:textFill>
            <w14:solidFill>
              <w14:schemeClr w14:val="tx1"/>
            </w14:solidFill>
          </w14:textFill>
        </w:rPr>
        <w:t>（如有）填写时应响应下列要求：</w:t>
      </w:r>
    </w:p>
    <w:p w14:paraId="49BEA537">
      <w:pPr>
        <w:spacing w:line="560" w:lineRule="exact"/>
        <w:ind w:firstLine="560" w:firstLineChars="200"/>
        <w:rPr>
          <w:rFonts w:ascii="仿宋_GB2312" w:hAnsi="仿宋" w:eastAsia="仿宋_GB2312" w:cs="宋体"/>
          <w:color w:val="000000" w:themeColor="text1"/>
          <w:sz w:val="28"/>
          <w:szCs w:val="28"/>
          <w:highlight w:val="none"/>
          <w14:textFill>
            <w14:solidFill>
              <w14:schemeClr w14:val="tx1"/>
            </w14:solidFill>
          </w14:textFill>
        </w:rPr>
      </w:pPr>
      <w:r>
        <w:rPr>
          <w:rFonts w:ascii="仿宋_GB2312" w:hAnsi="仿宋" w:eastAsia="仿宋_GB2312" w:cs="宋体"/>
          <w:color w:val="000000" w:themeColor="text1"/>
          <w:sz w:val="28"/>
          <w:szCs w:val="28"/>
          <w:highlight w:val="none"/>
          <w14:textFill>
            <w14:solidFill>
              <w14:schemeClr w14:val="tx1"/>
            </w14:solidFill>
          </w14:textFill>
        </w:rPr>
        <w:t>（1）有底色标识的单元格须填写，有“*”的列是必输项，任何必输项为空都可能导致您的本次投标（响应）无效；</w:t>
      </w:r>
    </w:p>
    <w:p w14:paraId="26853835">
      <w:pPr>
        <w:spacing w:line="560" w:lineRule="exact"/>
        <w:ind w:firstLine="560" w:firstLineChars="200"/>
        <w:rPr>
          <w:rFonts w:ascii="仿宋_GB2312" w:hAnsi="仿宋" w:eastAsia="仿宋_GB2312" w:cs="宋体"/>
          <w:color w:val="000000" w:themeColor="text1"/>
          <w:sz w:val="28"/>
          <w:szCs w:val="28"/>
          <w:highlight w:val="none"/>
          <w14:textFill>
            <w14:solidFill>
              <w14:schemeClr w14:val="tx1"/>
            </w14:solidFill>
          </w14:textFill>
        </w:rPr>
      </w:pPr>
      <w:r>
        <w:rPr>
          <w:rFonts w:ascii="仿宋_GB2312" w:hAnsi="仿宋" w:eastAsia="仿宋_GB2312" w:cs="宋体"/>
          <w:color w:val="000000" w:themeColor="text1"/>
          <w:sz w:val="28"/>
          <w:szCs w:val="28"/>
          <w:highlight w:val="none"/>
          <w14:textFill>
            <w14:solidFill>
              <w14:schemeClr w14:val="tx1"/>
            </w14:solidFill>
          </w14:textFill>
        </w:rPr>
        <w:t>（2）如想拷贝数据到某个待填写单元格，应采用选择性粘贴(只粘贴文本)，否则单元格填写无效或被锁死；</w:t>
      </w:r>
    </w:p>
    <w:p w14:paraId="1EBC5A51">
      <w:pPr>
        <w:spacing w:line="560" w:lineRule="exact"/>
        <w:ind w:firstLine="560" w:firstLineChars="200"/>
        <w:rPr>
          <w:rFonts w:ascii="仿宋_GB2312" w:hAnsi="仿宋" w:eastAsia="仿宋_GB2312" w:cs="宋体"/>
          <w:color w:val="000000" w:themeColor="text1"/>
          <w:sz w:val="28"/>
          <w:szCs w:val="28"/>
          <w:highlight w:val="none"/>
          <w14:textFill>
            <w14:solidFill>
              <w14:schemeClr w14:val="tx1"/>
            </w14:solidFill>
          </w14:textFill>
        </w:rPr>
      </w:pPr>
      <w:r>
        <w:rPr>
          <w:rFonts w:ascii="仿宋_GB2312" w:hAnsi="仿宋" w:eastAsia="仿宋_GB2312" w:cs="宋体"/>
          <w:color w:val="000000" w:themeColor="text1"/>
          <w:sz w:val="28"/>
          <w:szCs w:val="28"/>
          <w:highlight w:val="none"/>
          <w14:textFill>
            <w14:solidFill>
              <w14:schemeClr w14:val="tx1"/>
            </w14:solidFill>
          </w14:textFill>
        </w:rPr>
        <w:t>（3）当招标需求列的内容显示不完整时，请点击编辑栏进行查看；</w:t>
      </w:r>
    </w:p>
    <w:p w14:paraId="002AB63F">
      <w:pPr>
        <w:spacing w:line="560" w:lineRule="exact"/>
        <w:ind w:firstLine="560" w:firstLineChars="200"/>
        <w:rPr>
          <w:rFonts w:ascii="仿宋_GB2312" w:hAnsi="仿宋" w:eastAsia="仿宋_GB2312" w:cs="宋体"/>
          <w:color w:val="000000" w:themeColor="text1"/>
          <w:sz w:val="28"/>
          <w:szCs w:val="28"/>
          <w:highlight w:val="none"/>
          <w14:textFill>
            <w14:solidFill>
              <w14:schemeClr w14:val="tx1"/>
            </w14:solidFill>
          </w14:textFill>
        </w:rPr>
      </w:pPr>
      <w:r>
        <w:rPr>
          <w:rFonts w:ascii="仿宋_GB2312" w:hAnsi="仿宋" w:eastAsia="仿宋_GB2312" w:cs="宋体"/>
          <w:color w:val="000000" w:themeColor="text1"/>
          <w:sz w:val="28"/>
          <w:szCs w:val="28"/>
          <w:highlight w:val="none"/>
          <w14:textFill>
            <w14:solidFill>
              <w14:schemeClr w14:val="tx1"/>
            </w14:solidFill>
          </w14:textFill>
        </w:rPr>
        <w:t>（4）响应需求请按照商品(服务)的招标需求的逐一说明，如实填写。“响应需求”中需详细列明所报产品（服务）的明细；若与投标（响应）文件中提供的产品检测报告（如有）、生产厂家出具的产品彩页等证明材料的实质性响应情况不一致，按</w:t>
      </w:r>
      <w:r>
        <w:rPr>
          <w:rFonts w:ascii="仿宋_GB2312" w:hAnsi="仿宋" w:eastAsia="仿宋_GB2312" w:cs="宋体"/>
          <w:b/>
          <w:color w:val="000000" w:themeColor="text1"/>
          <w:sz w:val="28"/>
          <w:szCs w:val="28"/>
          <w:highlight w:val="none"/>
          <w14:textFill>
            <w14:solidFill>
              <w14:schemeClr w14:val="tx1"/>
            </w14:solidFill>
          </w14:textFill>
        </w:rPr>
        <w:t>无效投标（响应）处理</w:t>
      </w:r>
      <w:r>
        <w:rPr>
          <w:rFonts w:ascii="仿宋_GB2312" w:hAnsi="仿宋" w:eastAsia="仿宋_GB2312" w:cs="宋体"/>
          <w:color w:val="000000" w:themeColor="text1"/>
          <w:sz w:val="28"/>
          <w:szCs w:val="28"/>
          <w:highlight w:val="none"/>
          <w14:textFill>
            <w14:solidFill>
              <w14:schemeClr w14:val="tx1"/>
            </w14:solidFill>
          </w14:textFill>
        </w:rPr>
        <w:t>。</w:t>
      </w:r>
    </w:p>
    <w:p w14:paraId="6A996ECE">
      <w:pPr>
        <w:spacing w:line="560" w:lineRule="exact"/>
        <w:ind w:firstLine="560" w:firstLineChars="200"/>
        <w:rPr>
          <w:rFonts w:ascii="仿宋_GB2312" w:hAnsi="仿宋" w:eastAsia="仿宋_GB2312" w:cs="宋体"/>
          <w:color w:val="000000" w:themeColor="text1"/>
          <w:sz w:val="28"/>
          <w:szCs w:val="28"/>
          <w:highlight w:val="none"/>
          <w14:textFill>
            <w14:solidFill>
              <w14:schemeClr w14:val="tx1"/>
            </w14:solidFill>
          </w14:textFill>
        </w:rPr>
      </w:pPr>
      <w:r>
        <w:rPr>
          <w:rFonts w:ascii="仿宋_GB2312" w:hAnsi="仿宋" w:eastAsia="仿宋_GB2312" w:cs="宋体"/>
          <w:color w:val="000000" w:themeColor="text1"/>
          <w:sz w:val="28"/>
          <w:szCs w:val="28"/>
          <w:highlight w:val="none"/>
          <w14:textFill>
            <w14:solidFill>
              <w14:schemeClr w14:val="tx1"/>
            </w14:solidFill>
          </w14:textFill>
        </w:rPr>
        <w:t>（5）按照该表显示位置加盖一个电子印章；</w:t>
      </w:r>
    </w:p>
    <w:p w14:paraId="2149C3F4">
      <w:pPr>
        <w:spacing w:line="560" w:lineRule="exact"/>
        <w:ind w:firstLine="560" w:firstLineChars="200"/>
        <w:rPr>
          <w:rFonts w:ascii="仿宋_GB2312" w:hAnsi="仿宋" w:eastAsia="仿宋_GB2312" w:cs="宋体"/>
          <w:color w:val="000000" w:themeColor="text1"/>
          <w:sz w:val="28"/>
          <w:szCs w:val="28"/>
          <w:highlight w:val="none"/>
          <w14:textFill>
            <w14:solidFill>
              <w14:schemeClr w14:val="tx1"/>
            </w14:solidFill>
          </w14:textFill>
        </w:rPr>
      </w:pPr>
      <w:r>
        <w:rPr>
          <w:rFonts w:ascii="仿宋_GB2312" w:hAnsi="仿宋" w:eastAsia="仿宋_GB2312" w:cs="宋体"/>
          <w:color w:val="000000" w:themeColor="text1"/>
          <w:sz w:val="28"/>
          <w:szCs w:val="28"/>
          <w:highlight w:val="none"/>
          <w14:textFill>
            <w14:solidFill>
              <w14:schemeClr w14:val="tx1"/>
            </w14:solidFill>
          </w14:textFill>
        </w:rPr>
        <w:t>（6）该表为固定格式且有数字指纹，必须在原表上填写，填写完毕后只可保存不可另存。删除该表、增加该表、增加行列、删除行列、对固定格式的任何改动均会导致</w:t>
      </w:r>
      <w:r>
        <w:rPr>
          <w:rFonts w:ascii="仿宋_GB2312" w:hAnsi="仿宋" w:eastAsia="仿宋_GB2312" w:cs="宋体"/>
          <w:b/>
          <w:color w:val="000000" w:themeColor="text1"/>
          <w:sz w:val="28"/>
          <w:szCs w:val="28"/>
          <w:highlight w:val="none"/>
          <w14:textFill>
            <w14:solidFill>
              <w14:schemeClr w14:val="tx1"/>
            </w14:solidFill>
          </w14:textFill>
        </w:rPr>
        <w:t>无效投标（</w:t>
      </w:r>
      <w:r>
        <w:rPr>
          <w:rFonts w:hint="eastAsia" w:ascii="仿宋_GB2312" w:hAnsi="仿宋" w:eastAsia="仿宋_GB2312" w:cs="宋体"/>
          <w:b/>
          <w:color w:val="000000" w:themeColor="text1"/>
          <w:sz w:val="28"/>
          <w:szCs w:val="28"/>
          <w:highlight w:val="none"/>
          <w14:textFill>
            <w14:solidFill>
              <w14:schemeClr w14:val="tx1"/>
            </w14:solidFill>
          </w14:textFill>
        </w:rPr>
        <w:t>响应</w:t>
      </w:r>
      <w:r>
        <w:rPr>
          <w:rFonts w:ascii="仿宋_GB2312" w:hAnsi="仿宋" w:eastAsia="仿宋_GB2312" w:cs="宋体"/>
          <w:b/>
          <w:color w:val="000000" w:themeColor="text1"/>
          <w:sz w:val="28"/>
          <w:szCs w:val="28"/>
          <w:highlight w:val="none"/>
          <w14:textFill>
            <w14:solidFill>
              <w14:schemeClr w14:val="tx1"/>
            </w14:solidFill>
          </w14:textFill>
        </w:rPr>
        <w:t>）</w:t>
      </w:r>
      <w:r>
        <w:rPr>
          <w:rFonts w:ascii="仿宋_GB2312" w:hAnsi="仿宋" w:eastAsia="仿宋_GB2312" w:cs="宋体"/>
          <w:color w:val="000000" w:themeColor="text1"/>
          <w:sz w:val="28"/>
          <w:szCs w:val="28"/>
          <w:highlight w:val="none"/>
          <w14:textFill>
            <w14:solidFill>
              <w14:schemeClr w14:val="tx1"/>
            </w14:solidFill>
          </w14:textFill>
        </w:rPr>
        <w:t>；</w:t>
      </w:r>
    </w:p>
    <w:p w14:paraId="7E4BDD76">
      <w:pPr>
        <w:snapToGrid w:val="0"/>
        <w:spacing w:line="560" w:lineRule="exact"/>
        <w:ind w:firstLine="562" w:firstLineChars="201"/>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9.6</w:t>
      </w:r>
      <w:r>
        <w:rPr>
          <w:rFonts w:hint="eastAsia" w:ascii="仿宋_GB2312" w:hAnsi="宋体" w:eastAsia="仿宋_GB2312"/>
          <w:color w:val="000000" w:themeColor="text1"/>
          <w:sz w:val="28"/>
          <w:szCs w:val="28"/>
          <w:highlight w:val="none"/>
          <w14:textFill>
            <w14:solidFill>
              <w14:schemeClr w14:val="tx1"/>
            </w14:solidFill>
          </w14:textFill>
        </w:rPr>
        <w:t>投标人的报价在合同执行过程中是固定不变的，不得以任何理由改变。所有价格折扣、优惠条件必须在报价明细表中注明，否则评审时不予认可。</w:t>
      </w:r>
    </w:p>
    <w:p w14:paraId="6598A199">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10.联合体投标</w:t>
      </w:r>
    </w:p>
    <w:p w14:paraId="3B8F4D49">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两个以上的自然人、法人或者其他组织可以组成一个联合体，以一个投标人的身份共同参加投标。</w:t>
      </w:r>
    </w:p>
    <w:p w14:paraId="68B3DC38">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10.1以联合体形式进行投标的，应当提交联合协议，载明联合体各方承担的工作和义务。联合体各方应当共同与采购人签订采购合同，就采购合同约定的事项对采购人承担连带责任。</w:t>
      </w:r>
    </w:p>
    <w:p w14:paraId="2EE95103">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10.2联合体中有同类资质的</w:t>
      </w:r>
      <w:r>
        <w:rPr>
          <w:rFonts w:hint="eastAsia" w:ascii="仿宋_GB2312" w:hAnsi="宋体" w:eastAsia="仿宋_GB2312"/>
          <w:color w:val="000000" w:themeColor="text1"/>
          <w:sz w:val="28"/>
          <w:szCs w:val="28"/>
          <w:highlight w:val="none"/>
          <w14:textFill>
            <w14:solidFill>
              <w14:schemeClr w14:val="tx1"/>
            </w14:solidFill>
          </w14:textFill>
        </w:rPr>
        <w:t>投标人</w:t>
      </w:r>
      <w:r>
        <w:rPr>
          <w:rFonts w:hint="eastAsia" w:ascii="仿宋_GB2312" w:hAnsi="仿宋" w:eastAsia="仿宋_GB2312" w:cs="宋体"/>
          <w:color w:val="000000" w:themeColor="text1"/>
          <w:sz w:val="28"/>
          <w:szCs w:val="28"/>
          <w:highlight w:val="none"/>
          <w14:textFill>
            <w14:solidFill>
              <w14:schemeClr w14:val="tx1"/>
            </w14:solidFill>
          </w14:textFill>
        </w:rPr>
        <w:t>按照联合体分工承担相同工作的，应当按照资质等级较低的</w:t>
      </w:r>
      <w:r>
        <w:rPr>
          <w:rFonts w:hint="eastAsia" w:ascii="仿宋_GB2312" w:hAnsi="宋体" w:eastAsia="仿宋_GB2312"/>
          <w:color w:val="000000" w:themeColor="text1"/>
          <w:sz w:val="28"/>
          <w:szCs w:val="28"/>
          <w:highlight w:val="none"/>
          <w14:textFill>
            <w14:solidFill>
              <w14:schemeClr w14:val="tx1"/>
            </w14:solidFill>
          </w14:textFill>
        </w:rPr>
        <w:t>投标人</w:t>
      </w:r>
      <w:r>
        <w:rPr>
          <w:rFonts w:hint="eastAsia" w:ascii="仿宋_GB2312" w:hAnsi="仿宋" w:eastAsia="仿宋_GB2312" w:cs="宋体"/>
          <w:color w:val="000000" w:themeColor="text1"/>
          <w:sz w:val="28"/>
          <w:szCs w:val="28"/>
          <w:highlight w:val="none"/>
          <w14:textFill>
            <w14:solidFill>
              <w14:schemeClr w14:val="tx1"/>
            </w14:solidFill>
          </w14:textFill>
        </w:rPr>
        <w:t>确定资质等级。</w:t>
      </w:r>
    </w:p>
    <w:p w14:paraId="3CAC8207">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10.3联合体的各方应当共同推荐一名联合体投标授权代表方，由联合体各方提交一份授权书，证明其有资格代表联合体各方签署投标文件，该授权书作为投标文件的组成部分一并提交给</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w:t>
      </w:r>
    </w:p>
    <w:p w14:paraId="04C8A870">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10.4以联合体形式参加采购活动的，联合体各方不得再单独参加或者与其他</w:t>
      </w:r>
      <w:r>
        <w:rPr>
          <w:rFonts w:hint="eastAsia" w:ascii="仿宋_GB2312" w:hAnsi="宋体" w:eastAsia="仿宋_GB2312"/>
          <w:color w:val="000000" w:themeColor="text1"/>
          <w:sz w:val="28"/>
          <w:szCs w:val="28"/>
          <w:highlight w:val="none"/>
          <w14:textFill>
            <w14:solidFill>
              <w14:schemeClr w14:val="tx1"/>
            </w14:solidFill>
          </w14:textFill>
        </w:rPr>
        <w:t>投标人</w:t>
      </w:r>
      <w:r>
        <w:rPr>
          <w:rFonts w:hint="eastAsia" w:ascii="仿宋_GB2312" w:hAnsi="仿宋" w:eastAsia="仿宋_GB2312" w:cs="宋体"/>
          <w:color w:val="000000" w:themeColor="text1"/>
          <w:sz w:val="28"/>
          <w:szCs w:val="28"/>
          <w:highlight w:val="none"/>
          <w14:textFill>
            <w14:solidFill>
              <w14:schemeClr w14:val="tx1"/>
            </w14:solidFill>
          </w14:textFill>
        </w:rPr>
        <w:t>另外组成联合体参加同一合同项下的采购活动。</w:t>
      </w:r>
    </w:p>
    <w:p w14:paraId="76B556C3">
      <w:pPr>
        <w:spacing w:line="560" w:lineRule="exact"/>
        <w:ind w:firstLine="565" w:firstLineChars="201"/>
        <w:rPr>
          <w:rFonts w:ascii="仿宋_GB2312" w:hAnsi="仿宋" w:eastAsia="仿宋_GB2312" w:cs="宋体"/>
          <w:b/>
          <w:color w:val="000000" w:themeColor="text1"/>
          <w:sz w:val="28"/>
          <w:szCs w:val="28"/>
          <w:highlight w:val="none"/>
          <w14:textFill>
            <w14:solidFill>
              <w14:schemeClr w14:val="tx1"/>
            </w14:solidFill>
          </w14:textFill>
        </w:rPr>
      </w:pPr>
      <w:r>
        <w:rPr>
          <w:rFonts w:hint="eastAsia" w:ascii="仿宋_GB2312" w:hAnsi="仿宋" w:eastAsia="仿宋_GB2312" w:cs="宋体"/>
          <w:b/>
          <w:color w:val="000000" w:themeColor="text1"/>
          <w:sz w:val="28"/>
          <w:szCs w:val="28"/>
          <w:highlight w:val="none"/>
          <w14:textFill>
            <w14:solidFill>
              <w14:schemeClr w14:val="tx1"/>
            </w14:solidFill>
          </w14:textFill>
        </w:rPr>
        <w:t>本项目是否接受联合体投标详见《投标须知前附表》。</w:t>
      </w:r>
    </w:p>
    <w:p w14:paraId="53A98B10">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11.关于分包</w:t>
      </w:r>
    </w:p>
    <w:p w14:paraId="49D6D633">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11.1供应商拟将成交项目的非主体、非关键性工作分包的，应当在响应文件中载明分包承担主体，分包承担主体应当具备相应资质条件且不得再次分包。</w:t>
      </w:r>
    </w:p>
    <w:p w14:paraId="2D29E426">
      <w:pPr>
        <w:spacing w:line="560" w:lineRule="exact"/>
        <w:ind w:firstLine="562" w:firstLineChars="201"/>
        <w:rPr>
          <w:rFonts w:hint="default" w:ascii="仿宋_GB2312" w:hAnsi="仿宋" w:eastAsia="仿宋_GB2312" w:cs="宋体"/>
          <w:color w:val="000000" w:themeColor="text1"/>
          <w:sz w:val="28"/>
          <w:szCs w:val="28"/>
          <w:highlight w:val="none"/>
          <w:lang w:val="en-US" w:eastAsia="zh-CN"/>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11.2供应商应当就分包项目向采购人负责，分包承担主体就分包项目承担责任。</w:t>
      </w:r>
    </w:p>
    <w:p w14:paraId="00B5C0B4">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12.现场踏勘</w:t>
      </w:r>
    </w:p>
    <w:p w14:paraId="5B7CB72E">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12.1如有需要，采购人将组织投标人对项目现场及周围环境进行踏勘，以便投标人获取有关编制投标文件和签署合同所需的所有资料。踏勘现场所发生的费用由投标人自己承担，投标人应按招标公告所约定的时间、地点踏勘现场。</w:t>
      </w:r>
    </w:p>
    <w:p w14:paraId="11684E3B">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12.2投标人及其人员经过采购人的允许，可以踏勘目的进入采购单位的项目现场。若本项目招标文件要求投标人于统一时间地点踏勘现场的，投标人应当按时前往。</w:t>
      </w:r>
    </w:p>
    <w:p w14:paraId="699FBCB8">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12.3除招标人的原因外，投标人自行负责在踏勘现场中所发生的人员伤亡和财产损失。</w:t>
      </w:r>
    </w:p>
    <w:p w14:paraId="3D0ACDF4">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12.4未参与现场踏勘不作为否定投标人资格的理由。</w:t>
      </w:r>
    </w:p>
    <w:p w14:paraId="3C9B2514">
      <w:pPr>
        <w:spacing w:line="560" w:lineRule="exact"/>
        <w:ind w:firstLine="565" w:firstLineChars="201"/>
        <w:rPr>
          <w:rFonts w:ascii="仿宋_GB2312" w:hAnsi="仿宋" w:eastAsia="仿宋_GB2312" w:cs="宋体"/>
          <w:b/>
          <w:color w:val="000000" w:themeColor="text1"/>
          <w:sz w:val="28"/>
          <w:szCs w:val="28"/>
          <w:highlight w:val="none"/>
          <w14:textFill>
            <w14:solidFill>
              <w14:schemeClr w14:val="tx1"/>
            </w14:solidFill>
          </w14:textFill>
        </w:rPr>
      </w:pPr>
      <w:r>
        <w:rPr>
          <w:rFonts w:hint="eastAsia" w:ascii="仿宋_GB2312" w:hAnsi="仿宋" w:eastAsia="仿宋_GB2312" w:cs="宋体"/>
          <w:b/>
          <w:color w:val="000000" w:themeColor="text1"/>
          <w:sz w:val="28"/>
          <w:szCs w:val="28"/>
          <w:highlight w:val="none"/>
          <w14:textFill>
            <w14:solidFill>
              <w14:schemeClr w14:val="tx1"/>
            </w14:solidFill>
          </w14:textFill>
        </w:rPr>
        <w:t>本项目是否组织现场踏勘详见《投标须知前附表》</w:t>
      </w:r>
    </w:p>
    <w:p w14:paraId="79B3DBFF">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13.投标的有效期</w:t>
      </w:r>
    </w:p>
    <w:p w14:paraId="52CB88E1">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13.1从开标之日起，投标有效期为90天。投标有效期短于90天的，其投标为无效投标（响应）。</w:t>
      </w:r>
    </w:p>
    <w:p w14:paraId="3CDC4D6D">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13.2特殊情况下，在投标有效期满之前，</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可以要求投标人延长投标有效期，投标人可以书面形式拒绝或接受上述要求。同意延长投标有效期的投标人不得修改投标文件的实质性内容。</w:t>
      </w:r>
    </w:p>
    <w:p w14:paraId="65442F74">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14.履约保证金的交纳与返还</w:t>
      </w:r>
    </w:p>
    <w:p w14:paraId="2CBF70BE">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本项目不收取履约保证金。</w:t>
      </w:r>
    </w:p>
    <w:p w14:paraId="2BAB72FA">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15.投标文件的数量和签署</w:t>
      </w:r>
    </w:p>
    <w:p w14:paraId="4D20DCA3">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15.1投标文件（pdf格式）（第一册）1份</w:t>
      </w:r>
    </w:p>
    <w:p w14:paraId="110DA4E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15.1.1投标人应使用带电子签章功能的CA锁对投标文件须盖章或签名的部位加盖电子印章（单位电子公章、法定代表人（依法登记的负责人）电子人名章），电子印章与实物印章具有同等法律效力。</w:t>
      </w:r>
    </w:p>
    <w:p w14:paraId="1BDDC2B0">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15.1.2投标人应首先编制word格式投标文件，最后通过威海市国有企业阳光采购电子化服务平台的文件签章菜单的标书签章功能转换为pdf格式（或者其他pdf转换工具），之后通过签章功能在pdf文件上逐页加盖电子印章并保存到本地计算机，加盖了电子印章的pdf文件即为最终的投标文件。</w:t>
      </w:r>
    </w:p>
    <w:p w14:paraId="033181A0">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15.1.3文件中要求法定代表人（依法登记的负责人）签字或签章的须加盖法定代表人（依法登记的负责人）电子人名章。</w:t>
      </w:r>
    </w:p>
    <w:p w14:paraId="1E31AA52">
      <w:pPr>
        <w:snapToGrid w:val="0"/>
        <w:spacing w:line="560" w:lineRule="exact"/>
        <w:ind w:firstLine="562" w:firstLineChars="201"/>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15.1.4</w:t>
      </w:r>
      <w:r>
        <w:rPr>
          <w:rFonts w:hint="eastAsia" w:ascii="仿宋_GB2312" w:hAnsi="宋体" w:eastAsia="仿宋_GB2312"/>
          <w:color w:val="000000" w:themeColor="text1"/>
          <w:sz w:val="28"/>
          <w:szCs w:val="28"/>
          <w:highlight w:val="none"/>
          <w14:textFill>
            <w14:solidFill>
              <w14:schemeClr w14:val="tx1"/>
            </w14:solidFill>
          </w14:textFill>
        </w:rPr>
        <w:t>须被授权人签字的，被授权人又无电子章，在word编制时可将被授权人手写签字扫描后的图片粘贴到投标文件中对应位置，并加盖单位电子公章。</w:t>
      </w:r>
    </w:p>
    <w:p w14:paraId="4D4B39B0">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15.1.5</w:t>
      </w:r>
      <w:r>
        <w:rPr>
          <w:rFonts w:hint="eastAsia" w:ascii="仿宋_GB2312" w:hAnsi="宋体" w:eastAsia="仿宋_GB2312"/>
          <w:color w:val="000000" w:themeColor="text1"/>
          <w:sz w:val="28"/>
          <w:szCs w:val="28"/>
          <w:highlight w:val="none"/>
          <w14:textFill>
            <w14:solidFill>
              <w14:schemeClr w14:val="tx1"/>
            </w14:solidFill>
          </w14:textFill>
        </w:rPr>
        <w:t>可使用系统的批量盖章功能快速签章。但须逐页浏览检查并注意印章重叠及完整性。</w:t>
      </w:r>
    </w:p>
    <w:p w14:paraId="5B01FA8F">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15.1.6采用扫描粘贴投标人公章或扫描法定代表人（依法登记的负责人）人名章而不加盖单位电子公章的为</w:t>
      </w:r>
      <w:r>
        <w:rPr>
          <w:rFonts w:hint="eastAsia" w:ascii="仿宋_GB2312" w:hAnsi="仿宋" w:eastAsia="仿宋_GB2312" w:cs="宋体"/>
          <w:b/>
          <w:color w:val="000000" w:themeColor="text1"/>
          <w:sz w:val="28"/>
          <w:szCs w:val="28"/>
          <w:highlight w:val="none"/>
          <w14:textFill>
            <w14:solidFill>
              <w14:schemeClr w14:val="tx1"/>
            </w14:solidFill>
          </w14:textFill>
        </w:rPr>
        <w:t>无效投标（响应）</w:t>
      </w:r>
      <w:r>
        <w:rPr>
          <w:rFonts w:hint="eastAsia" w:ascii="仿宋_GB2312" w:hAnsi="仿宋" w:eastAsia="仿宋_GB2312" w:cs="宋体"/>
          <w:color w:val="000000" w:themeColor="text1"/>
          <w:sz w:val="28"/>
          <w:szCs w:val="28"/>
          <w:highlight w:val="none"/>
          <w14:textFill>
            <w14:solidFill>
              <w14:schemeClr w14:val="tx1"/>
            </w14:solidFill>
          </w14:textFill>
        </w:rPr>
        <w:t>。</w:t>
      </w:r>
    </w:p>
    <w:p w14:paraId="2B3C7F2A">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15.2数据文件（PDF格式）（第二册）1份</w:t>
      </w:r>
    </w:p>
    <w:p w14:paraId="4E72DBEC">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15.2.1投标人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投标。</w:t>
      </w:r>
    </w:p>
    <w:p w14:paraId="72B2A004">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15.2.2</w:t>
      </w:r>
      <w:r>
        <w:rPr>
          <w:rFonts w:hint="eastAsia" w:ascii="仿宋_GB2312" w:hAnsi="宋体" w:eastAsia="仿宋_GB2312"/>
          <w:color w:val="000000" w:themeColor="text1"/>
          <w:sz w:val="28"/>
          <w:szCs w:val="28"/>
          <w:highlight w:val="none"/>
          <w14:textFill>
            <w14:solidFill>
              <w14:schemeClr w14:val="tx1"/>
            </w14:solidFill>
          </w14:textFill>
        </w:rPr>
        <w:t>文件中要求法定代表人（依法登记的负责人）签字或签章的须加盖法定代表人（依法登记的负责人）电子人名章。</w:t>
      </w:r>
    </w:p>
    <w:p w14:paraId="4F78FC6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15.2.3采用扫描粘贴投标人公章或法定代表人（依法登记的负责人）人名章的为</w:t>
      </w:r>
      <w:r>
        <w:rPr>
          <w:rFonts w:hint="eastAsia" w:ascii="仿宋_GB2312" w:hAnsi="仿宋" w:eastAsia="仿宋_GB2312" w:cs="宋体"/>
          <w:b/>
          <w:color w:val="000000" w:themeColor="text1"/>
          <w:sz w:val="28"/>
          <w:szCs w:val="28"/>
          <w:highlight w:val="none"/>
          <w14:textFill>
            <w14:solidFill>
              <w14:schemeClr w14:val="tx1"/>
            </w14:solidFill>
          </w14:textFill>
        </w:rPr>
        <w:t>无效投标（响应）</w:t>
      </w:r>
      <w:r>
        <w:rPr>
          <w:rFonts w:hint="eastAsia" w:ascii="仿宋_GB2312" w:hAnsi="仿宋" w:eastAsia="仿宋_GB2312" w:cs="宋体"/>
          <w:color w:val="000000" w:themeColor="text1"/>
          <w:sz w:val="28"/>
          <w:szCs w:val="28"/>
          <w:highlight w:val="none"/>
          <w14:textFill>
            <w14:solidFill>
              <w14:schemeClr w14:val="tx1"/>
            </w14:solidFill>
          </w14:textFill>
        </w:rPr>
        <w:t>。</w:t>
      </w:r>
    </w:p>
    <w:p w14:paraId="10161F81">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四、投标文件的递交</w:t>
      </w:r>
    </w:p>
    <w:p w14:paraId="789ABA16">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16.投标文件的密封和标记</w:t>
      </w:r>
    </w:p>
    <w:p w14:paraId="5F6B3CB6">
      <w:pPr>
        <w:spacing w:line="560" w:lineRule="exact"/>
        <w:ind w:firstLine="565" w:firstLineChars="201"/>
        <w:rPr>
          <w:rFonts w:ascii="仿宋_GB2312" w:hAnsi="仿宋" w:eastAsia="仿宋_GB2312" w:cs="宋体"/>
          <w:b/>
          <w:color w:val="000000" w:themeColor="text1"/>
          <w:sz w:val="28"/>
          <w:szCs w:val="28"/>
          <w:highlight w:val="none"/>
          <w14:textFill>
            <w14:solidFill>
              <w14:schemeClr w14:val="tx1"/>
            </w14:solidFill>
          </w14:textFill>
        </w:rPr>
      </w:pPr>
      <w:r>
        <w:rPr>
          <w:rFonts w:hint="eastAsia" w:ascii="仿宋_GB2312" w:hAnsi="仿宋" w:eastAsia="仿宋_GB2312" w:cs="宋体"/>
          <w:b/>
          <w:color w:val="000000" w:themeColor="text1"/>
          <w:sz w:val="28"/>
          <w:szCs w:val="28"/>
          <w:highlight w:val="none"/>
          <w14:textFill>
            <w14:solidFill>
              <w14:schemeClr w14:val="tx1"/>
            </w14:solidFill>
          </w14:textFill>
        </w:rPr>
        <w:t>16.1电子投标文件的密封和标记</w:t>
      </w:r>
    </w:p>
    <w:p w14:paraId="5F94843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17.1.1加盖了电子印章的电子投标文件（PDF格式）和数据文件（PDF格式）须在威海市国有企业阳光采购电子化服务平台的“我的投标”界面进行提交，提交前系统会自动在本地进行加密和数字签名，加密和电子签章后的文件除了会上传到系统中之外还会同步保存到本地计算机。</w:t>
      </w:r>
    </w:p>
    <w:p w14:paraId="7C16C21C">
      <w:pPr>
        <w:spacing w:line="560" w:lineRule="exact"/>
        <w:ind w:firstLine="565" w:firstLineChars="201"/>
        <w:rPr>
          <w:rFonts w:ascii="仿宋_GB2312" w:hAnsi="仿宋" w:eastAsia="仿宋_GB2312" w:cs="宋体"/>
          <w:b/>
          <w:color w:val="000000" w:themeColor="text1"/>
          <w:sz w:val="28"/>
          <w:szCs w:val="28"/>
          <w:highlight w:val="none"/>
          <w14:textFill>
            <w14:solidFill>
              <w14:schemeClr w14:val="tx1"/>
            </w14:solidFill>
          </w14:textFill>
        </w:rPr>
      </w:pPr>
      <w:r>
        <w:rPr>
          <w:rFonts w:hint="eastAsia" w:ascii="仿宋_GB2312" w:hAnsi="仿宋" w:eastAsia="仿宋_GB2312" w:cs="宋体"/>
          <w:b/>
          <w:color w:val="000000" w:themeColor="text1"/>
          <w:sz w:val="28"/>
          <w:szCs w:val="28"/>
          <w:highlight w:val="none"/>
          <w14:textFill>
            <w14:solidFill>
              <w14:schemeClr w14:val="tx1"/>
            </w14:solidFill>
          </w14:textFill>
        </w:rPr>
        <w:t>16.2资质证明文件原件的密封和标记</w:t>
      </w:r>
    </w:p>
    <w:p w14:paraId="07DFBF19">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16.2.1投标须知前附表要求提供资质证明文件原件的，投标人应使用密封袋将资质证明文件原件密封（身份证原件除外），加盖公章并标明投标人（单位）名称、项目名称、项目编号、所投包号以及“资质证明文件原件”字样，粘贴密封条，注明“于*年*月*日 *:*之前不准启封”（</w:t>
      </w:r>
      <w:r>
        <w:rPr>
          <w:rFonts w:hint="eastAsia" w:ascii="仿宋_GB2312" w:hAnsi="仿宋" w:eastAsia="仿宋_GB2312" w:cs="宋体"/>
          <w:b/>
          <w:color w:val="000000" w:themeColor="text1"/>
          <w:sz w:val="28"/>
          <w:szCs w:val="28"/>
          <w:highlight w:val="none"/>
          <w14:textFill>
            <w14:solidFill>
              <w14:schemeClr w14:val="tx1"/>
            </w14:solidFill>
          </w14:textFill>
        </w:rPr>
        <w:t>开标时间</w:t>
      </w:r>
      <w:r>
        <w:rPr>
          <w:rFonts w:hint="eastAsia" w:ascii="仿宋_GB2312" w:hAnsi="仿宋" w:eastAsia="仿宋_GB2312" w:cs="宋体"/>
          <w:color w:val="000000" w:themeColor="text1"/>
          <w:sz w:val="28"/>
          <w:szCs w:val="28"/>
          <w:highlight w:val="none"/>
          <w14:textFill>
            <w14:solidFill>
              <w14:schemeClr w14:val="tx1"/>
            </w14:solidFill>
          </w14:textFill>
        </w:rPr>
        <w:t xml:space="preserve">）的字样。加盖公章或由法定代表人（依法登记的负责人）或经其正式授权的代表在旁边签字。 </w:t>
      </w:r>
    </w:p>
    <w:p w14:paraId="2FDC7B5B">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16.2.2投标人按上述规定进行密封和标记后，按照招标文件的要求送达指定地点。</w:t>
      </w:r>
    </w:p>
    <w:p w14:paraId="094C26DB">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16.2.3如果未按上述规定进行密封和标记，</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对误投或提前启封概不负责。</w:t>
      </w:r>
    </w:p>
    <w:p w14:paraId="67606774">
      <w:pPr>
        <w:spacing w:line="560" w:lineRule="exact"/>
        <w:ind w:firstLine="565" w:firstLineChars="201"/>
        <w:rPr>
          <w:rFonts w:ascii="仿宋_GB2312" w:hAnsi="仿宋" w:eastAsia="仿宋_GB2312" w:cs="宋体"/>
          <w:b/>
          <w:color w:val="000000" w:themeColor="text1"/>
          <w:sz w:val="28"/>
          <w:szCs w:val="28"/>
          <w:highlight w:val="none"/>
          <w14:textFill>
            <w14:solidFill>
              <w14:schemeClr w14:val="tx1"/>
            </w14:solidFill>
          </w14:textFill>
        </w:rPr>
      </w:pPr>
      <w:r>
        <w:rPr>
          <w:rFonts w:hint="eastAsia" w:ascii="仿宋_GB2312" w:hAnsi="仿宋" w:eastAsia="仿宋_GB2312" w:cs="宋体"/>
          <w:b/>
          <w:color w:val="000000" w:themeColor="text1"/>
          <w:sz w:val="28"/>
          <w:szCs w:val="28"/>
          <w:highlight w:val="none"/>
          <w14:textFill>
            <w14:solidFill>
              <w14:schemeClr w14:val="tx1"/>
            </w14:solidFill>
          </w14:textFill>
        </w:rPr>
        <w:t>16.3文件递交</w:t>
      </w:r>
    </w:p>
    <w:p w14:paraId="2D60CD31">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16.3.1投标人应在投标须知前附表规定的时间前在威海市国有企业阳光采购电子化服务平台网上递交电子投标文件和数据文件。投标人应充分评估集中投标带来的网络影响，尽量避开投标高峰时间，错峰进行电子投标，系统以收到投标人发出的递交指令的时间作为其投标时间，如该时间超过投标截止时间，</w:t>
      </w:r>
      <w:r>
        <w:rPr>
          <w:rFonts w:hint="eastAsia" w:ascii="仿宋_GB2312" w:hAnsi="仿宋" w:eastAsia="仿宋_GB2312" w:cs="宋体"/>
          <w:b/>
          <w:color w:val="000000" w:themeColor="text1"/>
          <w:sz w:val="28"/>
          <w:szCs w:val="28"/>
          <w:highlight w:val="none"/>
          <w14:textFill>
            <w14:solidFill>
              <w14:schemeClr w14:val="tx1"/>
            </w14:solidFill>
          </w14:textFill>
        </w:rPr>
        <w:t>其投标将会被判定为无效。</w:t>
      </w:r>
    </w:p>
    <w:p w14:paraId="2343EB4F">
      <w:pPr>
        <w:spacing w:line="560" w:lineRule="exact"/>
        <w:ind w:firstLine="565"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b/>
          <w:color w:val="000000" w:themeColor="text1"/>
          <w:sz w:val="28"/>
          <w:szCs w:val="28"/>
          <w:highlight w:val="none"/>
          <w14:textFill>
            <w14:solidFill>
              <w14:schemeClr w14:val="tx1"/>
            </w14:solidFill>
          </w14:textFill>
        </w:rPr>
        <w:t>16.3.2投标人须牢记投标加密密码，该密码将用于开标时解密其电子投标文件，如忘记密码或输入错误密码超过5次，其递交的电子投标文件将无法解密，导致无法提取数据和供他人阅读文件，致使其投标失败。</w:t>
      </w:r>
    </w:p>
    <w:p w14:paraId="60017AAC">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16.3.3除投标须知前附表另有规定外，</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拒绝接收纸质投标文件。</w:t>
      </w:r>
    </w:p>
    <w:p w14:paraId="532C0FC0">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16.3.4投标人应将网上递交的已盖章未加密的数据文件和投标文件谨慎保存备份，以便启动应急开标程序时备案使用。</w:t>
      </w:r>
    </w:p>
    <w:p w14:paraId="44605B51">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17.投标截止期</w:t>
      </w:r>
    </w:p>
    <w:p w14:paraId="15DDE3E7">
      <w:pPr>
        <w:spacing w:line="560" w:lineRule="exact"/>
        <w:ind w:firstLine="565" w:firstLineChars="201"/>
        <w:rPr>
          <w:rFonts w:ascii="仿宋_GB2312" w:hAnsi="仿宋" w:eastAsia="仿宋_GB2312" w:cs="宋体"/>
          <w:b/>
          <w:color w:val="000000" w:themeColor="text1"/>
          <w:sz w:val="28"/>
          <w:szCs w:val="28"/>
          <w:highlight w:val="none"/>
          <w14:textFill>
            <w14:solidFill>
              <w14:schemeClr w14:val="tx1"/>
            </w14:solidFill>
          </w14:textFill>
        </w:rPr>
      </w:pPr>
      <w:r>
        <w:rPr>
          <w:rFonts w:hint="eastAsia" w:ascii="仿宋_GB2312" w:hAnsi="仿宋" w:eastAsia="仿宋_GB2312" w:cs="宋体"/>
          <w:b/>
          <w:color w:val="000000" w:themeColor="text1"/>
          <w:sz w:val="28"/>
          <w:szCs w:val="28"/>
          <w:highlight w:val="none"/>
          <w14:textFill>
            <w14:solidFill>
              <w14:schemeClr w14:val="tx1"/>
            </w14:solidFill>
          </w14:textFill>
        </w:rPr>
        <w:t>本次招标的投标截止期见《投标须知前附表》。</w:t>
      </w:r>
    </w:p>
    <w:p w14:paraId="2633B94C">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18.迟交的投标文件</w:t>
      </w:r>
    </w:p>
    <w:p w14:paraId="683870FE">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威海市国有企业阳光采购电子化服务平台无法接收投标截止期后递交的电子投标文件。</w:t>
      </w:r>
    </w:p>
    <w:p w14:paraId="527D7257">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19.</w:t>
      </w:r>
      <w:r>
        <w:rPr>
          <w:rFonts w:hint="eastAsia" w:ascii="楷体_GB2312" w:hAnsi="宋体" w:eastAsia="楷体_GB2312"/>
          <w:b/>
          <w:color w:val="000000" w:themeColor="text1"/>
          <w:sz w:val="28"/>
          <w:szCs w:val="28"/>
          <w:highlight w:val="none"/>
          <w14:textFill>
            <w14:solidFill>
              <w14:schemeClr w14:val="tx1"/>
            </w14:solidFill>
          </w14:textFill>
        </w:rPr>
        <w:t>现场演示</w:t>
      </w:r>
      <w:r>
        <w:rPr>
          <w:rFonts w:ascii="楷体_GB2312" w:hAnsi="宋体" w:eastAsia="楷体_GB2312"/>
          <w:b/>
          <w:color w:val="000000" w:themeColor="text1"/>
          <w:sz w:val="28"/>
          <w:szCs w:val="28"/>
          <w:highlight w:val="none"/>
          <w14:textFill>
            <w14:solidFill>
              <w14:schemeClr w14:val="tx1"/>
            </w14:solidFill>
          </w14:textFill>
        </w:rPr>
        <w:t>/</w:t>
      </w:r>
      <w:r>
        <w:rPr>
          <w:rFonts w:hint="eastAsia" w:ascii="楷体_GB2312" w:hAnsi="宋体" w:eastAsia="楷体_GB2312"/>
          <w:b/>
          <w:color w:val="000000" w:themeColor="text1"/>
          <w:sz w:val="28"/>
          <w:szCs w:val="28"/>
          <w:highlight w:val="none"/>
          <w14:textFill>
            <w14:solidFill>
              <w14:schemeClr w14:val="tx1"/>
            </w14:solidFill>
          </w14:textFill>
        </w:rPr>
        <w:t>样品递交</w:t>
      </w:r>
    </w:p>
    <w:p w14:paraId="6573640F">
      <w:pPr>
        <w:snapToGrid w:val="0"/>
        <w:spacing w:line="560" w:lineRule="exact"/>
        <w:ind w:firstLine="562" w:firstLineChars="201"/>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19.1采购人可以要求投标人对其提供的信息化、自动化等相关类别服务进行演示。</w:t>
      </w:r>
    </w:p>
    <w:p w14:paraId="5D44D421">
      <w:pPr>
        <w:snapToGrid w:val="0"/>
        <w:spacing w:line="560" w:lineRule="exact"/>
        <w:ind w:firstLine="562" w:firstLineChars="201"/>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19.2若服务项目涉及货物时，采购人可以要求投标人提供样品，样品作为响应文件的一部分。未中标供应商提供的样品将于评审结束后退还。中标人的样品由采购人保留，作为验收的参考。</w:t>
      </w:r>
    </w:p>
    <w:p w14:paraId="5B5ABE29">
      <w:pPr>
        <w:spacing w:line="560" w:lineRule="exact"/>
        <w:ind w:firstLine="565" w:firstLineChars="201"/>
        <w:rPr>
          <w:rFonts w:ascii="仿宋_GB2312" w:hAnsi="仿宋" w:eastAsia="仿宋_GB2312" w:cs="宋体"/>
          <w:b/>
          <w:color w:val="000000" w:themeColor="text1"/>
          <w:sz w:val="28"/>
          <w:szCs w:val="28"/>
          <w:highlight w:val="none"/>
          <w14:textFill>
            <w14:solidFill>
              <w14:schemeClr w14:val="tx1"/>
            </w14:solidFill>
          </w14:textFill>
        </w:rPr>
      </w:pPr>
      <w:r>
        <w:rPr>
          <w:rFonts w:hint="eastAsia" w:ascii="仿宋_GB2312" w:hAnsi="仿宋" w:eastAsia="仿宋_GB2312" w:cs="宋体"/>
          <w:b/>
          <w:color w:val="000000" w:themeColor="text1"/>
          <w:sz w:val="28"/>
          <w:szCs w:val="28"/>
          <w:highlight w:val="none"/>
          <w14:textFill>
            <w14:solidFill>
              <w14:schemeClr w14:val="tx1"/>
            </w14:solidFill>
          </w14:textFill>
        </w:rPr>
        <w:t>是否要求投标人</w:t>
      </w:r>
      <w:r>
        <w:rPr>
          <w:rFonts w:hint="eastAsia" w:ascii="仿宋_GB2312" w:hAnsi="宋体" w:eastAsia="仿宋_GB2312"/>
          <w:b/>
          <w:color w:val="000000" w:themeColor="text1"/>
          <w:sz w:val="28"/>
          <w:szCs w:val="28"/>
          <w:highlight w:val="none"/>
          <w14:textFill>
            <w14:solidFill>
              <w14:schemeClr w14:val="tx1"/>
            </w14:solidFill>
          </w14:textFill>
        </w:rPr>
        <w:t>提供演示/提交样品</w:t>
      </w:r>
      <w:r>
        <w:rPr>
          <w:rFonts w:hint="eastAsia" w:ascii="仿宋_GB2312" w:hAnsi="仿宋" w:eastAsia="仿宋_GB2312" w:cs="宋体"/>
          <w:b/>
          <w:color w:val="000000" w:themeColor="text1"/>
          <w:sz w:val="28"/>
          <w:szCs w:val="28"/>
          <w:highlight w:val="none"/>
          <w14:textFill>
            <w14:solidFill>
              <w14:schemeClr w14:val="tx1"/>
            </w14:solidFill>
          </w14:textFill>
        </w:rPr>
        <w:t>，详见招标文件《投标须知前附表》的有关规定。</w:t>
      </w:r>
    </w:p>
    <w:p w14:paraId="1C8578EE">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20.投标文件的修改和撤回</w:t>
      </w:r>
    </w:p>
    <w:p w14:paraId="2D6F7EAA">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20.1投标人必须在规定的投标截止期之前将修改的投标文件和数据文件上传到威海市国有企业阳光采购电子化服务平台,在投标截止期之后，投标人不得对其投标文件做任何修改。</w:t>
      </w:r>
    </w:p>
    <w:p w14:paraId="3318639A">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20.2投标人在递交投标文件后，可以在投标截止期之前撤回其投标。</w:t>
      </w:r>
    </w:p>
    <w:p w14:paraId="4D2B1B50">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20.3开标后不允许对投标文件做实质性修改和补充，不得撤回投标文件。</w:t>
      </w:r>
    </w:p>
    <w:p w14:paraId="487913D7">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五、开标与评审</w:t>
      </w:r>
    </w:p>
    <w:p w14:paraId="62B1C877">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21.开标</w:t>
      </w:r>
    </w:p>
    <w:p w14:paraId="4CA25735">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21.1投标截止时间结束后，投标人不足3家的不得开标。</w:t>
      </w:r>
    </w:p>
    <w:p w14:paraId="64ADB53A">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21.2</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在招标公告规定的时间和地点组织开标。到现场开标的投标人须携带CA锁和笔记本电脑，以便进行开标操作。不到现场开标的投标人需提前准备已配置好环境的电脑，在规定的时间进行远程开标的各项操作。</w:t>
      </w:r>
    </w:p>
    <w:p w14:paraId="1B23E179">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21.3现场开标和远程开标的投标人代表应在签到表格相应位置上加盖CA锁中的法定代表人（依法登记的负责人）电子人名章以证明其出席，在开标时间前未完成签到的将会被</w:t>
      </w:r>
      <w:r>
        <w:rPr>
          <w:rFonts w:hint="eastAsia" w:ascii="仿宋_GB2312" w:hAnsi="仿宋" w:eastAsia="仿宋_GB2312" w:cs="宋体"/>
          <w:b/>
          <w:color w:val="000000" w:themeColor="text1"/>
          <w:sz w:val="28"/>
          <w:szCs w:val="28"/>
          <w:highlight w:val="none"/>
          <w14:textFill>
            <w14:solidFill>
              <w14:schemeClr w14:val="tx1"/>
            </w14:solidFill>
          </w14:textFill>
        </w:rPr>
        <w:t>视作</w:t>
      </w:r>
      <w:r>
        <w:rPr>
          <w:rFonts w:hint="eastAsia" w:ascii="仿宋_GB2312" w:hAnsi="仿宋" w:eastAsia="仿宋_GB2312" w:cs="宋体"/>
          <w:color w:val="000000" w:themeColor="text1"/>
          <w:sz w:val="28"/>
          <w:szCs w:val="28"/>
          <w:highlight w:val="none"/>
          <w14:textFill>
            <w14:solidFill>
              <w14:schemeClr w14:val="tx1"/>
            </w14:solidFill>
          </w14:textFill>
        </w:rPr>
        <w:t>认同开标结果。</w:t>
      </w:r>
    </w:p>
    <w:p w14:paraId="1ED5F0C4">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21.4投标须知前附表规定了文件解密时间，投标人输入密码错误（5次输入机会）、未能按时完成解密、其《数据文件》填写、盖章不规范等导致系统无法解析的，将会被视为</w:t>
      </w:r>
      <w:r>
        <w:rPr>
          <w:rFonts w:hint="eastAsia" w:ascii="仿宋_GB2312" w:hAnsi="仿宋" w:eastAsia="仿宋_GB2312" w:cs="宋体"/>
          <w:b/>
          <w:color w:val="000000" w:themeColor="text1"/>
          <w:sz w:val="28"/>
          <w:szCs w:val="28"/>
          <w:highlight w:val="none"/>
          <w14:textFill>
            <w14:solidFill>
              <w14:schemeClr w14:val="tx1"/>
            </w14:solidFill>
          </w14:textFill>
        </w:rPr>
        <w:t>无效投标（响应）</w:t>
      </w:r>
      <w:r>
        <w:rPr>
          <w:rFonts w:hint="eastAsia" w:ascii="仿宋_GB2312" w:hAnsi="仿宋" w:eastAsia="仿宋_GB2312" w:cs="宋体"/>
          <w:color w:val="000000" w:themeColor="text1"/>
          <w:sz w:val="28"/>
          <w:szCs w:val="28"/>
          <w:highlight w:val="none"/>
          <w14:textFill>
            <w14:solidFill>
              <w14:schemeClr w14:val="tx1"/>
            </w14:solidFill>
          </w14:textFill>
        </w:rPr>
        <w:t>。</w:t>
      </w:r>
    </w:p>
    <w:p w14:paraId="28B47A2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21.5开标过程应当由采购人或</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负责记录，最终形成开标一览表并由各投标人代表和相关工作人员签字或盖章确认。</w:t>
      </w:r>
    </w:p>
    <w:p w14:paraId="6EE77377">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21.6投标人代表对开标过程和开标记录有疑义，以及认为采购人、</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相关工作人员有需要回避的情形的，应当场提出询问或者回避申请。采购人、</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对投标人代表提出的询问或者回避申请应当及时处理。</w:t>
      </w:r>
    </w:p>
    <w:p w14:paraId="06506FF1">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21.7录音、录像：威海市公共资源交易中心荣成分中心负责从递交投标文件开始到定标结束全过程的录音、录像工作，确保声音清楚、图像清晰、内容无遗漏。</w:t>
      </w:r>
    </w:p>
    <w:p w14:paraId="0E25DCF3">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21.8评审过程中，如遇特殊情况，服从公共资源交易中心场地调配，并遵守相关规章制度。</w:t>
      </w:r>
    </w:p>
    <w:p w14:paraId="11B6D22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21.9对投标文件报价出现前后不一致的，按以下规定修正：</w:t>
      </w:r>
    </w:p>
    <w:p w14:paraId="44AC573E">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（1）“投标（报价）一览表”的报价与“报价明细表”的报价不一致的，以“投标（报价）一览表”的报价为准；</w:t>
      </w:r>
    </w:p>
    <w:p w14:paraId="546A9A7B">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（2）大写金额和小写金额不一致的，以大写金额为准；</w:t>
      </w:r>
    </w:p>
    <w:p w14:paraId="75533EE6">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（3）单价金额小数点或者百分比有明显错位的，以投标（报价）一览表的总价为准，并修改单价。</w:t>
      </w:r>
    </w:p>
    <w:p w14:paraId="5F73E49F">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（4）总价金额与按单价汇总金额不一致的，以单价金额计算结果为准。</w:t>
      </w:r>
    </w:p>
    <w:p w14:paraId="76E1537F">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（5）同时出现两种以上不一致的，按照前款规定的顺序修正。修正后的报价经投标人确认后产生约束力，投标人不确认的，其投标无效。</w:t>
      </w:r>
    </w:p>
    <w:p w14:paraId="7D5FB356">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21.10开标程序</w:t>
      </w:r>
    </w:p>
    <w:p w14:paraId="53E0A541">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21.10.1签到：在投标须知前附表规定的时间完成签到。</w:t>
      </w:r>
    </w:p>
    <w:p w14:paraId="2699B5D7">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21.10.2开标：工作人员在投标须知前附表规定的开标时间启动开标。</w:t>
      </w:r>
    </w:p>
    <w:p w14:paraId="2EC6A7DB">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21.10.3解密：开标后工作人员启动开始解密指令，投标人开始输入解密密码，解密时间到后工作人员启动停止解密指令。</w:t>
      </w:r>
    </w:p>
    <w:p w14:paraId="48CE1CDA">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21.10.4唱标：停止解密后现场工作人员将根据电子交易系统自动提取各投标人数据文件中的相关数据进行公开唱标，唱标结束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视为其对开标一览表中所载内容无疑议。</w:t>
      </w:r>
    </w:p>
    <w:p w14:paraId="1C311FA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21.10.5投标人可使用电子交易系统“网上开标”中的“看直播”功能参与开标程序。</w:t>
      </w:r>
    </w:p>
    <w:p w14:paraId="0D50A698">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21.11应急开标程序</w:t>
      </w:r>
    </w:p>
    <w:p w14:paraId="13F6A13C">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电子开标过程中如出现下列情况，导致系统无法正常运行，或者无法保证开标过程的公平、公正和信息安全时，经与行政监督部门沟通后可启动应急开标程序。</w:t>
      </w:r>
    </w:p>
    <w:p w14:paraId="30EB539F">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（1）系统服务器发生故障，无法访问或无法使用系统；</w:t>
      </w:r>
    </w:p>
    <w:p w14:paraId="3C97D9C3">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（2）系统的软件或数据库出现错误，不能进行正常操作；</w:t>
      </w:r>
    </w:p>
    <w:p w14:paraId="0D4E06CA">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（3）系统发现有安全漏洞，有潜在的泄密危险；</w:t>
      </w:r>
    </w:p>
    <w:p w14:paraId="6A32350D">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（4）病毒发作或受到外来病毒的攻击；</w:t>
      </w:r>
    </w:p>
    <w:p w14:paraId="3921981C">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（5）其他无法保证开标过程公平、公正和信息安全的情形。</w:t>
      </w:r>
    </w:p>
    <w:p w14:paraId="61F67D3E">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应急开标程序包括：</w:t>
      </w:r>
    </w:p>
    <w:p w14:paraId="79CFDFCF">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（1）对</w:t>
      </w:r>
      <w:r>
        <w:rPr>
          <w:rFonts w:ascii="仿宋_GB2312" w:hAnsi="仿宋" w:eastAsia="仿宋_GB2312" w:cs="宋体"/>
          <w:color w:val="000000" w:themeColor="text1"/>
          <w:sz w:val="28"/>
          <w:szCs w:val="28"/>
          <w:highlight w:val="none"/>
          <w14:textFill>
            <w14:solidFill>
              <w14:schemeClr w14:val="tx1"/>
            </w14:solidFill>
          </w14:textFill>
        </w:rPr>
        <w:t>未在系统中开标的可暂停开标</w:t>
      </w:r>
      <w:r>
        <w:rPr>
          <w:rFonts w:hint="eastAsia" w:ascii="仿宋_GB2312" w:hAnsi="仿宋" w:eastAsia="仿宋_GB2312" w:cs="宋体"/>
          <w:color w:val="000000" w:themeColor="text1"/>
          <w:sz w:val="28"/>
          <w:szCs w:val="28"/>
          <w:highlight w:val="none"/>
          <w14:textFill>
            <w14:solidFill>
              <w14:schemeClr w14:val="tx1"/>
            </w14:solidFill>
          </w14:textFill>
        </w:rPr>
        <w:t>；</w:t>
      </w:r>
    </w:p>
    <w:p w14:paraId="71F85855">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ascii="仿宋_GB2312" w:hAnsi="仿宋" w:eastAsia="仿宋_GB2312" w:cs="宋体"/>
          <w:color w:val="000000" w:themeColor="text1"/>
          <w:sz w:val="28"/>
          <w:szCs w:val="28"/>
          <w:highlight w:val="none"/>
          <w14:textFill>
            <w14:solidFill>
              <w14:schemeClr w14:val="tx1"/>
            </w14:solidFill>
          </w14:textFill>
        </w:rPr>
        <w:t>（2）对已在系统中开标的</w:t>
      </w:r>
      <w:r>
        <w:rPr>
          <w:rFonts w:hint="eastAsia" w:ascii="仿宋_GB2312" w:hAnsi="仿宋" w:eastAsia="仿宋_GB2312" w:cs="宋体"/>
          <w:color w:val="000000" w:themeColor="text1"/>
          <w:sz w:val="28"/>
          <w:szCs w:val="28"/>
          <w:highlight w:val="none"/>
          <w14:textFill>
            <w14:solidFill>
              <w14:schemeClr w14:val="tx1"/>
            </w14:solidFill>
          </w14:textFill>
        </w:rPr>
        <w:t>应停止，等待系统恢复正常后再组织进行开标</w:t>
      </w:r>
      <w:r>
        <w:rPr>
          <w:rFonts w:ascii="仿宋_GB2312" w:hAnsi="仿宋" w:eastAsia="仿宋_GB2312" w:cs="宋体"/>
          <w:color w:val="000000" w:themeColor="text1"/>
          <w:sz w:val="28"/>
          <w:szCs w:val="28"/>
          <w:highlight w:val="none"/>
          <w14:textFill>
            <w14:solidFill>
              <w14:schemeClr w14:val="tx1"/>
            </w14:solidFill>
          </w14:textFill>
        </w:rPr>
        <w:t>。</w:t>
      </w:r>
    </w:p>
    <w:p w14:paraId="5099BC57">
      <w:pPr>
        <w:spacing w:line="560" w:lineRule="exact"/>
        <w:ind w:firstLine="562" w:firstLineChars="201"/>
        <w:rPr>
          <w:rFonts w:ascii="仿宋_GB2312" w:hAnsi="仿宋" w:eastAsia="仿宋_GB2312" w:cs="宋体"/>
          <w:b/>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hint="eastAsia" w:ascii="仿宋_GB2312" w:hAnsi="仿宋" w:eastAsia="仿宋_GB2312" w:cs="宋体"/>
          <w:b/>
          <w:color w:val="000000" w:themeColor="text1"/>
          <w:sz w:val="28"/>
          <w:szCs w:val="28"/>
          <w:highlight w:val="none"/>
          <w14:textFill>
            <w14:solidFill>
              <w14:schemeClr w14:val="tx1"/>
            </w14:solidFill>
          </w14:textFill>
        </w:rPr>
        <w:t>无效投标（响应）处理。</w:t>
      </w:r>
    </w:p>
    <w:p w14:paraId="05948819">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4）备案功能故障且系统长时间无法恢复正常的，在采购人或代理机构的监督下可针对所有在平台中已投标的投标人，启用其电子邮件递交的投标文件进行开标，同时开标由线上转为线下，开标、评标均以电子邮件递交的投标文件为准，投标人必须在获取采购文件时留有本单位详细的邮箱和电话，否则由此产生的不利后果由投标人自己承担。对未按规定递交或递交的文件未按要求进行编制、签署的投标人作</w:t>
      </w:r>
      <w:r>
        <w:rPr>
          <w:rFonts w:hint="eastAsia" w:ascii="仿宋_GB2312" w:hAnsi="仿宋" w:eastAsia="仿宋_GB2312" w:cs="宋体"/>
          <w:b/>
          <w:color w:val="000000" w:themeColor="text1"/>
          <w:sz w:val="28"/>
          <w:szCs w:val="28"/>
          <w:highlight w:val="none"/>
          <w14:textFill>
            <w14:solidFill>
              <w14:schemeClr w14:val="tx1"/>
            </w14:solidFill>
          </w14:textFill>
        </w:rPr>
        <w:t>无效投标（响应）处理</w:t>
      </w:r>
      <w:r>
        <w:rPr>
          <w:rFonts w:hint="eastAsia" w:ascii="仿宋_GB2312" w:hAnsi="仿宋" w:eastAsia="仿宋_GB2312" w:cs="宋体"/>
          <w:color w:val="000000" w:themeColor="text1"/>
          <w:sz w:val="28"/>
          <w:szCs w:val="28"/>
          <w:highlight w:val="none"/>
          <w14:textFill>
            <w14:solidFill>
              <w14:schemeClr w14:val="tx1"/>
            </w14:solidFill>
          </w14:textFill>
        </w:rPr>
        <w:t>。</w:t>
      </w:r>
    </w:p>
    <w:p w14:paraId="2FB0285D">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21.12应急开标电子邮件递交规定</w:t>
      </w:r>
    </w:p>
    <w:p w14:paraId="73CDBF45">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接收电子邮箱：whzczb</w:t>
      </w:r>
      <w:r>
        <w:rPr>
          <w:rFonts w:ascii="仿宋_GB2312" w:hAnsi="仿宋" w:eastAsia="仿宋_GB2312" w:cs="宋体"/>
          <w:color w:val="000000" w:themeColor="text1"/>
          <w:sz w:val="28"/>
          <w:szCs w:val="28"/>
          <w:highlight w:val="none"/>
          <w14:textFill>
            <w14:solidFill>
              <w14:schemeClr w14:val="tx1"/>
            </w14:solidFill>
          </w14:textFill>
        </w:rPr>
        <w:t>@1</w:t>
      </w:r>
      <w:r>
        <w:rPr>
          <w:rFonts w:hint="eastAsia" w:ascii="仿宋_GB2312" w:hAnsi="仿宋" w:eastAsia="仿宋_GB2312" w:cs="宋体"/>
          <w:color w:val="000000" w:themeColor="text1"/>
          <w:sz w:val="28"/>
          <w:szCs w:val="28"/>
          <w:highlight w:val="none"/>
          <w14:textFill>
            <w14:solidFill>
              <w14:schemeClr w14:val="tx1"/>
            </w14:solidFill>
          </w14:textFill>
        </w:rPr>
        <w:t>26</w:t>
      </w:r>
      <w:r>
        <w:rPr>
          <w:rFonts w:ascii="仿宋_GB2312" w:hAnsi="仿宋" w:eastAsia="仿宋_GB2312" w:cs="宋体"/>
          <w:color w:val="000000" w:themeColor="text1"/>
          <w:sz w:val="28"/>
          <w:szCs w:val="28"/>
          <w:highlight w:val="none"/>
          <w14:textFill>
            <w14:solidFill>
              <w14:schemeClr w14:val="tx1"/>
            </w14:solidFill>
          </w14:textFill>
        </w:rPr>
        <w:t>.com</w:t>
      </w:r>
    </w:p>
    <w:p w14:paraId="68030874">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递交时间：以电子邮件或电话通知的时间为准；</w:t>
      </w:r>
    </w:p>
    <w:p w14:paraId="120E9C79">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邮件数量：一封；</w:t>
      </w:r>
    </w:p>
    <w:p w14:paraId="7DECBC4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邮件主题：项目编号、投标人名称；</w:t>
      </w:r>
    </w:p>
    <w:p w14:paraId="73562E56">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响应）文件，导致投标无效。</w:t>
      </w:r>
    </w:p>
    <w:p w14:paraId="62611F41">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21.13启动电子邮件开标流程</w:t>
      </w:r>
    </w:p>
    <w:p w14:paraId="5D1C015C">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工作人员电话通知所有投标人启动应急开标程序；</w:t>
      </w:r>
    </w:p>
    <w:p w14:paraId="1E6202C8">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投标人收到通知后在规定时间内通过电子邮件递交投标文件（在非应急开标期间</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不接受、不处理任何通过电子邮件提交的投标文件）；</w:t>
      </w:r>
    </w:p>
    <w:p w14:paraId="1BE24FBE">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递交截止时间到，工作人员开始下载投标文件，将投标报价形成开标报告并邮件回复各投标人；</w:t>
      </w:r>
    </w:p>
    <w:p w14:paraId="502FA27D">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投标人确认报价并邮件回复，不及时回复的视为对开标报告的内容无异议。</w:t>
      </w:r>
    </w:p>
    <w:p w14:paraId="3102E102">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22.评标委员会的组成和评标方法</w:t>
      </w:r>
    </w:p>
    <w:p w14:paraId="6F5F36BD">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22.1</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负责组织评标工作，具体评审事务由依法组建的评标委员会负责，评标委员会成员由采购人代表和评审专家5人以上的单数组成，其中专家人数不得少于评标委员会成员总数的2/3，评标委员会的专家依法从阳光国企采购主管部门组建的专家库中随机抽取产生。情况特殊的，通过随机方式难以确定合适的评审专家的项目，经主管部门同意，招标人可以自行选定评审专家。</w:t>
      </w:r>
    </w:p>
    <w:p w14:paraId="4D4102F7">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22.2采购人员及相关人员与</w:t>
      </w:r>
      <w:r>
        <w:rPr>
          <w:rFonts w:hint="eastAsia" w:ascii="仿宋_GB2312" w:hAnsi="宋体" w:eastAsia="仿宋_GB2312"/>
          <w:color w:val="000000" w:themeColor="text1"/>
          <w:sz w:val="28"/>
          <w:szCs w:val="28"/>
          <w:highlight w:val="none"/>
          <w14:textFill>
            <w14:solidFill>
              <w14:schemeClr w14:val="tx1"/>
            </w14:solidFill>
          </w14:textFill>
        </w:rPr>
        <w:t>投标人</w:t>
      </w:r>
      <w:r>
        <w:rPr>
          <w:rFonts w:hint="eastAsia" w:ascii="仿宋_GB2312" w:hAnsi="仿宋" w:eastAsia="仿宋_GB2312" w:cs="宋体"/>
          <w:color w:val="000000" w:themeColor="text1"/>
          <w:sz w:val="28"/>
          <w:szCs w:val="28"/>
          <w:highlight w:val="none"/>
          <w14:textFill>
            <w14:solidFill>
              <w14:schemeClr w14:val="tx1"/>
            </w14:solidFill>
          </w14:textFill>
        </w:rPr>
        <w:t>有利害关系的应当回避。曾参与招标文件征询意见或论证的专家，不得再作为评标专家参加评标。采购人不得以专家身份参与本项目的评标。采购人和</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工作人员离职或退休不满三年的，不能作为专家参加评标工作。</w:t>
      </w:r>
    </w:p>
    <w:p w14:paraId="77DC7C3F">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22.3评标委员会成员职责：</w:t>
      </w:r>
    </w:p>
    <w:p w14:paraId="5C156B8B">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（1）评标前，评标委员会成员应当主动确认与投标人及其制造商是否有利害关系。如有利害关系应当主动回避，如无利害关系，应当在含有相关内容的《无利害关系声明》上签字；</w:t>
      </w:r>
    </w:p>
    <w:p w14:paraId="41303AAD">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（2）按照招标文件中确定的评标办法，对投标文件的内容进行评审，并对评审结果承担责任；</w:t>
      </w:r>
    </w:p>
    <w:p w14:paraId="04092834">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（3）对评标过程和结果，以及投标人的商业秘密进行保密；</w:t>
      </w:r>
    </w:p>
    <w:p w14:paraId="21CCD32B">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（4）在评标委员会集体起草的评标报告上签字；</w:t>
      </w:r>
    </w:p>
    <w:p w14:paraId="3E81CA88">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（5）配合</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答复投标人质疑；</w:t>
      </w:r>
    </w:p>
    <w:p w14:paraId="1ACDB3D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（6）配合主管部门处理投标人投诉；</w:t>
      </w:r>
    </w:p>
    <w:p w14:paraId="2D7E15D3">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（7）向主管部门反映评标工作中的问题，提出意见和建议。</w:t>
      </w:r>
    </w:p>
    <w:p w14:paraId="0B9ED8AA">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22.4评标委员会集体职责：</w:t>
      </w:r>
    </w:p>
    <w:p w14:paraId="17FC4BB9">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按照各成员评审意见推荐中标候选人，协助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624C7A21">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（2）配合采购人和</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答复投标人的质疑；</w:t>
      </w:r>
    </w:p>
    <w:p w14:paraId="0A8DA53F">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（3）配合主管部门做好投诉处理工作；</w:t>
      </w:r>
    </w:p>
    <w:p w14:paraId="4E9F55B8">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（4）必要时，向投标人解释评标结果；</w:t>
      </w:r>
    </w:p>
    <w:p w14:paraId="3C7ECEFF">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（5）向主管部门或者有关部门报告非法干预评标工作的行为。</w:t>
      </w:r>
    </w:p>
    <w:p w14:paraId="7B973C4B">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22.5</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或采购人的职责：</w:t>
      </w:r>
    </w:p>
    <w:p w14:paraId="02E6A591">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（1）核对评审专家身份和采购人委托授权，对评审专家在采购活动中的职责履行情况予以记录，并及时将有关违法违规行为向主管部门报告；</w:t>
      </w:r>
    </w:p>
    <w:p w14:paraId="517D57B7">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（2）宣布评标纪律；</w:t>
      </w:r>
    </w:p>
    <w:p w14:paraId="0D6AC8B1">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（3）公布投标人名单，告知评审专家应当回避的情形；</w:t>
      </w:r>
    </w:p>
    <w:p w14:paraId="4241AB2C">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（4）组织评标委员会推选评标组长，采购人代表不得担任组长；</w:t>
      </w:r>
    </w:p>
    <w:p w14:paraId="03B9F038">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（5）在评标期间采取必要的通讯管理措施，保证评标活动不受外界干扰；</w:t>
      </w:r>
    </w:p>
    <w:p w14:paraId="2EFE3CA7">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（6）根据评标委员会的要求介绍阳光国企采购相关政策法规、招标文件；</w:t>
      </w:r>
    </w:p>
    <w:p w14:paraId="465BCED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（7）维护评标秩序，监督评标委员会依照招标文件规定的评标程序、方法和标准进行独立评审，及时制止和纠正采购人代表、评审专家的倾向性言论或者违法违规行为；</w:t>
      </w:r>
    </w:p>
    <w:p w14:paraId="588B4C90">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8）核对评标结果，存在分值汇总计算错误的、分项评分超出评分标准范围的、评标委员会成员对客观评审因素评分不一致的，经评标委员会认定评分畸高畸低的情形，要求评标小组复核或者书面说明理由，评标小组拒绝的，应予记录并向主管部门报告；</w:t>
      </w:r>
    </w:p>
    <w:p w14:paraId="51F798D4">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（9）评审工作完成后，按照规定向评审专家支付劳务报酬和异地评审差旅费，不得向评审专家以外的其他人员支付评审劳务报酬；</w:t>
      </w:r>
    </w:p>
    <w:p w14:paraId="327755D9">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（10）处理与评标有关的其他事项。</w:t>
      </w:r>
    </w:p>
    <w:p w14:paraId="74ADE778">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采购人可以在评标前说明项目背景和采购需求，说明内容不得含有歧视性、倾向性意见，不得超出招标文件所述范围。说明应当提交书面材料，并随采购文件一并存档。</w:t>
      </w:r>
    </w:p>
    <w:p w14:paraId="74707494">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22.6评标委员会采用集中办公、封闭方式进行评审。评标前，</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工作人员向评标委员会成员宣布评标纪律和工作规则。评标委员会成员签署《无利害关系声明表》，并遵照执行。</w:t>
      </w:r>
    </w:p>
    <w:p w14:paraId="31A462D7">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22.7评标委员会成员对与自己有利害关系的评标项目应当主动提出回避。</w:t>
      </w:r>
    </w:p>
    <w:p w14:paraId="25413EB7">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22.8评标委员会将按照招标文件确定的评标原则和方法进行评标。采购人对投标人进行资格性审查，评标委员会对投标文件的评审内容分为符合性审查、商务评议、技术评议和价格评议。</w:t>
      </w:r>
    </w:p>
    <w:p w14:paraId="6B571B29">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22.9评标委员会独立履行下列职责：</w:t>
      </w:r>
    </w:p>
    <w:p w14:paraId="40FA406A">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（1）审查、评价投标文件是否符合招标文件的商务、技术等实质性要求；</w:t>
      </w:r>
    </w:p>
    <w:p w14:paraId="1B12CC2E">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（2）要求投标人对投标文件有关事项作出澄清或者说明；</w:t>
      </w:r>
    </w:p>
    <w:p w14:paraId="68B97933">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（3）对投标文件进行比较和评价；</w:t>
      </w:r>
    </w:p>
    <w:p w14:paraId="29535FC1">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（4）确定中标候选人名单，以及根据采购人委托直接确定中标人；</w:t>
      </w:r>
    </w:p>
    <w:p w14:paraId="0C4C39F9">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（5）向采购人、</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或者有关部门报告评标中发现的违法行为。</w:t>
      </w:r>
    </w:p>
    <w:p w14:paraId="664B80D5">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22.10 评标中因评标委员会成员缺席、回避或者健康等特殊原因导致评标委员会组成不符合本办法规定的，</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应当依法补足后继续评标。被更换的评标委员会成员所作出的评标意见无效。</w:t>
      </w:r>
    </w:p>
    <w:p w14:paraId="4ACA5A7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无法及时补足评标委员会成员的，</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应当停止评标活动，封存所有投标文件和开标、评标资料，依法重新组建评标委员会进行评标。原评标委员会作出的评标意见无效。</w:t>
      </w:r>
    </w:p>
    <w:p w14:paraId="6FCFD1DE">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应当将变更、重新组建评标委员会的情况予以记录，并随采购文件一并存档。</w:t>
      </w:r>
    </w:p>
    <w:p w14:paraId="3E45A294">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23.投标文件的初审</w:t>
      </w:r>
    </w:p>
    <w:p w14:paraId="3F8BEA25">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23.1资格性审查。在采购项目开标结束后,采购人或者</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工作人员应当依照有关法律和招标文件的规定对投标人的资格进行审查。合格投标人不足3家的，不得评标。在资格性检查时,如有下列情况之一的，经采购人认定，视为非实质性响应，为无效投标（响应）：</w:t>
      </w:r>
    </w:p>
    <w:p w14:paraId="4346DB16">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1、单位负责人为同一人或者存在直接控股、管理关系的不同</w:t>
      </w:r>
      <w:r>
        <w:rPr>
          <w:rFonts w:hint="eastAsia" w:ascii="仿宋_GB2312" w:hAnsi="宋体" w:eastAsia="仿宋_GB2312"/>
          <w:color w:val="000000" w:themeColor="text1"/>
          <w:sz w:val="28"/>
          <w:szCs w:val="28"/>
          <w:highlight w:val="none"/>
          <w14:textFill>
            <w14:solidFill>
              <w14:schemeClr w14:val="tx1"/>
            </w14:solidFill>
          </w14:textFill>
        </w:rPr>
        <w:t>投标人</w:t>
      </w:r>
      <w:r>
        <w:rPr>
          <w:rFonts w:hint="eastAsia" w:ascii="仿宋_GB2312" w:hAnsi="仿宋" w:eastAsia="仿宋_GB2312" w:cs="宋体"/>
          <w:color w:val="000000" w:themeColor="text1"/>
          <w:sz w:val="28"/>
          <w:szCs w:val="28"/>
          <w:highlight w:val="none"/>
          <w14:textFill>
            <w14:solidFill>
              <w14:schemeClr w14:val="tx1"/>
            </w14:solidFill>
          </w14:textFill>
        </w:rPr>
        <w:t>的；</w:t>
      </w:r>
    </w:p>
    <w:p w14:paraId="10D4148D">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2、为采购项目提供整体设计、规范编制或者项目管理、监理、检测等服务的；</w:t>
      </w:r>
    </w:p>
    <w:p w14:paraId="46818E06">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3、投标人和投标服务资格证明文件不满足招标文件要求和过期失效的。</w:t>
      </w:r>
    </w:p>
    <w:p w14:paraId="0B040455">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23.2符合性审查。评标委员会应当对符合资格的投标人的投标文件进行符合性审查，以确定其是否满足招标文件的实质性要求。评标委员会决定投标的响应性只根据投标文件本身的内容，而不依据外部的证据。在符合性检查时,如有不满足下列情况之一的，经评标委员会认定，视为非实质性响应，为无效投标（响应）：</w:t>
      </w:r>
    </w:p>
    <w:p w14:paraId="04AD12CB">
      <w:pPr>
        <w:spacing w:line="560" w:lineRule="exact"/>
        <w:ind w:firstLine="565" w:firstLineChars="201"/>
        <w:rPr>
          <w:rFonts w:ascii="仿宋_GB2312" w:hAnsi="仿宋" w:eastAsia="仿宋_GB2312" w:cs="宋体"/>
          <w:b/>
          <w:color w:val="000000" w:themeColor="text1"/>
          <w:sz w:val="28"/>
          <w:szCs w:val="28"/>
          <w:highlight w:val="none"/>
          <w14:textFill>
            <w14:solidFill>
              <w14:schemeClr w14:val="tx1"/>
            </w14:solidFill>
          </w14:textFill>
        </w:rPr>
      </w:pPr>
      <w:r>
        <w:rPr>
          <w:rFonts w:hint="eastAsia" w:ascii="仿宋_GB2312" w:hAnsi="仿宋" w:eastAsia="仿宋_GB2312" w:cs="宋体"/>
          <w:b/>
          <w:color w:val="000000" w:themeColor="text1"/>
          <w:sz w:val="28"/>
          <w:szCs w:val="28"/>
          <w:highlight w:val="none"/>
          <w14:textFill>
            <w14:solidFill>
              <w14:schemeClr w14:val="tx1"/>
            </w14:solidFill>
          </w14:textFill>
        </w:rPr>
        <w:t>具体内容详见《投标须知》-《实质性条款一览表》中符合性审查条件。</w:t>
      </w:r>
    </w:p>
    <w:p w14:paraId="0D3BA2F5">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23.3投标人有下列情形之一的，视为投标人串通投标，其投标无效：</w:t>
      </w:r>
    </w:p>
    <w:p w14:paraId="560D0988">
      <w:pPr>
        <w:pStyle w:val="40"/>
        <w:widowControl w:val="0"/>
        <w:shd w:val="clear" w:color="auto" w:fill="FFFFFF"/>
        <w:spacing w:before="0" w:after="0" w:line="560" w:lineRule="exact"/>
        <w:ind w:firstLine="560"/>
        <w:jc w:val="both"/>
        <w:rPr>
          <w:rFonts w:ascii="仿宋_GB2312" w:hAnsi="仿宋" w:eastAsia="仿宋_GB2312"/>
          <w:color w:val="000000" w:themeColor="text1"/>
          <w:kern w:val="2"/>
          <w:sz w:val="28"/>
          <w:szCs w:val="28"/>
          <w:highlight w:val="none"/>
          <w14:textFill>
            <w14:solidFill>
              <w14:schemeClr w14:val="tx1"/>
            </w14:solidFill>
          </w14:textFill>
        </w:rPr>
      </w:pPr>
      <w:r>
        <w:rPr>
          <w:rFonts w:hint="eastAsia" w:ascii="仿宋_GB2312" w:hAnsi="仿宋" w:eastAsia="仿宋_GB2312"/>
          <w:color w:val="000000" w:themeColor="text1"/>
          <w:kern w:val="2"/>
          <w:sz w:val="28"/>
          <w:szCs w:val="28"/>
          <w:highlight w:val="none"/>
          <w14:textFill>
            <w14:solidFill>
              <w14:schemeClr w14:val="tx1"/>
            </w14:solidFill>
          </w14:textFill>
        </w:rPr>
        <w:t>（1）不同投标人的投标文件由同一单位或者个人编制的；</w:t>
      </w:r>
    </w:p>
    <w:p w14:paraId="2E4FB5B8">
      <w:pPr>
        <w:pStyle w:val="40"/>
        <w:widowControl w:val="0"/>
        <w:shd w:val="clear" w:color="auto" w:fill="FFFFFF"/>
        <w:spacing w:before="0" w:after="0" w:line="560" w:lineRule="exact"/>
        <w:ind w:firstLine="560"/>
        <w:jc w:val="both"/>
        <w:rPr>
          <w:rFonts w:ascii="仿宋_GB2312" w:hAnsi="仿宋" w:eastAsia="仿宋_GB2312"/>
          <w:color w:val="000000" w:themeColor="text1"/>
          <w:kern w:val="2"/>
          <w:sz w:val="28"/>
          <w:szCs w:val="28"/>
          <w:highlight w:val="none"/>
          <w14:textFill>
            <w14:solidFill>
              <w14:schemeClr w14:val="tx1"/>
            </w14:solidFill>
          </w14:textFill>
        </w:rPr>
      </w:pPr>
      <w:r>
        <w:rPr>
          <w:rFonts w:hint="eastAsia" w:ascii="仿宋_GB2312" w:hAnsi="仿宋" w:eastAsia="仿宋_GB2312"/>
          <w:color w:val="000000" w:themeColor="text1"/>
          <w:kern w:val="2"/>
          <w:sz w:val="28"/>
          <w:szCs w:val="28"/>
          <w:highlight w:val="none"/>
          <w14:textFill>
            <w14:solidFill>
              <w14:schemeClr w14:val="tx1"/>
            </w14:solidFill>
          </w14:textFill>
        </w:rPr>
        <w:t>（2）不同投标人使用同一个投标单位或者同一个自然人的IP地址、设备下载采购文件或者制作、上传投标文件的；</w:t>
      </w:r>
    </w:p>
    <w:p w14:paraId="5CE31B98">
      <w:pPr>
        <w:pStyle w:val="40"/>
        <w:widowControl w:val="0"/>
        <w:shd w:val="clear" w:color="auto" w:fill="FFFFFF"/>
        <w:spacing w:before="0" w:after="0" w:line="560" w:lineRule="exact"/>
        <w:ind w:firstLine="560"/>
        <w:jc w:val="both"/>
        <w:rPr>
          <w:rFonts w:ascii="仿宋_GB2312" w:hAnsi="仿宋" w:eastAsia="仿宋_GB2312"/>
          <w:color w:val="000000" w:themeColor="text1"/>
          <w:kern w:val="2"/>
          <w:sz w:val="28"/>
          <w:szCs w:val="28"/>
          <w:highlight w:val="none"/>
          <w14:textFill>
            <w14:solidFill>
              <w14:schemeClr w14:val="tx1"/>
            </w14:solidFill>
          </w14:textFill>
        </w:rPr>
      </w:pPr>
      <w:r>
        <w:rPr>
          <w:rFonts w:hint="eastAsia" w:ascii="仿宋_GB2312" w:hAnsi="仿宋" w:eastAsia="仿宋_GB2312"/>
          <w:color w:val="000000" w:themeColor="text1"/>
          <w:kern w:val="2"/>
          <w:sz w:val="28"/>
          <w:szCs w:val="28"/>
          <w:highlight w:val="none"/>
          <w14:textFill>
            <w14:solidFill>
              <w14:schemeClr w14:val="tx1"/>
            </w14:solidFill>
          </w14:textFill>
        </w:rPr>
        <w:t>（3）不同投标人委托同一单位或者个人办理投标事宜；</w:t>
      </w:r>
    </w:p>
    <w:p w14:paraId="45B87857">
      <w:pPr>
        <w:pStyle w:val="40"/>
        <w:widowControl w:val="0"/>
        <w:shd w:val="clear" w:color="auto" w:fill="FFFFFF"/>
        <w:spacing w:before="0" w:after="0" w:line="560" w:lineRule="exact"/>
        <w:ind w:firstLine="560"/>
        <w:jc w:val="both"/>
        <w:rPr>
          <w:rFonts w:ascii="仿宋_GB2312" w:hAnsi="仿宋" w:eastAsia="仿宋_GB2312"/>
          <w:color w:val="000000" w:themeColor="text1"/>
          <w:kern w:val="2"/>
          <w:sz w:val="28"/>
          <w:szCs w:val="28"/>
          <w:highlight w:val="none"/>
          <w14:textFill>
            <w14:solidFill>
              <w14:schemeClr w14:val="tx1"/>
            </w14:solidFill>
          </w14:textFill>
        </w:rPr>
      </w:pPr>
      <w:r>
        <w:rPr>
          <w:rFonts w:hint="eastAsia" w:ascii="仿宋_GB2312" w:hAnsi="仿宋" w:eastAsia="仿宋_GB2312"/>
          <w:color w:val="000000" w:themeColor="text1"/>
          <w:kern w:val="2"/>
          <w:sz w:val="28"/>
          <w:szCs w:val="28"/>
          <w:highlight w:val="none"/>
          <w14:textFill>
            <w14:solidFill>
              <w14:schemeClr w14:val="tx1"/>
            </w14:solidFill>
          </w14:textFill>
        </w:rPr>
        <w:t>（4）不同投标人的投标文件载明的项目管理成员或者联系人员为同一人；</w:t>
      </w:r>
    </w:p>
    <w:p w14:paraId="6E5AB9E2">
      <w:pPr>
        <w:pStyle w:val="40"/>
        <w:widowControl w:val="0"/>
        <w:shd w:val="clear" w:color="auto" w:fill="FFFFFF"/>
        <w:spacing w:before="0" w:after="0" w:line="560" w:lineRule="exact"/>
        <w:ind w:firstLine="560"/>
        <w:jc w:val="both"/>
        <w:rPr>
          <w:rFonts w:ascii="仿宋_GB2312" w:hAnsi="仿宋" w:eastAsia="仿宋_GB2312"/>
          <w:color w:val="000000" w:themeColor="text1"/>
          <w:kern w:val="2"/>
          <w:sz w:val="28"/>
          <w:szCs w:val="28"/>
          <w:highlight w:val="none"/>
          <w14:textFill>
            <w14:solidFill>
              <w14:schemeClr w14:val="tx1"/>
            </w14:solidFill>
          </w14:textFill>
        </w:rPr>
      </w:pPr>
      <w:r>
        <w:rPr>
          <w:rFonts w:hint="eastAsia" w:ascii="仿宋_GB2312" w:hAnsi="仿宋" w:eastAsia="仿宋_GB2312"/>
          <w:color w:val="000000" w:themeColor="text1"/>
          <w:kern w:val="2"/>
          <w:sz w:val="28"/>
          <w:szCs w:val="28"/>
          <w:highlight w:val="none"/>
          <w14:textFill>
            <w14:solidFill>
              <w14:schemeClr w14:val="tx1"/>
            </w14:solidFill>
          </w14:textFill>
        </w:rPr>
        <w:t>（5）不同投标人的投标文件重要内容异常一致、或者投标报价呈现规律性差异；</w:t>
      </w:r>
    </w:p>
    <w:p w14:paraId="364B5DEB">
      <w:pPr>
        <w:pStyle w:val="40"/>
        <w:widowControl w:val="0"/>
        <w:shd w:val="clear" w:color="auto" w:fill="FFFFFF"/>
        <w:spacing w:before="0" w:after="0" w:line="560" w:lineRule="exact"/>
        <w:ind w:firstLine="560"/>
        <w:jc w:val="both"/>
        <w:rPr>
          <w:rFonts w:ascii="仿宋_GB2312" w:hAnsi="仿宋" w:eastAsia="仿宋_GB2312"/>
          <w:color w:val="000000" w:themeColor="text1"/>
          <w:kern w:val="2"/>
          <w:sz w:val="28"/>
          <w:szCs w:val="28"/>
          <w:highlight w:val="none"/>
          <w14:textFill>
            <w14:solidFill>
              <w14:schemeClr w14:val="tx1"/>
            </w14:solidFill>
          </w14:textFill>
        </w:rPr>
      </w:pPr>
      <w:r>
        <w:rPr>
          <w:rFonts w:hint="eastAsia" w:ascii="仿宋_GB2312" w:hAnsi="仿宋" w:eastAsia="仿宋_GB2312"/>
          <w:color w:val="000000" w:themeColor="text1"/>
          <w:kern w:val="2"/>
          <w:sz w:val="28"/>
          <w:szCs w:val="28"/>
          <w:highlight w:val="none"/>
          <w14:textFill>
            <w14:solidFill>
              <w14:schemeClr w14:val="tx1"/>
            </w14:solidFill>
          </w14:textFill>
        </w:rPr>
        <w:t>（6）不同投标人编制的投标文件存在两处以上错误一致的；</w:t>
      </w:r>
    </w:p>
    <w:p w14:paraId="38806025">
      <w:pPr>
        <w:pStyle w:val="40"/>
        <w:widowControl w:val="0"/>
        <w:shd w:val="clear" w:color="auto" w:fill="FFFFFF"/>
        <w:spacing w:before="0" w:after="0" w:line="560" w:lineRule="exact"/>
        <w:ind w:firstLine="560"/>
        <w:jc w:val="both"/>
        <w:rPr>
          <w:rFonts w:ascii="仿宋_GB2312" w:hAnsi="仿宋" w:eastAsia="仿宋_GB2312"/>
          <w:color w:val="000000" w:themeColor="text1"/>
          <w:kern w:val="2"/>
          <w:sz w:val="28"/>
          <w:szCs w:val="28"/>
          <w:highlight w:val="none"/>
          <w14:textFill>
            <w14:solidFill>
              <w14:schemeClr w14:val="tx1"/>
            </w14:solidFill>
          </w14:textFill>
        </w:rPr>
      </w:pPr>
      <w:r>
        <w:rPr>
          <w:rFonts w:hint="eastAsia" w:ascii="仿宋_GB2312" w:hAnsi="仿宋" w:eastAsia="仿宋_GB2312"/>
          <w:color w:val="000000" w:themeColor="text1"/>
          <w:kern w:val="2"/>
          <w:sz w:val="28"/>
          <w:szCs w:val="28"/>
          <w:highlight w:val="none"/>
          <w14:textFill>
            <w14:solidFill>
              <w14:schemeClr w14:val="tx1"/>
            </w14:solidFill>
          </w14:textFill>
        </w:rPr>
        <w:t>（7）不同投标人的投标文件相互混装</w:t>
      </w:r>
      <w:r>
        <w:rPr>
          <w:rFonts w:hint="eastAsia" w:ascii="仿宋_GB2312" w:hAnsi="仿宋" w:eastAsia="仿宋_GB2312"/>
          <w:color w:val="000000" w:themeColor="text1"/>
          <w:sz w:val="28"/>
          <w:szCs w:val="28"/>
          <w:highlight w:val="none"/>
          <w14:textFill>
            <w14:solidFill>
              <w14:schemeClr w14:val="tx1"/>
            </w14:solidFill>
          </w14:textFill>
        </w:rPr>
        <w:t>；</w:t>
      </w:r>
    </w:p>
    <w:p w14:paraId="381F3995">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23.4投标截止后投标人不足3家或者通过资格审查或符合性审查的投标人不足3家的，除采购任务取消情形外，按照以下方式处理：</w:t>
      </w:r>
    </w:p>
    <w:p w14:paraId="44B0372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（1）招标文件存在不合理条款或者招标程序不符合规定的，招标人、</w:t>
      </w:r>
      <w:r>
        <w:rPr>
          <w:rFonts w:hint="eastAsia" w:ascii="仿宋_GB2312" w:hAnsi="宋体" w:eastAsia="仿宋_GB2312"/>
          <w:color w:val="000000" w:themeColor="text1"/>
          <w:sz w:val="28"/>
          <w:szCs w:val="28"/>
          <w:highlight w:val="none"/>
          <w14:textFill>
            <w14:solidFill>
              <w14:schemeClr w14:val="tx1"/>
            </w14:solidFill>
          </w14:textFill>
        </w:rPr>
        <w:t>招标代理机构</w:t>
      </w:r>
      <w:r>
        <w:rPr>
          <w:rFonts w:hint="eastAsia" w:ascii="仿宋_GB2312" w:hAnsi="仿宋" w:eastAsia="仿宋_GB2312" w:cs="宋体"/>
          <w:color w:val="000000" w:themeColor="text1"/>
          <w:sz w:val="28"/>
          <w:szCs w:val="28"/>
          <w:highlight w:val="none"/>
          <w14:textFill>
            <w14:solidFill>
              <w14:schemeClr w14:val="tx1"/>
            </w14:solidFill>
          </w14:textFill>
        </w:rPr>
        <w:t>改正后依法重新招标；</w:t>
      </w:r>
    </w:p>
    <w:p w14:paraId="6EE0CC98">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（2）招标文件没有不合理条款、招标程序符合规定，需要采用其他招标方式招标的物，招标人应当依法报主管部门批准。</w:t>
      </w:r>
    </w:p>
    <w:p w14:paraId="1BE1C48C">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24.投标文件的澄清</w:t>
      </w:r>
    </w:p>
    <w:p w14:paraId="1D90AF6D">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24.1评标委员会有权向投标人询标，对于投标文件中含义不明确、同类问题表述不一致或者有明显文字和计算错误的内容，评标委员会应当以书面形式要求投标人作出必要的澄清、说明或者补正。请投标人澄清其投标内容，投标人法定代表人（依法登记的负责人）或其授权人必须接受评标委员会的询标，未在规定的时间内，对重大关键问题进行答疑和澄清的投标人，经评标委员会确认可视为投标人放弃投标。</w:t>
      </w:r>
    </w:p>
    <w:p w14:paraId="50D6DE10">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24.2投标人的澄清、说明或者补正应当采用书面形式，并加盖公章，或者由法定代表人（依法登记的负责人）或其授权的代表签字。投标人的澄清、说明或者补正不得超出投标文件的范围或者改变对投标文件的实质性内容。此书面文件是投标文件的组成部分。</w:t>
      </w:r>
    </w:p>
    <w:p w14:paraId="449FE125">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25.投标文件的评价</w:t>
      </w:r>
    </w:p>
    <w:p w14:paraId="2E542785">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25.1评标委员会只对确定为实质响应招标文件要求的投标文件进行评价和比较。必要时需标明评审理由。</w:t>
      </w:r>
    </w:p>
    <w:p w14:paraId="2166B52E">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25.2评标采用综合评分法的，价格分值由评审系统根据投标人上传的《投标（报价）一览表》中的投标报价，依据规定公式自动计算，其结果由评标委员会所有成员签字确认。</w:t>
      </w:r>
    </w:p>
    <w:p w14:paraId="0E01EDC4">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招标公司工作人员负责复核、统计评标委员会成员的评审情况，发现评审意见有失公正时，提请该评标委员会成员修改评审意见，并形成书面意见备查。</w:t>
      </w:r>
    </w:p>
    <w:p w14:paraId="00295DDD">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25.3评审时除考虑投标人的报价之外，还将考虑以下因素：</w:t>
      </w:r>
    </w:p>
    <w:p w14:paraId="1F54F5AD">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（1）投标文件的响应状况（包括是否按照招标文件要求制作）；</w:t>
      </w:r>
    </w:p>
    <w:p w14:paraId="08878706">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（2）投标产品的技术性能、功能、质量等指标的响应情况，包括其响应是否有技术佐证文件的支持；</w:t>
      </w:r>
    </w:p>
    <w:p w14:paraId="5ECCB0AB">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（3）服务方案（包括本地化服务机构和人员、服务响应时间、安装调试、培训方案等）、服务期、服务体系和业绩等；</w:t>
      </w:r>
    </w:p>
    <w:p w14:paraId="5471B784">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（4）招标文件规定的其它评审因素。</w:t>
      </w:r>
    </w:p>
    <w:p w14:paraId="18C607E7">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25.4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响应）处理。</w:t>
      </w:r>
    </w:p>
    <w:p w14:paraId="4990881A">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25.</w:t>
      </w:r>
      <w:r>
        <w:rPr>
          <w:rFonts w:ascii="仿宋_GB2312" w:hAnsi="仿宋" w:eastAsia="仿宋_GB2312" w:cs="宋体"/>
          <w:color w:val="000000" w:themeColor="text1"/>
          <w:sz w:val="28"/>
          <w:szCs w:val="28"/>
          <w:highlight w:val="none"/>
          <w14:textFill>
            <w14:solidFill>
              <w14:schemeClr w14:val="tx1"/>
            </w14:solidFill>
          </w14:textFill>
        </w:rPr>
        <w:t>5</w:t>
      </w:r>
      <w:r>
        <w:rPr>
          <w:rFonts w:hint="eastAsia" w:ascii="仿宋_GB2312" w:hAnsi="仿宋" w:eastAsia="仿宋_GB2312" w:cs="宋体"/>
          <w:color w:val="000000" w:themeColor="text1"/>
          <w:sz w:val="28"/>
          <w:szCs w:val="28"/>
          <w:highlight w:val="none"/>
          <w14:textFill>
            <w14:solidFill>
              <w14:schemeClr w14:val="tx1"/>
            </w14:solidFill>
          </w14:textFill>
        </w:rPr>
        <w:t>评标委员会发现招标文件存在歧义、重大缺陷导致评标工作无法进行，或者招标文件内容违反国家有关强制性规定的，应当停止评标工作，与采购人或者</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沟通并作书面记录。采购人确认后，应当修改招标文件，重新组织采购活动。</w:t>
      </w:r>
    </w:p>
    <w:p w14:paraId="504EE37C">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25.</w:t>
      </w:r>
      <w:r>
        <w:rPr>
          <w:rFonts w:ascii="仿宋_GB2312" w:hAnsi="仿宋" w:eastAsia="仿宋_GB2312" w:cs="宋体"/>
          <w:color w:val="000000" w:themeColor="text1"/>
          <w:sz w:val="28"/>
          <w:szCs w:val="28"/>
          <w:highlight w:val="none"/>
          <w14:textFill>
            <w14:solidFill>
              <w14:schemeClr w14:val="tx1"/>
            </w14:solidFill>
          </w14:textFill>
        </w:rPr>
        <w:t>6</w:t>
      </w:r>
      <w:r>
        <w:rPr>
          <w:rFonts w:hint="eastAsia" w:ascii="仿宋_GB2312" w:hAnsi="仿宋" w:eastAsia="仿宋_GB2312" w:cs="宋体"/>
          <w:color w:val="000000" w:themeColor="text1"/>
          <w:sz w:val="28"/>
          <w:szCs w:val="28"/>
          <w:highlight w:val="none"/>
          <w14:textFill>
            <w14:solidFill>
              <w14:schemeClr w14:val="tx1"/>
            </w14:solidFill>
          </w14:textFill>
        </w:rPr>
        <w:t>投标人应当遵循公平竞争的原则，不得恶意串通，不得妨碍其他投标人的竞争行为，不得损坏采购人或者其他投标人的合法权益。在评标过程中发现投标人有上述情形的，评标委员会应当认定其投标无效，并书面报告本级主管部门。</w:t>
      </w:r>
    </w:p>
    <w:p w14:paraId="06EAFA20">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26.废标条款</w:t>
      </w:r>
    </w:p>
    <w:p w14:paraId="0A3B202E">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在招标采购中，出现下列情形之一的，应予废标：</w:t>
      </w:r>
    </w:p>
    <w:p w14:paraId="0D7CA990">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（1）符合专业条件的</w:t>
      </w:r>
      <w:r>
        <w:rPr>
          <w:rFonts w:hint="eastAsia" w:ascii="仿宋_GB2312" w:hAnsi="宋体" w:eastAsia="仿宋_GB2312"/>
          <w:color w:val="000000" w:themeColor="text1"/>
          <w:sz w:val="28"/>
          <w:szCs w:val="28"/>
          <w:highlight w:val="none"/>
          <w14:textFill>
            <w14:solidFill>
              <w14:schemeClr w14:val="tx1"/>
            </w14:solidFill>
          </w14:textFill>
        </w:rPr>
        <w:t>投标人</w:t>
      </w:r>
      <w:r>
        <w:rPr>
          <w:rFonts w:hint="eastAsia" w:ascii="仿宋_GB2312" w:hAnsi="仿宋" w:eastAsia="仿宋_GB2312" w:cs="宋体"/>
          <w:color w:val="000000" w:themeColor="text1"/>
          <w:sz w:val="28"/>
          <w:szCs w:val="28"/>
          <w:highlight w:val="none"/>
          <w14:textFill>
            <w14:solidFill>
              <w14:schemeClr w14:val="tx1"/>
            </w14:solidFill>
          </w14:textFill>
        </w:rPr>
        <w:t>或者对招标文件作实质响应的</w:t>
      </w:r>
      <w:r>
        <w:rPr>
          <w:rFonts w:hint="eastAsia" w:ascii="仿宋_GB2312" w:hAnsi="宋体" w:eastAsia="仿宋_GB2312"/>
          <w:color w:val="000000" w:themeColor="text1"/>
          <w:sz w:val="28"/>
          <w:szCs w:val="28"/>
          <w:highlight w:val="none"/>
          <w14:textFill>
            <w14:solidFill>
              <w14:schemeClr w14:val="tx1"/>
            </w14:solidFill>
          </w14:textFill>
        </w:rPr>
        <w:t>投标人</w:t>
      </w:r>
      <w:r>
        <w:rPr>
          <w:rFonts w:hint="eastAsia" w:ascii="仿宋_GB2312" w:hAnsi="仿宋" w:eastAsia="仿宋_GB2312" w:cs="宋体"/>
          <w:color w:val="000000" w:themeColor="text1"/>
          <w:sz w:val="28"/>
          <w:szCs w:val="28"/>
          <w:highlight w:val="none"/>
          <w14:textFill>
            <w14:solidFill>
              <w14:schemeClr w14:val="tx1"/>
            </w14:solidFill>
          </w14:textFill>
        </w:rPr>
        <w:t>不足3家的；</w:t>
      </w:r>
    </w:p>
    <w:p w14:paraId="6A4B95E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（2）出现影响采购公正的违法、违规行为的；</w:t>
      </w:r>
    </w:p>
    <w:p w14:paraId="4341D80D">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（3）所有投标报价均超过招标文件中规定的预算金额，采购人不能支付的；</w:t>
      </w:r>
    </w:p>
    <w:p w14:paraId="59073CA7">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（4）因重大变故，采购人采购任务取消的。</w:t>
      </w:r>
    </w:p>
    <w:p w14:paraId="11E5194E">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六、定标</w:t>
      </w:r>
    </w:p>
    <w:p w14:paraId="7D7346CC">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27.定标</w:t>
      </w:r>
    </w:p>
    <w:p w14:paraId="4B67A6E3">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27.1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5C636F19">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27.2评委会所有成员应当在评标报告上签字确认，评标报告的主要内容包括：</w:t>
      </w:r>
    </w:p>
    <w:p w14:paraId="1A8E8F9C">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（1）招标公告刊登的媒体名称、开标日期和地点；</w:t>
      </w:r>
    </w:p>
    <w:p w14:paraId="1F950690">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（2）投标人名单和评标委员会成员名单；</w:t>
      </w:r>
    </w:p>
    <w:p w14:paraId="22E490FD">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（3）评标方法和评标标准；</w:t>
      </w:r>
    </w:p>
    <w:p w14:paraId="2C81E41D">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（4）开标记录和评标情况及说明，包括投标无效投标人名单及原因；</w:t>
      </w:r>
    </w:p>
    <w:p w14:paraId="2F85A786">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（5）评标结果，确定的中标候选人名单或者经采购人委托直接确定的中标人；</w:t>
      </w:r>
    </w:p>
    <w:p w14:paraId="61FA55AC">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（6）其他需要说明的情况，包括评标过程中投标人根据评标委员会要求进行澄清、说明或者补正，评标委员会成员的更换等。</w:t>
      </w:r>
    </w:p>
    <w:p w14:paraId="765726F9">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27.3由评标委员会直接确定预中标候选人的，</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自评标结束之日起3个工作日内在指定媒体上公布评标结果；需要采购人确认的，</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自评标结束之日起2日内，将评标报告送交采购人。采购人应当自收到评标报告之日起3个工作日内在评标报告确定的中标候选人名单中按顺序确定预中标人。</w:t>
      </w:r>
    </w:p>
    <w:p w14:paraId="26998CF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27.4评标结果汇总完成后，除下列情形外，任何人不得修改评标结果：</w:t>
      </w:r>
    </w:p>
    <w:p w14:paraId="2FC1E06D">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（1）分值汇总计算错误的；</w:t>
      </w:r>
    </w:p>
    <w:p w14:paraId="006C3645">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（2）分项评分超出评分标准范围的；</w:t>
      </w:r>
    </w:p>
    <w:p w14:paraId="3D0EF336">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（3）评标委员会成员对客观评审因素评分不一致的；</w:t>
      </w:r>
    </w:p>
    <w:p w14:paraId="7317570B">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（4）经评标委员会认定评分畸高、畸低的。</w:t>
      </w:r>
    </w:p>
    <w:p w14:paraId="5E046F4B">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27.5评标报告签署前，经复核发现存在以上情形之一的，评标委员会应当当场修改评标结果，并在评标报告中记载；评标报告签署后，采购人或</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发现存在以上情形之一的，应当组织原评标委员会进行重新评审，重新评审改变结果的，书面报告本级主管部门。投标人对本条上述情形提出质疑的，采购人或者</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可以组织原评标委员会进行重新评审，重新评审改变评标结果的，应当书面报告主管部门。</w:t>
      </w:r>
    </w:p>
    <w:p w14:paraId="47644878">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27.6中标人在规定的期限内无正当理由拒绝签订合同，采购人可以按照评审报告推荐的中标候选人名单排序，确定下一候选人为中标人，也可以重新开展招标活动。</w:t>
      </w:r>
    </w:p>
    <w:p w14:paraId="2D5F31FE">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七、公告</w:t>
      </w:r>
    </w:p>
    <w:p w14:paraId="7249258A">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28.公告</w:t>
      </w:r>
    </w:p>
    <w:p w14:paraId="206766D4">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28.1</w:t>
      </w:r>
      <w:r>
        <w:rPr>
          <w:rFonts w:hint="eastAsia" w:ascii="仿宋_GB2312" w:hAnsi="宋体" w:eastAsia="仿宋_GB2312"/>
          <w:color w:val="000000" w:themeColor="text1"/>
          <w:sz w:val="28"/>
          <w:szCs w:val="28"/>
          <w:highlight w:val="none"/>
          <w14:textFill>
            <w14:solidFill>
              <w14:schemeClr w14:val="tx1"/>
            </w14:solidFill>
          </w14:textFill>
        </w:rPr>
        <w:t>采购人应当自定标结束之日起三日内公告中标人</w:t>
      </w:r>
      <w:r>
        <w:rPr>
          <w:rFonts w:hint="eastAsia" w:ascii="仿宋_GB2312" w:hAnsi="仿宋" w:eastAsia="仿宋_GB2312" w:cs="宋体"/>
          <w:color w:val="000000" w:themeColor="text1"/>
          <w:sz w:val="28"/>
          <w:szCs w:val="28"/>
          <w:highlight w:val="none"/>
          <w14:textFill>
            <w14:solidFill>
              <w14:schemeClr w14:val="tx1"/>
            </w14:solidFill>
          </w14:textFill>
        </w:rPr>
        <w:t>，在发布招标公告媒体上公告中标结果。中标公告期限为1个工作日。中标公告应当包括下列内容：</w:t>
      </w:r>
    </w:p>
    <w:p w14:paraId="55FD9AC5">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（1）采购人、</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的名称、地址和联系方式；</w:t>
      </w:r>
    </w:p>
    <w:p w14:paraId="43E1CDAC">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（2）项目名称和项目编号；</w:t>
      </w:r>
    </w:p>
    <w:p w14:paraId="752E19FF">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（3）中标人名称、地址和中标金额；</w:t>
      </w:r>
    </w:p>
    <w:p w14:paraId="77446100">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（4）评审专家名单。</w:t>
      </w:r>
    </w:p>
    <w:p w14:paraId="4CF61083">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28.2</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应当在公告中标结果的同时，向中标人发出《中标通知书》；对未通过资格审查的投标人，应当告知其未通过的原因；《中标通知书》是合同的组成部分,对中标人和采购人具有同等法律效力。《中标通知书》发出后，采购人不得违法改变中标结果，中标人无正当理由不得放弃中标。</w:t>
      </w:r>
    </w:p>
    <w:p w14:paraId="4E99AAEA">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八、质疑</w:t>
      </w:r>
    </w:p>
    <w:p w14:paraId="4E957324">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29.质疑</w:t>
      </w:r>
    </w:p>
    <w:p w14:paraId="11F6E46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29.1依据《威海市市属国有企业阳光采购监督管理办法》规定，供应商认为采购文件、采购过程、成交结果使自己的权益受到损害，应于截止前2日内以书面形式向采购人或采购代理机构提出质疑。采购人或采购代理机构应当在收到供应商的书面质疑后</w:t>
      </w:r>
      <w:r>
        <w:rPr>
          <w:rFonts w:ascii="仿宋_GB2312" w:hAnsi="仿宋" w:eastAsia="仿宋_GB2312" w:cs="宋体"/>
          <w:color w:val="000000" w:themeColor="text1"/>
          <w:sz w:val="28"/>
          <w:szCs w:val="28"/>
          <w:highlight w:val="none"/>
          <w14:textFill>
            <w14:solidFill>
              <w14:schemeClr w14:val="tx1"/>
            </w14:solidFill>
          </w14:textFill>
        </w:rPr>
        <w:t>7</w:t>
      </w:r>
      <w:r>
        <w:rPr>
          <w:rFonts w:hint="eastAsia" w:ascii="仿宋_GB2312" w:hAnsi="仿宋" w:eastAsia="仿宋_GB2312" w:cs="宋体"/>
          <w:color w:val="000000" w:themeColor="text1"/>
          <w:sz w:val="28"/>
          <w:szCs w:val="28"/>
          <w:highlight w:val="none"/>
          <w14:textFill>
            <w14:solidFill>
              <w14:schemeClr w14:val="tx1"/>
            </w14:solidFill>
          </w14:textFill>
        </w:rPr>
        <w:t>日内做出书面答复，但答复内容不得涉及商业秘密。</w:t>
      </w:r>
    </w:p>
    <w:p w14:paraId="093DB724">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29.2仲裁或起诉</w:t>
      </w:r>
    </w:p>
    <w:p w14:paraId="68C43851">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供应商对答复不满意，或者采购人、代理机构未在规定的时间内做出书面答复的，供应商可以在答复期满后向采购人所在地仲裁机构、人民法院申请仲裁或起诉。</w:t>
      </w:r>
    </w:p>
    <w:p w14:paraId="57091249">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29.3提出质疑的投标人应当是参与本项目招标活动的投标人。</w:t>
      </w:r>
    </w:p>
    <w:p w14:paraId="01F4106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29.4投标人应在法定质疑期内一次性提出针对同一采购程序环节的质疑。</w:t>
      </w:r>
    </w:p>
    <w:p w14:paraId="4D752E2F">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29.5质疑采用实名制，为了使提出的质疑事项在规定时间内得到有效答复、处理，提交的质疑函务必提供以下内容。</w:t>
      </w:r>
    </w:p>
    <w:p w14:paraId="4FFC7DA8">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w:t>
      </w:r>
      <w:r>
        <w:rPr>
          <w:rFonts w:hint="eastAsia" w:ascii="仿宋_GB2312" w:hAnsi="宋体" w:eastAsia="仿宋_GB2312"/>
          <w:color w:val="000000" w:themeColor="text1"/>
          <w:sz w:val="28"/>
          <w:szCs w:val="28"/>
          <w:highlight w:val="none"/>
          <w14:textFill>
            <w14:solidFill>
              <w14:schemeClr w14:val="tx1"/>
            </w14:solidFill>
          </w14:textFill>
        </w:rPr>
        <w:t>投标人</w:t>
      </w:r>
      <w:r>
        <w:rPr>
          <w:rFonts w:hint="eastAsia" w:ascii="仿宋_GB2312" w:hAnsi="仿宋" w:eastAsia="仿宋_GB2312" w:cs="宋体"/>
          <w:color w:val="000000" w:themeColor="text1"/>
          <w:sz w:val="28"/>
          <w:szCs w:val="28"/>
          <w:highlight w:val="none"/>
          <w14:textFill>
            <w14:solidFill>
              <w14:schemeClr w14:val="tx1"/>
            </w14:solidFill>
          </w14:textFill>
        </w:rPr>
        <w:t>的姓名或名称、地址（邮箱）、邮编、联系人及联系电话；</w:t>
      </w:r>
    </w:p>
    <w:p w14:paraId="6657E7E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（2）质疑项目的名称、编号；</w:t>
      </w:r>
    </w:p>
    <w:p w14:paraId="4A7AEBE1">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（3）具体、明确的质疑事项和与质疑事项相关的请求；</w:t>
      </w:r>
    </w:p>
    <w:p w14:paraId="7A1F7D58">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（4）事实依据；</w:t>
      </w:r>
    </w:p>
    <w:p w14:paraId="016F3CFD">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（5）必要的法律依据；</w:t>
      </w:r>
    </w:p>
    <w:p w14:paraId="01968226">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（6）提出质疑的日期。</w:t>
      </w:r>
    </w:p>
    <w:p w14:paraId="131E8B54">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投标人</w:t>
      </w:r>
      <w:r>
        <w:rPr>
          <w:rFonts w:hint="eastAsia" w:ascii="仿宋_GB2312" w:hAnsi="仿宋" w:eastAsia="仿宋_GB2312" w:cs="宋体"/>
          <w:color w:val="000000" w:themeColor="text1"/>
          <w:sz w:val="28"/>
          <w:szCs w:val="28"/>
          <w:highlight w:val="none"/>
          <w14:textFill>
            <w14:solidFill>
              <w14:schemeClr w14:val="tx1"/>
            </w14:solidFill>
          </w14:textFill>
        </w:rPr>
        <w:t>为自然人的，应当由本人签字；</w:t>
      </w:r>
      <w:r>
        <w:rPr>
          <w:rFonts w:hint="eastAsia" w:ascii="仿宋_GB2312" w:hAnsi="宋体" w:eastAsia="仿宋_GB2312"/>
          <w:color w:val="000000" w:themeColor="text1"/>
          <w:sz w:val="28"/>
          <w:szCs w:val="28"/>
          <w:highlight w:val="none"/>
          <w14:textFill>
            <w14:solidFill>
              <w14:schemeClr w14:val="tx1"/>
            </w14:solidFill>
          </w14:textFill>
        </w:rPr>
        <w:t>投标人</w:t>
      </w:r>
      <w:r>
        <w:rPr>
          <w:rFonts w:hint="eastAsia" w:ascii="仿宋_GB2312" w:hAnsi="仿宋" w:eastAsia="仿宋_GB2312" w:cs="宋体"/>
          <w:color w:val="000000" w:themeColor="text1"/>
          <w:sz w:val="28"/>
          <w:szCs w:val="28"/>
          <w:highlight w:val="none"/>
          <w14:textFill>
            <w14:solidFill>
              <w14:schemeClr w14:val="tx1"/>
            </w14:solidFill>
          </w14:textFill>
        </w:rPr>
        <w:t>为法人或者其他组织的，应当由法定代表人、主要负责人，或者其被授权人签字或者盖章，并加盖公章。</w:t>
      </w:r>
    </w:p>
    <w:p w14:paraId="2C23D267">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29.6招标人或招标公司正式受理后方可生效。否则，为无效质疑。</w:t>
      </w:r>
    </w:p>
    <w:p w14:paraId="702651A7">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29.7有下列情况之一的质疑不予受理：</w:t>
      </w:r>
    </w:p>
    <w:p w14:paraId="36F77CE9">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（1）无质疑函件或质疑函件缺少投标人法人印章、投标人法定代表人（依法登记的负责人）签字、有效授权书和联系方式之一的质疑；</w:t>
      </w:r>
    </w:p>
    <w:p w14:paraId="6758499A">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（2）质疑函件无实质性内容或佐证文件资料，主观臆断及推理得出结论的质疑；</w:t>
      </w:r>
    </w:p>
    <w:p w14:paraId="0D7029C6">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（3）相应证明材料不真实或来源不合法的质疑；</w:t>
      </w:r>
    </w:p>
    <w:p w14:paraId="3ABEAD78">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（4）未按规定时间或超过公示期提出的质疑；</w:t>
      </w:r>
    </w:p>
    <w:p w14:paraId="7045DE57">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29.8对捏造事实，提供虚假材料或者以非法手段取得证明材料进行恶意质疑的，一经查实，将上报主管部门列入黑名单，并给以相应处罚。</w:t>
      </w:r>
    </w:p>
    <w:p w14:paraId="092E650B">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九、签订合同</w:t>
      </w:r>
    </w:p>
    <w:p w14:paraId="372A4B5B">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30.合同的签订</w:t>
      </w:r>
    </w:p>
    <w:p w14:paraId="5850BFAF">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30</w:t>
      </w:r>
      <w:r>
        <w:rPr>
          <w:rFonts w:ascii="仿宋_GB2312" w:hAnsi="仿宋" w:eastAsia="仿宋_GB2312" w:cs="宋体"/>
          <w:color w:val="000000" w:themeColor="text1"/>
          <w:sz w:val="28"/>
          <w:szCs w:val="28"/>
          <w:highlight w:val="none"/>
          <w14:textFill>
            <w14:solidFill>
              <w14:schemeClr w14:val="tx1"/>
            </w14:solidFill>
          </w14:textFill>
        </w:rPr>
        <w:t>.1</w:t>
      </w:r>
      <w:r>
        <w:rPr>
          <w:rFonts w:hint="eastAsia" w:ascii="仿宋_GB2312" w:hAnsi="仿宋" w:eastAsia="仿宋_GB2312" w:cs="宋体"/>
          <w:color w:val="000000" w:themeColor="text1"/>
          <w:sz w:val="28"/>
          <w:szCs w:val="28"/>
          <w:highlight w:val="none"/>
          <w14:textFill>
            <w14:solidFill>
              <w14:schemeClr w14:val="tx1"/>
            </w14:solidFill>
          </w14:textFill>
        </w:rPr>
        <w:t>中标通知书发出之日起30日内，按招标文件、中标人的投标文件签订采购合同。招标人应当自采购合同签订之日起5个工作日内，将采购合同上传至威海市国有企业阳光采购电子化服务平台同时在指定的媒介上公告，但采购合同中涉及国家秘密、商业秘密的内容除外。</w:t>
      </w:r>
    </w:p>
    <w:p w14:paraId="33093FCB">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30</w:t>
      </w:r>
      <w:r>
        <w:rPr>
          <w:rFonts w:ascii="仿宋_GB2312" w:hAnsi="仿宋" w:eastAsia="仿宋_GB2312" w:cs="宋体"/>
          <w:color w:val="000000" w:themeColor="text1"/>
          <w:sz w:val="28"/>
          <w:szCs w:val="28"/>
          <w:highlight w:val="none"/>
          <w14:textFill>
            <w14:solidFill>
              <w14:schemeClr w14:val="tx1"/>
            </w14:solidFill>
          </w14:textFill>
        </w:rPr>
        <w:t>.2</w:t>
      </w:r>
      <w:r>
        <w:rPr>
          <w:rFonts w:hint="eastAsia" w:ascii="仿宋_GB2312" w:hAnsi="仿宋" w:eastAsia="仿宋_GB2312" w:cs="宋体"/>
          <w:color w:val="000000" w:themeColor="text1"/>
          <w:sz w:val="28"/>
          <w:szCs w:val="28"/>
          <w:highlight w:val="none"/>
          <w14:textFill>
            <w14:solidFill>
              <w14:schemeClr w14:val="tx1"/>
            </w14:solidFill>
          </w14:textFill>
        </w:rPr>
        <w:t>招标人应当按照招标文件和中标人投标文件的规定，与中标人签订书面合同。招标人与中标人所签订的合同不得对招标文件和中标人的投标文件作实质性修改。招标人不得向中标人提出任何不合理的要求，作为签订合同的条件，不得与中标人私下订立背离合同实质性内容的协议。合同原则以第六章合同书格式为基础，并根据响应、答疑情况进行修改补充，自签订之日起生效。</w:t>
      </w:r>
    </w:p>
    <w:p w14:paraId="3641961D">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30</w:t>
      </w:r>
      <w:r>
        <w:rPr>
          <w:rFonts w:ascii="仿宋_GB2312" w:hAnsi="仿宋" w:eastAsia="仿宋_GB2312" w:cs="宋体"/>
          <w:color w:val="000000" w:themeColor="text1"/>
          <w:sz w:val="28"/>
          <w:szCs w:val="28"/>
          <w:highlight w:val="none"/>
          <w14:textFill>
            <w14:solidFill>
              <w14:schemeClr w14:val="tx1"/>
            </w14:solidFill>
          </w14:textFill>
        </w:rPr>
        <w:t>.3</w:t>
      </w:r>
      <w:r>
        <w:rPr>
          <w:rFonts w:hint="eastAsia" w:ascii="仿宋_GB2312" w:hAnsi="仿宋" w:eastAsia="仿宋_GB2312" w:cs="宋体"/>
          <w:color w:val="000000" w:themeColor="text1"/>
          <w:sz w:val="28"/>
          <w:szCs w:val="28"/>
          <w:highlight w:val="none"/>
          <w14:textFill>
            <w14:solidFill>
              <w14:schemeClr w14:val="tx1"/>
            </w14:solidFill>
          </w14:textFill>
        </w:rPr>
        <w:t>中标人在规定时间内无正当理由拒绝与招标人签订合同的，有效投标人符合法定数量的，招标人可以按照评审报告推荐的中标候选人名单排序，确定下一候选人为中标人，也可以重新开展招标活动。</w:t>
      </w:r>
    </w:p>
    <w:p w14:paraId="01445E48">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ascii="仿宋_GB2312" w:hAnsi="仿宋" w:eastAsia="仿宋_GB2312" w:cs="宋体"/>
          <w:color w:val="000000" w:themeColor="text1"/>
          <w:sz w:val="28"/>
          <w:szCs w:val="28"/>
          <w:highlight w:val="none"/>
          <w14:textFill>
            <w14:solidFill>
              <w14:schemeClr w14:val="tx1"/>
            </w14:solidFill>
          </w14:textFill>
        </w:rPr>
        <w:t>3</w:t>
      </w:r>
      <w:r>
        <w:rPr>
          <w:rFonts w:hint="eastAsia" w:ascii="仿宋_GB2312" w:hAnsi="仿宋" w:eastAsia="仿宋_GB2312" w:cs="宋体"/>
          <w:color w:val="000000" w:themeColor="text1"/>
          <w:sz w:val="28"/>
          <w:szCs w:val="28"/>
          <w:highlight w:val="none"/>
          <w14:textFill>
            <w14:solidFill>
              <w14:schemeClr w14:val="tx1"/>
            </w14:solidFill>
          </w14:textFill>
        </w:rPr>
        <w:t>0</w:t>
      </w:r>
      <w:r>
        <w:rPr>
          <w:rFonts w:ascii="仿宋_GB2312" w:hAnsi="仿宋" w:eastAsia="仿宋_GB2312" w:cs="宋体"/>
          <w:color w:val="000000" w:themeColor="text1"/>
          <w:sz w:val="28"/>
          <w:szCs w:val="28"/>
          <w:highlight w:val="none"/>
          <w14:textFill>
            <w14:solidFill>
              <w14:schemeClr w14:val="tx1"/>
            </w14:solidFill>
          </w14:textFill>
        </w:rPr>
        <w:t>.4</w:t>
      </w:r>
      <w:r>
        <w:rPr>
          <w:rFonts w:hint="eastAsia" w:ascii="仿宋_GB2312" w:hAnsi="仿宋" w:eastAsia="仿宋_GB2312" w:cs="宋体"/>
          <w:color w:val="000000" w:themeColor="text1"/>
          <w:sz w:val="28"/>
          <w:szCs w:val="28"/>
          <w:highlight w:val="none"/>
          <w14:textFill>
            <w14:solidFill>
              <w14:schemeClr w14:val="tx1"/>
            </w14:solidFill>
          </w14:textFill>
        </w:rPr>
        <w:t>采购合同的履行、违约责任和解决争议的方法适用《中华人民共和国民法典》。</w:t>
      </w:r>
    </w:p>
    <w:p w14:paraId="4415DDF8">
      <w:pPr>
        <w:rPr>
          <w:color w:val="000000" w:themeColor="text1"/>
          <w:highlight w:val="none"/>
          <w14:textFill>
            <w14:solidFill>
              <w14:schemeClr w14:val="tx1"/>
            </w14:solidFill>
          </w14:textFill>
        </w:rPr>
        <w:sectPr>
          <w:headerReference r:id="rId7" w:type="default"/>
          <w:footerReference r:id="rId8" w:type="default"/>
          <w:pgSz w:w="11906" w:h="16838"/>
          <w:pgMar w:top="1440" w:right="1080" w:bottom="1440" w:left="1080" w:header="851" w:footer="992" w:gutter="0"/>
          <w:cols w:space="425" w:num="1"/>
          <w:docGrid w:type="lines" w:linePitch="312" w:charSpace="0"/>
        </w:sectPr>
      </w:pPr>
    </w:p>
    <w:p w14:paraId="340CE229">
      <w:pPr>
        <w:pStyle w:val="42"/>
        <w:spacing w:before="0" w:after="0" w:line="360" w:lineRule="auto"/>
        <w:ind w:firstLine="646" w:firstLineChars="201"/>
        <w:rPr>
          <w:rFonts w:ascii="宋体" w:hAnsi="宋体" w:cs="宋体"/>
          <w:color w:val="000000" w:themeColor="text1"/>
          <w:highlight w:val="none"/>
          <w14:textFill>
            <w14:solidFill>
              <w14:schemeClr w14:val="tx1"/>
            </w14:solidFill>
          </w14:textFill>
        </w:rPr>
        <w:sectPr>
          <w:pgSz w:w="11906" w:h="16838"/>
          <w:pgMar w:top="1440" w:right="1080" w:bottom="1440" w:left="1080" w:header="851" w:footer="992" w:gutter="0"/>
          <w:cols w:space="425" w:num="1"/>
          <w:docGrid w:type="lines" w:linePitch="312" w:charSpace="0"/>
        </w:sectPr>
      </w:pPr>
      <w:r>
        <w:rPr>
          <w:rFonts w:hint="eastAsia" w:ascii="宋体" w:hAnsi="宋体" w:cs="宋体"/>
          <w:color w:val="000000" w:themeColor="text1"/>
          <w:highlight w:val="none"/>
          <w14:textFill>
            <w14:solidFill>
              <w14:schemeClr w14:val="tx1"/>
            </w14:solidFill>
          </w14:textFill>
        </w:rPr>
        <w:t>第三章招标内容与要求</w:t>
      </w:r>
    </w:p>
    <w:p w14:paraId="6E63B622">
      <w:pPr>
        <w:tabs>
          <w:tab w:val="left" w:pos="525"/>
        </w:tabs>
        <w:spacing w:line="560" w:lineRule="exact"/>
        <w:ind w:firstLine="883" w:firstLineChars="200"/>
        <w:jc w:val="center"/>
        <w:rPr>
          <w:rFonts w:ascii="宋体" w:hAnsi="宋体"/>
          <w:b/>
          <w:bCs/>
          <w:color w:val="000000" w:themeColor="text1"/>
          <w:sz w:val="44"/>
          <w:szCs w:val="44"/>
          <w:highlight w:val="none"/>
          <w14:textFill>
            <w14:solidFill>
              <w14:schemeClr w14:val="tx1"/>
            </w14:solidFill>
          </w14:textFill>
        </w:rPr>
      </w:pPr>
      <w:bookmarkStart w:id="15" w:name="_Hlk9675253"/>
      <w:r>
        <w:rPr>
          <w:rFonts w:hint="eastAsia" w:ascii="宋体" w:hAnsi="宋体"/>
          <w:b/>
          <w:bCs/>
          <w:color w:val="000000" w:themeColor="text1"/>
          <w:sz w:val="44"/>
          <w:szCs w:val="44"/>
          <w:highlight w:val="none"/>
          <w14:textFill>
            <w14:solidFill>
              <w14:schemeClr w14:val="tx1"/>
            </w14:solidFill>
          </w14:textFill>
        </w:rPr>
        <w:t>采购项目说明</w:t>
      </w:r>
    </w:p>
    <w:p w14:paraId="3B40BE87">
      <w:pPr>
        <w:numPr>
          <w:ilvl w:val="0"/>
          <w:numId w:val="0"/>
        </w:numPr>
        <w:spacing w:line="520" w:lineRule="exact"/>
        <w:ind w:left="602" w:leftChars="0"/>
        <w:rPr>
          <w:rFonts w:hint="eastAsia" w:ascii="仿宋_GB2312" w:hAnsi="宋体" w:eastAsia="仿宋_GB2312"/>
          <w:b/>
          <w:color w:val="000000" w:themeColor="text1"/>
          <w:sz w:val="30"/>
          <w:szCs w:val="30"/>
          <w:highlight w:val="none"/>
          <w:lang w:val="en-US" w:eastAsia="zh-CN"/>
          <w14:textFill>
            <w14:solidFill>
              <w14:schemeClr w14:val="tx1"/>
            </w14:solidFill>
          </w14:textFill>
        </w:rPr>
      </w:pPr>
      <w:bookmarkStart w:id="16" w:name="_Hlk525988930"/>
      <w:r>
        <w:rPr>
          <w:rFonts w:hint="eastAsia" w:ascii="仿宋_GB2312" w:hAnsi="宋体" w:eastAsia="仿宋_GB2312" w:cs="Times New Roman"/>
          <w:b/>
          <w:color w:val="000000" w:themeColor="text1"/>
          <w:kern w:val="2"/>
          <w:sz w:val="30"/>
          <w:szCs w:val="30"/>
          <w:highlight w:val="none"/>
          <w:lang w:val="en-US" w:eastAsia="zh-CN" w:bidi="ar-SA"/>
          <w14:textFill>
            <w14:solidFill>
              <w14:schemeClr w14:val="tx1"/>
            </w14:solidFill>
          </w14:textFill>
        </w:rPr>
        <w:t>一、</w:t>
      </w:r>
      <w:r>
        <w:rPr>
          <w:rFonts w:hint="eastAsia" w:ascii="仿宋_GB2312" w:hAnsi="宋体" w:eastAsia="仿宋_GB2312"/>
          <w:b/>
          <w:color w:val="000000" w:themeColor="text1"/>
          <w:sz w:val="30"/>
          <w:szCs w:val="30"/>
          <w:highlight w:val="none"/>
          <w14:textFill>
            <w14:solidFill>
              <w14:schemeClr w14:val="tx1"/>
            </w14:solidFill>
          </w14:textFill>
        </w:rPr>
        <w:t>项目名称：</w:t>
      </w:r>
      <w:r>
        <w:rPr>
          <w:rFonts w:hint="eastAsia" w:ascii="仿宋_GB2312" w:hAnsi="宋体" w:eastAsia="仿宋_GB2312"/>
          <w:b/>
          <w:color w:val="000000" w:themeColor="text1"/>
          <w:sz w:val="30"/>
          <w:szCs w:val="30"/>
          <w:highlight w:val="none"/>
          <w:lang w:val="en-US" w:eastAsia="zh-CN"/>
          <w14:textFill>
            <w14:solidFill>
              <w14:schemeClr w14:val="tx1"/>
            </w14:solidFill>
          </w14:textFill>
        </w:rPr>
        <w:t>荣成市城市数智化转型与数字生态建设</w:t>
      </w:r>
    </w:p>
    <w:p w14:paraId="61F49BC4">
      <w:pPr>
        <w:spacing w:line="560" w:lineRule="exact"/>
        <w:ind w:firstLine="602" w:firstLineChars="200"/>
        <w:rPr>
          <w:rFonts w:hint="eastAsia" w:ascii="仿宋" w:hAnsi="仿宋" w:eastAsia="仿宋" w:cs="Times New Roman"/>
          <w:b w:val="0"/>
          <w:bCs/>
          <w:color w:val="000000" w:themeColor="text1"/>
          <w:sz w:val="28"/>
          <w:szCs w:val="28"/>
          <w:highlight w:val="none"/>
          <w14:textFill>
            <w14:solidFill>
              <w14:schemeClr w14:val="tx1"/>
            </w14:solidFill>
          </w14:textFill>
        </w:rPr>
      </w:pPr>
      <w:r>
        <w:rPr>
          <w:rFonts w:hint="eastAsia" w:ascii="仿宋_GB2312" w:hAnsi="宋体" w:eastAsia="仿宋_GB2312" w:cs="Times New Roman"/>
          <w:b/>
          <w:bCs w:val="0"/>
          <w:color w:val="000000" w:themeColor="text1"/>
          <w:kern w:val="2"/>
          <w:sz w:val="30"/>
          <w:szCs w:val="30"/>
          <w:highlight w:val="none"/>
          <w:lang w:val="en-US" w:eastAsia="zh-CN" w:bidi="ar-SA"/>
          <w14:textFill>
            <w14:solidFill>
              <w14:schemeClr w14:val="tx1"/>
            </w14:solidFill>
          </w14:textFill>
        </w:rPr>
        <w:t>二、采购目标：</w:t>
      </w:r>
      <w:r>
        <w:rPr>
          <w:rFonts w:hint="eastAsia" w:ascii="仿宋" w:hAnsi="仿宋" w:eastAsia="仿宋" w:cs="Times New Roman"/>
          <w:b w:val="0"/>
          <w:bCs/>
          <w:color w:val="000000" w:themeColor="text1"/>
          <w:sz w:val="28"/>
          <w:szCs w:val="28"/>
          <w:highlight w:val="none"/>
          <w14:textFill>
            <w14:solidFill>
              <w14:schemeClr w14:val="tx1"/>
            </w14:solidFill>
          </w14:textFill>
        </w:rPr>
        <w:t>本项目的核心目标是系统性推动荣成市实现从“数字化”基础覆盖向“数智化”能力跃升的深刻转型，培育内生长效的数字创新生态。</w:t>
      </w:r>
    </w:p>
    <w:p w14:paraId="000894DC">
      <w:pPr>
        <w:spacing w:line="560" w:lineRule="exact"/>
        <w:ind w:firstLine="560" w:firstLineChars="200"/>
        <w:rPr>
          <w:rFonts w:hint="eastAsia" w:ascii="仿宋" w:hAnsi="仿宋" w:eastAsia="仿宋" w:cs="Times New Roman"/>
          <w:b w:val="0"/>
          <w:bCs/>
          <w:color w:val="000000" w:themeColor="text1"/>
          <w:sz w:val="28"/>
          <w:szCs w:val="28"/>
          <w:highlight w:val="none"/>
          <w14:textFill>
            <w14:solidFill>
              <w14:schemeClr w14:val="tx1"/>
            </w14:solidFill>
          </w14:textFill>
        </w:rPr>
      </w:pPr>
      <w:r>
        <w:rPr>
          <w:rFonts w:hint="eastAsia" w:ascii="仿宋" w:hAnsi="仿宋" w:eastAsia="仿宋" w:cs="Times New Roman"/>
          <w:b w:val="0"/>
          <w:bCs/>
          <w:color w:val="000000" w:themeColor="text1"/>
          <w:sz w:val="28"/>
          <w:szCs w:val="28"/>
          <w:highlight w:val="none"/>
          <w14:textFill>
            <w14:solidFill>
              <w14:schemeClr w14:val="tx1"/>
            </w14:solidFill>
          </w14:textFill>
        </w:rPr>
        <w:t>1.实现城市“数智化”发展模式的根本转变</w:t>
      </w:r>
    </w:p>
    <w:p w14:paraId="6443698D">
      <w:pPr>
        <w:spacing w:line="560" w:lineRule="exact"/>
        <w:ind w:firstLine="560" w:firstLineChars="200"/>
        <w:rPr>
          <w:rFonts w:hint="eastAsia" w:ascii="仿宋" w:hAnsi="仿宋" w:eastAsia="仿宋" w:cs="Times New Roman"/>
          <w:b w:val="0"/>
          <w:bCs/>
          <w:color w:val="000000" w:themeColor="text1"/>
          <w:sz w:val="28"/>
          <w:szCs w:val="28"/>
          <w:highlight w:val="none"/>
          <w14:textFill>
            <w14:solidFill>
              <w14:schemeClr w14:val="tx1"/>
            </w14:solidFill>
          </w14:textFill>
        </w:rPr>
      </w:pPr>
      <w:r>
        <w:rPr>
          <w:rFonts w:hint="eastAsia" w:ascii="仿宋" w:hAnsi="仿宋" w:eastAsia="仿宋" w:cs="Times New Roman"/>
          <w:b w:val="0"/>
          <w:bCs/>
          <w:color w:val="000000" w:themeColor="text1"/>
          <w:sz w:val="28"/>
          <w:szCs w:val="28"/>
          <w:highlight w:val="none"/>
          <w14:textFill>
            <w14:solidFill>
              <w14:schemeClr w14:val="tx1"/>
            </w14:solidFill>
          </w14:textFill>
        </w:rPr>
        <w:t>通过建设统一的城市智能基座和智能中枢，重点解决当前存在的“数据孤岛”和“智能缺失”问题。着力打通政府部门、社会行业间的数据壁垒，融合运用人工智能、大数据、数字孪生等技术，推动城市治理从经验判断向数据驱动转变，产业服务从普惠供给向精准赋能升级，民生保障从被动响应向主动感知演进，最终形成“数据驱动、智能协同”的城市运行新范式。</w:t>
      </w:r>
    </w:p>
    <w:p w14:paraId="093537D2">
      <w:pPr>
        <w:spacing w:line="560" w:lineRule="exact"/>
        <w:ind w:firstLine="560" w:firstLineChars="200"/>
        <w:rPr>
          <w:rFonts w:hint="eastAsia" w:ascii="仿宋" w:hAnsi="仿宋" w:eastAsia="仿宋" w:cs="Times New Roman"/>
          <w:b w:val="0"/>
          <w:bCs/>
          <w:color w:val="000000" w:themeColor="text1"/>
          <w:sz w:val="28"/>
          <w:szCs w:val="28"/>
          <w:highlight w:val="none"/>
          <w14:textFill>
            <w14:solidFill>
              <w14:schemeClr w14:val="tx1"/>
            </w14:solidFill>
          </w14:textFill>
        </w:rPr>
      </w:pPr>
      <w:r>
        <w:rPr>
          <w:rFonts w:hint="eastAsia" w:ascii="仿宋" w:hAnsi="仿宋" w:eastAsia="仿宋" w:cs="Times New Roman"/>
          <w:b w:val="0"/>
          <w:bCs/>
          <w:color w:val="000000" w:themeColor="text1"/>
          <w:sz w:val="28"/>
          <w:szCs w:val="28"/>
          <w:highlight w:val="none"/>
          <w14:textFill>
            <w14:solidFill>
              <w14:schemeClr w14:val="tx1"/>
            </w14:solidFill>
          </w14:textFill>
        </w:rPr>
        <w:t>2.构建繁荣共生的城市“数字生态”</w:t>
      </w:r>
    </w:p>
    <w:p w14:paraId="59AB1C20">
      <w:pPr>
        <w:spacing w:line="560" w:lineRule="exact"/>
        <w:ind w:firstLine="560" w:firstLineChars="200"/>
        <w:rPr>
          <w:rFonts w:hint="eastAsia" w:ascii="仿宋" w:hAnsi="仿宋" w:eastAsia="仿宋" w:cs="Times New Roman"/>
          <w:b w:val="0"/>
          <w:bCs/>
          <w:color w:val="000000" w:themeColor="text1"/>
          <w:sz w:val="28"/>
          <w:szCs w:val="28"/>
          <w:highlight w:val="none"/>
          <w14:textFill>
            <w14:solidFill>
              <w14:schemeClr w14:val="tx1"/>
            </w14:solidFill>
          </w14:textFill>
        </w:rPr>
      </w:pPr>
      <w:r>
        <w:rPr>
          <w:rFonts w:hint="eastAsia" w:ascii="仿宋" w:hAnsi="仿宋" w:eastAsia="仿宋" w:cs="Times New Roman"/>
          <w:b w:val="0"/>
          <w:bCs/>
          <w:color w:val="000000" w:themeColor="text1"/>
          <w:sz w:val="28"/>
          <w:szCs w:val="28"/>
          <w:highlight w:val="none"/>
          <w14:textFill>
            <w14:solidFill>
              <w14:schemeClr w14:val="tx1"/>
            </w14:solidFill>
          </w14:textFill>
        </w:rPr>
        <w:t>以建设成果为载体，通过搭建开放平台、释放数据价值、打造示范场景，吸引和培育本地企业、科研机构等多元主体共同参与创新应用开发。重点围绕海洋经济、精致城市、产业升级等荣成特色领域，形成一批可复制、可推广的智慧解决方案，构建政府引导、市场主导、社会共创的可持续发展格局，让数字创新成为推动城市高质量发展的核心动能。</w:t>
      </w:r>
    </w:p>
    <w:p w14:paraId="69ACA68A">
      <w:pPr>
        <w:spacing w:line="560" w:lineRule="exact"/>
        <w:ind w:firstLine="560" w:firstLineChars="200"/>
        <w:rPr>
          <w:rFonts w:hint="eastAsia" w:ascii="仿宋" w:hAnsi="仿宋" w:eastAsia="仿宋" w:cs="Times New Roman"/>
          <w:b w:val="0"/>
          <w:bCs/>
          <w:color w:val="000000" w:themeColor="text1"/>
          <w:sz w:val="28"/>
          <w:szCs w:val="28"/>
          <w:highlight w:val="none"/>
          <w14:textFill>
            <w14:solidFill>
              <w14:schemeClr w14:val="tx1"/>
            </w14:solidFill>
          </w14:textFill>
        </w:rPr>
      </w:pPr>
      <w:r>
        <w:rPr>
          <w:rFonts w:hint="eastAsia" w:ascii="仿宋" w:hAnsi="仿宋" w:eastAsia="仿宋" w:cs="Times New Roman"/>
          <w:b w:val="0"/>
          <w:bCs/>
          <w:color w:val="000000" w:themeColor="text1"/>
          <w:sz w:val="28"/>
          <w:szCs w:val="28"/>
          <w:highlight w:val="none"/>
          <w14:textFill>
            <w14:solidFill>
              <w14:schemeClr w14:val="tx1"/>
            </w14:solidFill>
          </w14:textFill>
        </w:rPr>
        <w:t>通过本项目的实施，将全面提升荣成市在精细治理、产业发展、民生服务等领域的数智化水平，为建设更具活力、更富效率、更加宜居的现代化城市提供坚实支撑。</w:t>
      </w:r>
    </w:p>
    <w:p w14:paraId="5850A4B7">
      <w:pPr>
        <w:spacing w:line="560" w:lineRule="exact"/>
        <w:ind w:firstLine="560" w:firstLineChars="200"/>
        <w:rPr>
          <w:rFonts w:hint="eastAsia" w:ascii="仿宋" w:hAnsi="仿宋" w:eastAsia="仿宋" w:cs="Times New Roman"/>
          <w:b w:val="0"/>
          <w:bCs/>
          <w:color w:val="000000" w:themeColor="text1"/>
          <w:sz w:val="28"/>
          <w:szCs w:val="28"/>
          <w:highlight w:val="none"/>
          <w:lang w:val="en-US" w:eastAsia="zh-CN"/>
          <w14:textFill>
            <w14:solidFill>
              <w14:schemeClr w14:val="tx1"/>
            </w14:solidFill>
          </w14:textFill>
        </w:rPr>
      </w:pPr>
      <w:r>
        <w:rPr>
          <w:rFonts w:hint="eastAsia" w:ascii="仿宋" w:hAnsi="仿宋" w:eastAsia="仿宋" w:cs="Times New Roman"/>
          <w:b w:val="0"/>
          <w:bCs/>
          <w:color w:val="000000" w:themeColor="text1"/>
          <w:sz w:val="28"/>
          <w:szCs w:val="28"/>
          <w:highlight w:val="none"/>
          <w14:textFill>
            <w14:solidFill>
              <w14:schemeClr w14:val="tx1"/>
            </w14:solidFill>
          </w14:textFill>
        </w:rPr>
        <w:t>本项目严格遵循集约化、云化的建设原则，所有底层计算、存储、网络等基础设施资源需求均不新建。项目运行所产生的全部算力(包括AI训练及推理、大数据分析、视频智能解析等)，统一由政务云服务资源池按需、弹性提供。本项目投资将严格聚焦于应用软件研发、数据治理与业务协同，确保有限资金用于提升数字化应用效能，从源头避免算力基础设施的重复建设与资源闲置。</w:t>
      </w:r>
    </w:p>
    <w:p w14:paraId="14E92DC2">
      <w:pPr>
        <w:spacing w:line="520" w:lineRule="exact"/>
        <w:ind w:left="602"/>
        <w:rPr>
          <w:rFonts w:hint="eastAsia" w:ascii="仿宋_GB2312" w:hAnsi="宋体" w:eastAsia="仿宋_GB2312"/>
          <w:b/>
          <w:color w:val="000000" w:themeColor="text1"/>
          <w:sz w:val="30"/>
          <w:szCs w:val="30"/>
          <w:highlight w:val="none"/>
          <w14:textFill>
            <w14:solidFill>
              <w14:schemeClr w14:val="tx1"/>
            </w14:solidFill>
          </w14:textFill>
        </w:rPr>
      </w:pPr>
      <w:r>
        <w:rPr>
          <w:rFonts w:hint="eastAsia" w:ascii="仿宋_GB2312" w:hAnsi="宋体" w:eastAsia="仿宋_GB2312"/>
          <w:b/>
          <w:color w:val="000000" w:themeColor="text1"/>
          <w:sz w:val="30"/>
          <w:szCs w:val="30"/>
          <w:highlight w:val="none"/>
          <w:lang w:val="en-US" w:eastAsia="zh-CN"/>
          <w14:textFill>
            <w14:solidFill>
              <w14:schemeClr w14:val="tx1"/>
            </w14:solidFill>
          </w14:textFill>
        </w:rPr>
        <w:t>三</w:t>
      </w:r>
      <w:r>
        <w:rPr>
          <w:rFonts w:hint="eastAsia" w:ascii="仿宋_GB2312" w:hAnsi="宋体" w:eastAsia="仿宋_GB2312"/>
          <w:b/>
          <w:color w:val="000000" w:themeColor="text1"/>
          <w:sz w:val="30"/>
          <w:szCs w:val="30"/>
          <w:highlight w:val="none"/>
          <w14:textFill>
            <w14:solidFill>
              <w14:schemeClr w14:val="tx1"/>
            </w14:solidFill>
          </w14:textFill>
        </w:rPr>
        <w:t>、技术说明及要求：</w:t>
      </w:r>
    </w:p>
    <w:tbl>
      <w:tblPr>
        <w:tblStyle w:val="4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95"/>
        <w:gridCol w:w="1644"/>
        <w:gridCol w:w="3458"/>
        <w:gridCol w:w="1295"/>
        <w:gridCol w:w="1916"/>
      </w:tblGrid>
      <w:tr w14:paraId="407BA1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842" w:hRule="atLeast"/>
          <w:jc w:val="center"/>
        </w:trPr>
        <w:tc>
          <w:tcPr>
            <w:tcW w:w="762" w:type="pct"/>
            <w:shd w:val="clear" w:color="auto" w:fill="D9D9D9"/>
            <w:noWrap w:val="0"/>
            <w:vAlign w:val="center"/>
          </w:tcPr>
          <w:p w14:paraId="11CD898C">
            <w:pPr>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序号</w:t>
            </w:r>
          </w:p>
        </w:tc>
        <w:tc>
          <w:tcPr>
            <w:tcW w:w="838" w:type="pct"/>
            <w:shd w:val="clear" w:color="auto" w:fill="D9D9D9"/>
            <w:noWrap w:val="0"/>
            <w:vAlign w:val="center"/>
          </w:tcPr>
          <w:p w14:paraId="3D4A01D1">
            <w:pPr>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分类</w:t>
            </w:r>
          </w:p>
        </w:tc>
        <w:tc>
          <w:tcPr>
            <w:tcW w:w="1762" w:type="pct"/>
            <w:shd w:val="clear" w:color="auto" w:fill="D9D9D9"/>
            <w:noWrap w:val="0"/>
            <w:vAlign w:val="center"/>
          </w:tcPr>
          <w:p w14:paraId="2AB6691B">
            <w:pPr>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清单名称</w:t>
            </w:r>
          </w:p>
        </w:tc>
        <w:tc>
          <w:tcPr>
            <w:tcW w:w="660" w:type="pct"/>
            <w:shd w:val="clear" w:color="auto" w:fill="D9D9D9"/>
            <w:noWrap w:val="0"/>
            <w:vAlign w:val="center"/>
          </w:tcPr>
          <w:p w14:paraId="7BD458DD">
            <w:pPr>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数量</w:t>
            </w:r>
          </w:p>
        </w:tc>
        <w:tc>
          <w:tcPr>
            <w:tcW w:w="976" w:type="pct"/>
            <w:shd w:val="clear" w:color="auto" w:fill="D9D9D9"/>
            <w:noWrap w:val="0"/>
            <w:vAlign w:val="center"/>
          </w:tcPr>
          <w:p w14:paraId="170D2D59">
            <w:pPr>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单位</w:t>
            </w:r>
          </w:p>
        </w:tc>
      </w:tr>
      <w:tr w14:paraId="08C21C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826" w:hRule="atLeast"/>
          <w:jc w:val="center"/>
        </w:trPr>
        <w:tc>
          <w:tcPr>
            <w:tcW w:w="762" w:type="pct"/>
            <w:noWrap w:val="0"/>
            <w:vAlign w:val="center"/>
          </w:tcPr>
          <w:p w14:paraId="19D36F49">
            <w:pPr>
              <w:jc w:val="center"/>
              <w:rPr>
                <w:rFonts w:hint="eastAsia" w:ascii="仿宋" w:hAnsi="仿宋" w:eastAsia="仿宋" w:cs="仿宋"/>
                <w:color w:val="000000" w:themeColor="text1"/>
                <w:sz w:val="28"/>
                <w:szCs w:val="21"/>
                <w:highlight w:val="none"/>
                <w14:textFill>
                  <w14:solidFill>
                    <w14:schemeClr w14:val="tx1"/>
                  </w14:solidFill>
                </w14:textFill>
              </w:rPr>
            </w:pPr>
            <w:r>
              <w:rPr>
                <w:rFonts w:hint="eastAsia" w:ascii="仿宋" w:hAnsi="仿宋" w:eastAsia="仿宋" w:cs="仿宋"/>
                <w:color w:val="000000" w:themeColor="text1"/>
                <w:sz w:val="28"/>
                <w:szCs w:val="21"/>
                <w:highlight w:val="none"/>
                <w14:textFill>
                  <w14:solidFill>
                    <w14:schemeClr w14:val="tx1"/>
                  </w14:solidFill>
                </w14:textFill>
              </w:rPr>
              <w:t>1</w:t>
            </w:r>
          </w:p>
        </w:tc>
        <w:tc>
          <w:tcPr>
            <w:tcW w:w="838" w:type="pct"/>
            <w:noWrap w:val="0"/>
            <w:vAlign w:val="center"/>
          </w:tcPr>
          <w:p w14:paraId="10AB9DF5">
            <w:pPr>
              <w:jc w:val="center"/>
              <w:rPr>
                <w:rFonts w:hint="eastAsia" w:ascii="仿宋" w:hAnsi="仿宋" w:eastAsia="仿宋" w:cs="仿宋"/>
                <w:color w:val="000000" w:themeColor="text1"/>
                <w:sz w:val="28"/>
                <w:szCs w:val="21"/>
                <w:highlight w:val="none"/>
                <w14:textFill>
                  <w14:solidFill>
                    <w14:schemeClr w14:val="tx1"/>
                  </w14:solidFill>
                </w14:textFill>
              </w:rPr>
            </w:pPr>
            <w:r>
              <w:rPr>
                <w:rFonts w:hint="eastAsia" w:ascii="仿宋" w:hAnsi="仿宋" w:eastAsia="仿宋" w:cs="仿宋"/>
                <w:color w:val="000000" w:themeColor="text1"/>
                <w:sz w:val="28"/>
                <w:szCs w:val="21"/>
                <w:highlight w:val="none"/>
                <w14:textFill>
                  <w14:solidFill>
                    <w14:schemeClr w14:val="tx1"/>
                  </w14:solidFill>
                </w14:textFill>
              </w:rPr>
              <w:t>服务</w:t>
            </w:r>
          </w:p>
        </w:tc>
        <w:tc>
          <w:tcPr>
            <w:tcW w:w="1762" w:type="pct"/>
            <w:noWrap w:val="0"/>
            <w:vAlign w:val="center"/>
          </w:tcPr>
          <w:p w14:paraId="7D657154">
            <w:pPr>
              <w:jc w:val="center"/>
              <w:rPr>
                <w:rFonts w:hint="eastAsia" w:ascii="仿宋" w:hAnsi="仿宋" w:eastAsia="仿宋" w:cs="仿宋"/>
                <w:color w:val="000000" w:themeColor="text1"/>
                <w:sz w:val="28"/>
                <w:szCs w:val="21"/>
                <w:highlight w:val="none"/>
                <w14:textFill>
                  <w14:solidFill>
                    <w14:schemeClr w14:val="tx1"/>
                  </w14:solidFill>
                </w14:textFill>
              </w:rPr>
            </w:pPr>
            <w:r>
              <w:rPr>
                <w:rFonts w:hint="eastAsia" w:ascii="仿宋" w:hAnsi="仿宋" w:eastAsia="仿宋" w:cs="仿宋"/>
                <w:color w:val="000000" w:themeColor="text1"/>
                <w:sz w:val="28"/>
                <w:szCs w:val="21"/>
                <w:highlight w:val="none"/>
                <w:lang w:val="en-US" w:eastAsia="zh-CN"/>
                <w14:textFill>
                  <w14:solidFill>
                    <w14:schemeClr w14:val="tx1"/>
                  </w14:solidFill>
                </w14:textFill>
              </w:rPr>
              <w:t>荣成市城市数智化转型与数字生态建设项目</w:t>
            </w:r>
          </w:p>
        </w:tc>
        <w:tc>
          <w:tcPr>
            <w:tcW w:w="660" w:type="pct"/>
            <w:noWrap w:val="0"/>
            <w:vAlign w:val="center"/>
          </w:tcPr>
          <w:p w14:paraId="3AB5EB9A">
            <w:pPr>
              <w:jc w:val="center"/>
              <w:rPr>
                <w:rFonts w:hint="eastAsia" w:ascii="仿宋" w:hAnsi="仿宋" w:eastAsia="仿宋" w:cs="仿宋"/>
                <w:color w:val="000000" w:themeColor="text1"/>
                <w:sz w:val="28"/>
                <w:szCs w:val="21"/>
                <w:highlight w:val="none"/>
                <w14:textFill>
                  <w14:solidFill>
                    <w14:schemeClr w14:val="tx1"/>
                  </w14:solidFill>
                </w14:textFill>
              </w:rPr>
            </w:pPr>
            <w:r>
              <w:rPr>
                <w:rFonts w:hint="eastAsia" w:ascii="仿宋" w:hAnsi="仿宋" w:eastAsia="仿宋" w:cs="仿宋"/>
                <w:color w:val="000000" w:themeColor="text1"/>
                <w:sz w:val="28"/>
                <w:szCs w:val="21"/>
                <w:highlight w:val="none"/>
                <w14:textFill>
                  <w14:solidFill>
                    <w14:schemeClr w14:val="tx1"/>
                  </w14:solidFill>
                </w14:textFill>
              </w:rPr>
              <w:t xml:space="preserve">1 </w:t>
            </w:r>
          </w:p>
        </w:tc>
        <w:tc>
          <w:tcPr>
            <w:tcW w:w="976" w:type="pct"/>
            <w:noWrap w:val="0"/>
            <w:vAlign w:val="center"/>
          </w:tcPr>
          <w:p w14:paraId="5A388376">
            <w:pPr>
              <w:jc w:val="center"/>
              <w:rPr>
                <w:rFonts w:hint="eastAsia" w:ascii="仿宋" w:hAnsi="仿宋" w:eastAsia="仿宋" w:cs="仿宋"/>
                <w:color w:val="000000" w:themeColor="text1"/>
                <w:sz w:val="28"/>
                <w:szCs w:val="21"/>
                <w:highlight w:val="none"/>
                <w14:textFill>
                  <w14:solidFill>
                    <w14:schemeClr w14:val="tx1"/>
                  </w14:solidFill>
                </w14:textFill>
              </w:rPr>
            </w:pPr>
            <w:r>
              <w:rPr>
                <w:rFonts w:hint="eastAsia" w:ascii="仿宋" w:hAnsi="仿宋" w:eastAsia="仿宋" w:cs="仿宋"/>
                <w:color w:val="000000" w:themeColor="text1"/>
                <w:sz w:val="28"/>
                <w:szCs w:val="21"/>
                <w:highlight w:val="none"/>
                <w14:textFill>
                  <w14:solidFill>
                    <w14:schemeClr w14:val="tx1"/>
                  </w14:solidFill>
                </w14:textFill>
              </w:rPr>
              <w:t>宗</w:t>
            </w:r>
          </w:p>
        </w:tc>
      </w:tr>
    </w:tbl>
    <w:p w14:paraId="51D00466">
      <w:pPr>
        <w:spacing w:line="560" w:lineRule="exact"/>
        <w:ind w:firstLine="600" w:firstLineChars="200"/>
        <w:rPr>
          <w:rFonts w:hint="eastAsia" w:ascii="仿宋_GB2312" w:hAnsi="宋体" w:eastAsia="仿宋_GB2312" w:cs="Times New Roman"/>
          <w:bCs/>
          <w:color w:val="000000" w:themeColor="text1"/>
          <w:sz w:val="30"/>
          <w:szCs w:val="30"/>
          <w:highlight w:val="none"/>
          <w:lang w:val="en-US" w:eastAsia="zh-CN"/>
          <w14:textFill>
            <w14:solidFill>
              <w14:schemeClr w14:val="tx1"/>
            </w14:solidFill>
          </w14:textFill>
        </w:rPr>
      </w:pPr>
      <w:r>
        <w:rPr>
          <w:rFonts w:hint="eastAsia" w:ascii="仿宋_GB2312" w:hAnsi="宋体" w:eastAsia="仿宋_GB2312" w:cs="Times New Roman"/>
          <w:bCs/>
          <w:color w:val="000000" w:themeColor="text1"/>
          <w:sz w:val="30"/>
          <w:szCs w:val="30"/>
          <w:highlight w:val="none"/>
          <w:lang w:val="en-US" w:eastAsia="zh-CN"/>
          <w14:textFill>
            <w14:solidFill>
              <w14:schemeClr w14:val="tx1"/>
            </w14:solidFill>
          </w14:textFill>
        </w:rPr>
        <w:t>本项目旨在构建“一个城市智能基座、一个城市智能协同中枢、N个领域数字赋能生态”的核心架构，规划22个核心系统平台，在城市治理、产业发展、民生服务等重点领域部署16个智慧应用。投标人需充分预判项目实施期间采购人现有硬件设备不足的情形，并作出承诺：若现场出现设备缺口，将第一时间补齐所需设备。相关物资采购、调配、运维等全部费用，均包含在本次投标总报价内，采购人无需另行支付额外款项。</w:t>
      </w:r>
    </w:p>
    <w:p w14:paraId="6229A510">
      <w:pPr>
        <w:pStyle w:val="18"/>
        <w:spacing w:line="360" w:lineRule="auto"/>
        <w:ind w:firstLine="562" w:firstLineChars="200"/>
        <w:jc w:val="center"/>
        <w:rPr>
          <w:rFonts w:hint="eastAsia" w:ascii="仿宋_GB2312" w:hAnsi="Times New Roman" w:eastAsia="仿宋_GB2312"/>
          <w:b/>
          <w:bCs/>
          <w:color w:val="000000" w:themeColor="text1"/>
          <w:sz w:val="28"/>
          <w:szCs w:val="21"/>
          <w:highlight w:val="none"/>
          <w:lang w:val="en-US" w:eastAsia="zh-CN"/>
          <w14:textFill>
            <w14:solidFill>
              <w14:schemeClr w14:val="tx1"/>
            </w14:solidFill>
          </w14:textFill>
        </w:rPr>
      </w:pPr>
      <w:r>
        <w:rPr>
          <w:rFonts w:hint="eastAsia" w:ascii="仿宋_GB2312" w:eastAsia="仿宋_GB2312"/>
          <w:b/>
          <w:bCs/>
          <w:color w:val="000000" w:themeColor="text1"/>
          <w:sz w:val="28"/>
          <w:szCs w:val="28"/>
          <w:highlight w:val="none"/>
          <w14:textFill>
            <w14:solidFill>
              <w14:schemeClr w14:val="tx1"/>
            </w14:solidFill>
          </w14:textFill>
        </w:rPr>
        <w:t>详细清单如下：</w:t>
      </w:r>
    </w:p>
    <w:p w14:paraId="31D08EBF">
      <w:pPr>
        <w:keepNext w:val="0"/>
        <w:keepLines w:val="0"/>
        <w:widowControl/>
        <w:suppressLineNumbers w:val="0"/>
        <w:spacing w:before="0" w:beforeAutospacing="0" w:after="0" w:afterAutospacing="0" w:line="240" w:lineRule="auto"/>
        <w:ind w:left="0" w:leftChars="0" w:right="0" w:rightChars="0"/>
        <w:jc w:val="both"/>
        <w:outlineLvl w:val="1"/>
        <w:rPr>
          <w:rFonts w:hint="eastAsia" w:ascii="仿宋" w:hAnsi="仿宋" w:eastAsia="仿宋" w:cs="仿宋"/>
          <w:b/>
          <w:bCs/>
          <w:i w:val="0"/>
          <w:strike w:val="0"/>
          <w:color w:val="000000" w:themeColor="text1"/>
          <w:kern w:val="0"/>
          <w:sz w:val="30"/>
          <w:szCs w:val="30"/>
          <w:highlight w:val="none"/>
          <w:u w:val="none"/>
          <w:lang w:val="en-US" w:eastAsia="zh-CN" w:bidi="ar"/>
          <w14:textFill>
            <w14:solidFill>
              <w14:schemeClr w14:val="tx1"/>
            </w14:solidFill>
          </w14:textFill>
        </w:rPr>
      </w:pPr>
      <w:r>
        <w:rPr>
          <w:rFonts w:hint="eastAsia" w:ascii="仿宋" w:hAnsi="仿宋" w:eastAsia="仿宋" w:cs="仿宋"/>
          <w:b/>
          <w:bCs/>
          <w:i w:val="0"/>
          <w:strike w:val="0"/>
          <w:color w:val="000000" w:themeColor="text1"/>
          <w:kern w:val="0"/>
          <w:sz w:val="30"/>
          <w:szCs w:val="30"/>
          <w:highlight w:val="none"/>
          <w:u w:val="none"/>
          <w:lang w:val="en-US" w:eastAsia="zh-CN" w:bidi="ar"/>
          <w14:textFill>
            <w14:solidFill>
              <w14:schemeClr w14:val="tx1"/>
            </w14:solidFill>
          </w14:textFill>
        </w:rPr>
        <w:t>一、城市智能基座</w:t>
      </w:r>
    </w:p>
    <w:p w14:paraId="38D4ED8D">
      <w:pPr>
        <w:keepNext w:val="0"/>
        <w:keepLines w:val="0"/>
        <w:widowControl/>
        <w:suppressLineNumbers w:val="0"/>
        <w:spacing w:before="0" w:beforeAutospacing="0" w:after="0" w:afterAutospacing="0" w:line="240" w:lineRule="auto"/>
        <w:ind w:left="0" w:leftChars="0" w:right="0" w:rightChars="0"/>
        <w:jc w:val="both"/>
        <w:outlineLvl w:val="1"/>
        <w:rPr>
          <w:rFonts w:hint="eastAsia" w:ascii="仿宋" w:hAnsi="仿宋" w:eastAsia="仿宋" w:cs="仿宋"/>
          <w:b/>
          <w:bCs/>
          <w:i w:val="0"/>
          <w:strike w:val="0"/>
          <w:color w:val="000000" w:themeColor="text1"/>
          <w:kern w:val="0"/>
          <w:sz w:val="28"/>
          <w:szCs w:val="16"/>
          <w:highlight w:val="none"/>
          <w:u w:val="none"/>
          <w:lang w:val="en-US" w:eastAsia="zh-CN" w:bidi="ar"/>
          <w14:textFill>
            <w14:solidFill>
              <w14:schemeClr w14:val="tx1"/>
            </w14:solidFill>
          </w14:textFill>
        </w:rPr>
      </w:pPr>
      <w:r>
        <w:rPr>
          <w:rFonts w:hint="eastAsia" w:ascii="仿宋" w:hAnsi="仿宋" w:eastAsia="仿宋" w:cs="仿宋"/>
          <w:b/>
          <w:bCs/>
          <w:i w:val="0"/>
          <w:strike w:val="0"/>
          <w:color w:val="000000" w:themeColor="text1"/>
          <w:kern w:val="0"/>
          <w:sz w:val="28"/>
          <w:szCs w:val="16"/>
          <w:highlight w:val="none"/>
          <w:u w:val="none"/>
          <w:lang w:val="en-US" w:eastAsia="zh-CN" w:bidi="ar"/>
          <w14:textFill>
            <w14:solidFill>
              <w14:schemeClr w14:val="tx1"/>
            </w14:solidFill>
          </w14:textFill>
        </w:rPr>
        <w:t>（一）视频监控智能分析系统</w:t>
      </w:r>
    </w:p>
    <w:tbl>
      <w:tblPr>
        <w:tblStyle w:val="47"/>
        <w:tblW w:w="9872"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660"/>
        <w:gridCol w:w="1081"/>
        <w:gridCol w:w="933"/>
        <w:gridCol w:w="1202"/>
        <w:gridCol w:w="4180"/>
        <w:gridCol w:w="908"/>
        <w:gridCol w:w="908"/>
      </w:tblGrid>
      <w:tr w14:paraId="0F8D28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40" w:hRule="atLeast"/>
        </w:trPr>
        <w:tc>
          <w:tcPr>
            <w:tcW w:w="660" w:type="dxa"/>
            <w:tcBorders>
              <w:top w:val="single" w:color="000000" w:sz="4" w:space="0"/>
              <w:left w:val="single" w:color="000000" w:sz="4" w:space="0"/>
              <w:bottom w:val="single" w:color="000000" w:sz="4" w:space="0"/>
              <w:right w:val="single" w:color="000000" w:sz="4" w:space="0"/>
            </w:tcBorders>
            <w:shd w:val="clear" w:color="auto" w:fill="BFBFBF"/>
            <w:vAlign w:val="center"/>
          </w:tcPr>
          <w:p w14:paraId="3BB7F17C">
            <w:pPr>
              <w:keepNext w:val="0"/>
              <w:keepLines w:val="0"/>
              <w:widowControl/>
              <w:suppressLineNumbers w:val="0"/>
              <w:jc w:val="center"/>
              <w:textAlignment w:val="center"/>
              <w:rPr>
                <w:rFonts w:ascii="仿宋" w:hAnsi="仿宋" w:eastAsia="仿宋" w:cs="仿宋"/>
                <w:b/>
                <w:bCs/>
                <w:i w:val="0"/>
                <w:iCs w:val="0"/>
                <w:color w:val="000000" w:themeColor="text1"/>
                <w:sz w:val="22"/>
                <w:szCs w:val="22"/>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t>序号</w:t>
            </w:r>
          </w:p>
        </w:tc>
        <w:tc>
          <w:tcPr>
            <w:tcW w:w="1081" w:type="dxa"/>
            <w:tcBorders>
              <w:top w:val="single" w:color="000000" w:sz="4" w:space="0"/>
              <w:left w:val="single" w:color="000000" w:sz="4" w:space="0"/>
              <w:bottom w:val="single" w:color="000000" w:sz="4" w:space="0"/>
              <w:right w:val="single" w:color="000000" w:sz="4" w:space="0"/>
            </w:tcBorders>
            <w:shd w:val="clear" w:color="auto" w:fill="BFBFBF"/>
            <w:vAlign w:val="center"/>
          </w:tcPr>
          <w:p w14:paraId="63165E6E">
            <w:pPr>
              <w:keepNext w:val="0"/>
              <w:keepLines w:val="0"/>
              <w:widowControl/>
              <w:suppressLineNumbers w:val="0"/>
              <w:jc w:val="center"/>
              <w:textAlignment w:val="center"/>
              <w:rPr>
                <w:rFonts w:hint="eastAsia" w:ascii="仿宋" w:hAnsi="仿宋" w:eastAsia="仿宋" w:cs="仿宋"/>
                <w:b/>
                <w:bCs/>
                <w:i w:val="0"/>
                <w:iCs w:val="0"/>
                <w:color w:val="000000" w:themeColor="text1"/>
                <w:sz w:val="22"/>
                <w:szCs w:val="22"/>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t>系统名称</w:t>
            </w:r>
          </w:p>
        </w:tc>
        <w:tc>
          <w:tcPr>
            <w:tcW w:w="933" w:type="dxa"/>
            <w:tcBorders>
              <w:top w:val="single" w:color="000000" w:sz="4" w:space="0"/>
              <w:left w:val="single" w:color="000000" w:sz="4" w:space="0"/>
              <w:bottom w:val="single" w:color="000000" w:sz="4" w:space="0"/>
              <w:right w:val="single" w:color="000000" w:sz="4" w:space="0"/>
            </w:tcBorders>
            <w:shd w:val="clear" w:color="auto" w:fill="BFBFBF"/>
            <w:vAlign w:val="center"/>
          </w:tcPr>
          <w:p w14:paraId="7FEE8A12">
            <w:pPr>
              <w:keepNext w:val="0"/>
              <w:keepLines w:val="0"/>
              <w:widowControl/>
              <w:suppressLineNumbers w:val="0"/>
              <w:jc w:val="center"/>
              <w:textAlignment w:val="center"/>
              <w:rPr>
                <w:rFonts w:hint="eastAsia" w:ascii="仿宋" w:hAnsi="仿宋" w:eastAsia="仿宋" w:cs="仿宋"/>
                <w:b/>
                <w:bCs/>
                <w:i w:val="0"/>
                <w:iCs w:val="0"/>
                <w:color w:val="000000" w:themeColor="text1"/>
                <w:sz w:val="22"/>
                <w:szCs w:val="22"/>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t>产品类型</w:t>
            </w:r>
          </w:p>
        </w:tc>
        <w:tc>
          <w:tcPr>
            <w:tcW w:w="1202" w:type="dxa"/>
            <w:tcBorders>
              <w:top w:val="single" w:color="000000" w:sz="4" w:space="0"/>
              <w:left w:val="single" w:color="000000" w:sz="4" w:space="0"/>
              <w:bottom w:val="single" w:color="000000" w:sz="4" w:space="0"/>
              <w:right w:val="single" w:color="000000" w:sz="4" w:space="0"/>
            </w:tcBorders>
            <w:shd w:val="clear" w:color="auto" w:fill="BFBFBF"/>
            <w:vAlign w:val="center"/>
          </w:tcPr>
          <w:p w14:paraId="67E5FE8E">
            <w:pPr>
              <w:keepNext w:val="0"/>
              <w:keepLines w:val="0"/>
              <w:widowControl/>
              <w:suppressLineNumbers w:val="0"/>
              <w:jc w:val="center"/>
              <w:textAlignment w:val="center"/>
              <w:rPr>
                <w:rFonts w:hint="eastAsia" w:ascii="仿宋" w:hAnsi="仿宋" w:eastAsia="仿宋" w:cs="仿宋"/>
                <w:b/>
                <w:bCs/>
                <w:i w:val="0"/>
                <w:iCs w:val="0"/>
                <w:color w:val="000000" w:themeColor="text1"/>
                <w:sz w:val="22"/>
                <w:szCs w:val="22"/>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t>产品名称</w:t>
            </w:r>
          </w:p>
        </w:tc>
        <w:tc>
          <w:tcPr>
            <w:tcW w:w="4180" w:type="dxa"/>
            <w:tcBorders>
              <w:top w:val="single" w:color="000000" w:sz="4" w:space="0"/>
              <w:left w:val="single" w:color="000000" w:sz="4" w:space="0"/>
              <w:bottom w:val="single" w:color="000000" w:sz="4" w:space="0"/>
              <w:right w:val="single" w:color="000000" w:sz="4" w:space="0"/>
            </w:tcBorders>
            <w:shd w:val="clear" w:color="auto" w:fill="BFBFBF"/>
            <w:vAlign w:val="center"/>
          </w:tcPr>
          <w:p w14:paraId="6B4D80BA">
            <w:pPr>
              <w:keepNext w:val="0"/>
              <w:keepLines w:val="0"/>
              <w:widowControl/>
              <w:suppressLineNumbers w:val="0"/>
              <w:jc w:val="left"/>
              <w:textAlignment w:val="center"/>
              <w:rPr>
                <w:rFonts w:hint="eastAsia" w:ascii="仿宋" w:hAnsi="仿宋" w:eastAsia="仿宋" w:cs="仿宋"/>
                <w:b/>
                <w:bCs/>
                <w:i w:val="0"/>
                <w:iCs w:val="0"/>
                <w:color w:val="000000" w:themeColor="text1"/>
                <w:sz w:val="22"/>
                <w:szCs w:val="22"/>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t>功能/参数</w:t>
            </w:r>
          </w:p>
        </w:tc>
        <w:tc>
          <w:tcPr>
            <w:tcW w:w="908" w:type="dxa"/>
            <w:tcBorders>
              <w:top w:val="single" w:color="000000" w:sz="4" w:space="0"/>
              <w:left w:val="single" w:color="000000" w:sz="4" w:space="0"/>
              <w:bottom w:val="single" w:color="000000" w:sz="4" w:space="0"/>
              <w:right w:val="single" w:color="000000" w:sz="4" w:space="0"/>
            </w:tcBorders>
            <w:shd w:val="clear" w:color="auto" w:fill="BFBFBF"/>
            <w:vAlign w:val="center"/>
          </w:tcPr>
          <w:p w14:paraId="0B10ACBB">
            <w:pPr>
              <w:keepNext w:val="0"/>
              <w:keepLines w:val="0"/>
              <w:widowControl/>
              <w:suppressLineNumbers w:val="0"/>
              <w:jc w:val="center"/>
              <w:textAlignment w:val="center"/>
              <w:rPr>
                <w:rFonts w:hint="eastAsia" w:ascii="仿宋" w:hAnsi="仿宋" w:eastAsia="仿宋" w:cs="仿宋"/>
                <w:b/>
                <w:bCs/>
                <w:i w:val="0"/>
                <w:iCs w:val="0"/>
                <w:color w:val="000000" w:themeColor="text1"/>
                <w:sz w:val="22"/>
                <w:szCs w:val="22"/>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t>单位</w:t>
            </w:r>
          </w:p>
        </w:tc>
        <w:tc>
          <w:tcPr>
            <w:tcW w:w="908" w:type="dxa"/>
            <w:tcBorders>
              <w:top w:val="single" w:color="000000" w:sz="4" w:space="0"/>
              <w:left w:val="single" w:color="000000" w:sz="4" w:space="0"/>
              <w:bottom w:val="single" w:color="000000" w:sz="4" w:space="0"/>
              <w:right w:val="single" w:color="000000" w:sz="4" w:space="0"/>
            </w:tcBorders>
            <w:shd w:val="clear" w:color="auto" w:fill="BFBFBF"/>
            <w:vAlign w:val="center"/>
          </w:tcPr>
          <w:p w14:paraId="355C7FE8">
            <w:pPr>
              <w:keepNext w:val="0"/>
              <w:keepLines w:val="0"/>
              <w:widowControl/>
              <w:suppressLineNumbers w:val="0"/>
              <w:jc w:val="center"/>
              <w:textAlignment w:val="center"/>
              <w:rPr>
                <w:rFonts w:hint="default"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t>数量</w:t>
            </w:r>
          </w:p>
        </w:tc>
      </w:tr>
      <w:tr w14:paraId="0A7A58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6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776ECE7">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c>
          <w:tcPr>
            <w:tcW w:w="108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12DCAA8">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视频监控智能分析系统</w:t>
            </w:r>
          </w:p>
        </w:tc>
        <w:tc>
          <w:tcPr>
            <w:tcW w:w="93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F6B8574">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前端感知设备</w:t>
            </w:r>
          </w:p>
        </w:tc>
        <w:tc>
          <w:tcPr>
            <w:tcW w:w="12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EE8C6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热成像重载云台</w:t>
            </w:r>
          </w:p>
        </w:tc>
        <w:tc>
          <w:tcPr>
            <w:tcW w:w="41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458E1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热成像分辨率: 640x512；测温精度: ±2℃；探测距离: 3-5km；可见光: 400万像素，30倍光学变焦；防护等级: IP67, IK10；智能: 火点探测、烟火识别</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71F701">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台</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BDDC23">
            <w:pPr>
              <w:keepNext w:val="0"/>
              <w:keepLines w:val="0"/>
              <w:widowControl/>
              <w:suppressLineNumbers w:val="0"/>
              <w:jc w:val="center"/>
              <w:textAlignment w:val="center"/>
              <w:rPr>
                <w:rFonts w:hint="default"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100</w:t>
            </w:r>
          </w:p>
        </w:tc>
      </w:tr>
      <w:tr w14:paraId="417E44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E5FCF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9F2F6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9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B4481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2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AF313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AI人脸抓拍机</w:t>
            </w:r>
          </w:p>
        </w:tc>
        <w:tc>
          <w:tcPr>
            <w:tcW w:w="41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F2CF6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传感器: 1/1.8” CMOS；分辨率: 400万像素；智能: 动态人脸捕获、去重；宽动态: 120dB+；防护等级: IP67</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AD403B">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台</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FE2270">
            <w:pPr>
              <w:keepNext w:val="0"/>
              <w:keepLines w:val="0"/>
              <w:widowControl/>
              <w:suppressLineNumbers w:val="0"/>
              <w:jc w:val="center"/>
              <w:textAlignment w:val="center"/>
              <w:rPr>
                <w:rFonts w:hint="default"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1000</w:t>
            </w:r>
          </w:p>
        </w:tc>
      </w:tr>
      <w:tr w14:paraId="464688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10161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DF05C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9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0D86C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2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F26A0A">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AI车辆抓拍机</w:t>
            </w:r>
          </w:p>
        </w:tc>
        <w:tc>
          <w:tcPr>
            <w:tcW w:w="41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CAA0F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分辨率: 400万像素；智能: 车牌、车型、颜色识别；补光: 内置爆闪灯；触发方式: 视频检测</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A91DA7">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台</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440573">
            <w:pPr>
              <w:keepNext w:val="0"/>
              <w:keepLines w:val="0"/>
              <w:widowControl/>
              <w:suppressLineNumbers w:val="0"/>
              <w:jc w:val="center"/>
              <w:textAlignment w:val="center"/>
              <w:rPr>
                <w:rFonts w:hint="default"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1000</w:t>
            </w:r>
          </w:p>
        </w:tc>
      </w:tr>
      <w:tr w14:paraId="7689CB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83C28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5662E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9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FCB06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2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4815D3">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高清智能球机</w:t>
            </w:r>
          </w:p>
        </w:tc>
        <w:tc>
          <w:tcPr>
            <w:tcW w:w="41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1E04A0">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分辨率: 4MP；光学变倍: 20倍；智能: 区域入侵、人员聚集、徘徊检测；防护等级: IP67</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C0F665">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台</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EFD21E">
            <w:pPr>
              <w:keepNext w:val="0"/>
              <w:keepLines w:val="0"/>
              <w:widowControl/>
              <w:suppressLineNumbers w:val="0"/>
              <w:jc w:val="center"/>
              <w:textAlignment w:val="center"/>
              <w:rPr>
                <w:rFonts w:hint="default"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26700</w:t>
            </w:r>
          </w:p>
        </w:tc>
      </w:tr>
      <w:tr w14:paraId="26F07F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0" w:hRule="atLeast"/>
        </w:trPr>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6E804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6D9CE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9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2131C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2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1D0E5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高清红外枪机</w:t>
            </w:r>
          </w:p>
        </w:tc>
        <w:tc>
          <w:tcPr>
            <w:tcW w:w="41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A7504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分辨率: 4MP；红外距离: 50米；防护等级: IP67</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059FCB">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台</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3278C3">
            <w:pPr>
              <w:keepNext w:val="0"/>
              <w:keepLines w:val="0"/>
              <w:widowControl/>
              <w:suppressLineNumbers w:val="0"/>
              <w:jc w:val="center"/>
              <w:textAlignment w:val="center"/>
              <w:rPr>
                <w:rFonts w:hint="default"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640</w:t>
            </w:r>
          </w:p>
        </w:tc>
      </w:tr>
      <w:tr w14:paraId="749C85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01C0D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C8342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93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98C1EE4">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网络与安全设备</w:t>
            </w:r>
          </w:p>
        </w:tc>
        <w:tc>
          <w:tcPr>
            <w:tcW w:w="12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2EF98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接入层：全千兆POE交换机</w:t>
            </w:r>
          </w:p>
        </w:tc>
        <w:tc>
          <w:tcPr>
            <w:tcW w:w="41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86B53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端口: 48口千兆电口(含POE++)，4口万兆光口上行；POE功率: ≥740W</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98645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台</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32022F">
            <w:pPr>
              <w:keepNext w:val="0"/>
              <w:keepLines w:val="0"/>
              <w:widowControl/>
              <w:suppressLineNumbers w:val="0"/>
              <w:jc w:val="center"/>
              <w:textAlignment w:val="center"/>
              <w:rPr>
                <w:rFonts w:hint="default"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26</w:t>
            </w:r>
          </w:p>
        </w:tc>
      </w:tr>
      <w:tr w14:paraId="63E2A73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0" w:hRule="atLeast"/>
        </w:trPr>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51145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643DB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9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9A117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2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B9702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汇聚层：交换机</w:t>
            </w:r>
          </w:p>
        </w:tc>
        <w:tc>
          <w:tcPr>
            <w:tcW w:w="41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9CDAB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24口万兆SFP+光口，4口40G QSFP+上行。</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90AFF5">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台</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60DE22">
            <w:pPr>
              <w:keepNext w:val="0"/>
              <w:keepLines w:val="0"/>
              <w:widowControl/>
              <w:suppressLineNumbers w:val="0"/>
              <w:jc w:val="center"/>
              <w:textAlignment w:val="center"/>
              <w:rPr>
                <w:rFonts w:hint="default"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w:t>
            </w:r>
          </w:p>
        </w:tc>
      </w:tr>
      <w:tr w14:paraId="36D8CE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4FA29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ED3A2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9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DD8D8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2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3CF35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核心层：核心交换机</w:t>
            </w:r>
          </w:p>
        </w:tc>
        <w:tc>
          <w:tcPr>
            <w:tcW w:w="41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5B997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端口: 48口千兆电口，≥4口万兆光口；交换容量: ≥256Gbps</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794D13">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台</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07AC9C">
            <w:pPr>
              <w:keepNext w:val="0"/>
              <w:keepLines w:val="0"/>
              <w:widowControl/>
              <w:suppressLineNumbers w:val="0"/>
              <w:jc w:val="center"/>
              <w:textAlignment w:val="center"/>
              <w:rPr>
                <w:rFonts w:hint="default"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w:t>
            </w:r>
          </w:p>
        </w:tc>
      </w:tr>
      <w:tr w14:paraId="4B091E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0" w:hRule="atLeast"/>
        </w:trPr>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875BF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17200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9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1CA17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2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0632F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视频专网防火墙</w:t>
            </w:r>
          </w:p>
        </w:tc>
        <w:tc>
          <w:tcPr>
            <w:tcW w:w="41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FDA35">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吞吐量: ≥10Gbps；并发连接数: ≥200万</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255E6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台</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41EFB0">
            <w:pPr>
              <w:keepNext w:val="0"/>
              <w:keepLines w:val="0"/>
              <w:widowControl/>
              <w:suppressLineNumbers w:val="0"/>
              <w:jc w:val="center"/>
              <w:textAlignment w:val="center"/>
              <w:rPr>
                <w:rFonts w:hint="default"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73A249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798C8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0FFB7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93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13F0C73">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中心显示与控制设备</w:t>
            </w:r>
          </w:p>
        </w:tc>
        <w:tc>
          <w:tcPr>
            <w:tcW w:w="12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3DD45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液晶拼接大屏</w:t>
            </w:r>
          </w:p>
        </w:tc>
        <w:tc>
          <w:tcPr>
            <w:tcW w:w="41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D32C2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Style w:val="287"/>
                <w:color w:val="000000" w:themeColor="text1"/>
                <w:highlight w:val="none"/>
                <w:lang w:val="en-US" w:eastAsia="zh-CN" w:bidi="ar"/>
                <w14:textFill>
                  <w14:solidFill>
                    <w14:schemeClr w14:val="tx1"/>
                  </w14:solidFill>
                </w14:textFill>
              </w:rPr>
              <w:t>尺寸: 46英寸；拼缝: 3.5mm；亮度: 500cd/m</w:t>
            </w:r>
            <w:r>
              <w:rPr>
                <w:rStyle w:val="281"/>
                <w:color w:val="000000" w:themeColor="text1"/>
                <w:highlight w:val="none"/>
                <w:lang w:val="en-US" w:eastAsia="zh-CN" w:bidi="ar"/>
                <w14:textFill>
                  <w14:solidFill>
                    <w14:schemeClr w14:val="tx1"/>
                  </w14:solidFill>
                </w14:textFill>
              </w:rPr>
              <w:t>²</w:t>
            </w:r>
            <w:r>
              <w:rPr>
                <w:rStyle w:val="287"/>
                <w:color w:val="000000" w:themeColor="text1"/>
                <w:highlight w:val="none"/>
                <w:lang w:val="en-US" w:eastAsia="zh-CN" w:bidi="ar"/>
                <w14:textFill>
                  <w14:solidFill>
                    <w14:schemeClr w14:val="tx1"/>
                  </w14:solidFill>
                </w14:textFill>
              </w:rPr>
              <w:t>；配置: 3 * 4 12块屏</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DD4A38">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A5B075">
            <w:pPr>
              <w:keepNext w:val="0"/>
              <w:keepLines w:val="0"/>
              <w:widowControl/>
              <w:suppressLineNumbers w:val="0"/>
              <w:jc w:val="center"/>
              <w:textAlignment w:val="center"/>
              <w:rPr>
                <w:rFonts w:hint="default"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18AD2D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FE79F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0AD6F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9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8186C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2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6EFD9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视频综合平台</w:t>
            </w:r>
          </w:p>
        </w:tc>
        <w:tc>
          <w:tcPr>
            <w:tcW w:w="41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DB3B7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输入: 支持IPC、DVI、VGA、HDMI等；输出: 支持HDMI、DVI、VGA等；解码能力: 支持4K解码</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1D142D">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台</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9DA0A3">
            <w:pPr>
              <w:keepNext w:val="0"/>
              <w:keepLines w:val="0"/>
              <w:widowControl/>
              <w:suppressLineNumbers w:val="0"/>
              <w:jc w:val="center"/>
              <w:textAlignment w:val="center"/>
              <w:rPr>
                <w:rFonts w:hint="default"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10</w:t>
            </w:r>
          </w:p>
        </w:tc>
      </w:tr>
      <w:tr w14:paraId="37B5BB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0" w:hRule="atLeast"/>
        </w:trPr>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6E36F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5B75C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9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89D17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2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F1E27A">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控制终端</w:t>
            </w:r>
          </w:p>
        </w:tc>
        <w:tc>
          <w:tcPr>
            <w:tcW w:w="41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46F0D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图形工作站级别</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40A7A2">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台</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633341">
            <w:pPr>
              <w:keepNext w:val="0"/>
              <w:keepLines w:val="0"/>
              <w:widowControl/>
              <w:suppressLineNumbers w:val="0"/>
              <w:jc w:val="center"/>
              <w:textAlignment w:val="center"/>
              <w:rPr>
                <w:rFonts w:hint="default"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21601C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66972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E3DAD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9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92A2E4">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辅材与安装</w:t>
            </w:r>
          </w:p>
        </w:tc>
        <w:tc>
          <w:tcPr>
            <w:tcW w:w="12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1A3A7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辅材（线缆、立杆、电源、防雷等）</w:t>
            </w:r>
          </w:p>
        </w:tc>
        <w:tc>
          <w:tcPr>
            <w:tcW w:w="41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14754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包括网络线缆、电源线、光纤、立杆、机柜、配电箱、防雷器等</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C729C3">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批</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573C2D">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p>
        </w:tc>
      </w:tr>
    </w:tbl>
    <w:p w14:paraId="1E814B82">
      <w:pPr>
        <w:pStyle w:val="18"/>
        <w:rPr>
          <w:rFonts w:hint="eastAsia"/>
          <w:color w:val="000000" w:themeColor="text1"/>
          <w:highlight w:val="none"/>
          <w:lang w:val="en-US" w:eastAsia="zh-CN"/>
          <w14:textFill>
            <w14:solidFill>
              <w14:schemeClr w14:val="tx1"/>
            </w14:solidFill>
          </w14:textFill>
        </w:rPr>
      </w:pPr>
    </w:p>
    <w:tbl>
      <w:tblPr>
        <w:tblStyle w:val="47"/>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2089"/>
        <w:gridCol w:w="6069"/>
        <w:gridCol w:w="901"/>
        <w:gridCol w:w="909"/>
      </w:tblGrid>
      <w:tr w14:paraId="723148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60" w:hRule="atLeast"/>
        </w:trPr>
        <w:tc>
          <w:tcPr>
            <w:tcW w:w="5000" w:type="pct"/>
            <w:gridSpan w:val="4"/>
            <w:shd w:val="clear" w:color="auto" w:fill="auto"/>
            <w:vAlign w:val="center"/>
          </w:tcPr>
          <w:p w14:paraId="5539B788">
            <w:pPr>
              <w:jc w:val="center"/>
              <w:rPr>
                <w:rFonts w:hint="eastAsia" w:ascii="仿宋" w:hAnsi="仿宋" w:eastAsia="仿宋" w:cs="仿宋"/>
                <w:b/>
                <w:bCs/>
                <w:i w:val="0"/>
                <w:iCs w:val="0"/>
                <w:color w:val="000000" w:themeColor="text1"/>
                <w:sz w:val="20"/>
                <w:szCs w:val="20"/>
                <w:highlight w:val="none"/>
                <w:u w:val="none"/>
                <w:lang w:val="en-US" w:eastAsia="zh-CN"/>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一、视频监控智能分析系统</w:t>
            </w:r>
            <w:r>
              <w:rPr>
                <w:rStyle w:val="286"/>
                <w:rFonts w:eastAsia="仿宋"/>
                <w:color w:val="000000" w:themeColor="text1"/>
                <w:highlight w:val="none"/>
                <w:lang w:val="en-US" w:eastAsia="zh-CN" w:bidi="ar"/>
                <w14:textFill>
                  <w14:solidFill>
                    <w14:schemeClr w14:val="tx1"/>
                  </w14:solidFill>
                </w14:textFill>
              </w:rPr>
              <w:t>​</w:t>
            </w:r>
          </w:p>
        </w:tc>
      </w:tr>
      <w:tr w14:paraId="65680F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60" w:hRule="atLeast"/>
        </w:trPr>
        <w:tc>
          <w:tcPr>
            <w:tcW w:w="1048" w:type="pct"/>
            <w:shd w:val="clear" w:color="auto" w:fill="auto"/>
            <w:vAlign w:val="center"/>
          </w:tcPr>
          <w:p w14:paraId="224064A0">
            <w:pPr>
              <w:keepNext w:val="0"/>
              <w:keepLines w:val="0"/>
              <w:widowControl/>
              <w:suppressLineNumbers w:val="0"/>
              <w:jc w:val="left"/>
              <w:textAlignment w:val="center"/>
              <w:rPr>
                <w:rFonts w:hint="default"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3044" w:type="pct"/>
            <w:shd w:val="clear" w:color="auto" w:fill="auto"/>
            <w:vAlign w:val="center"/>
          </w:tcPr>
          <w:p w14:paraId="472BDE3D">
            <w:pPr>
              <w:keepNext w:val="0"/>
              <w:keepLines w:val="0"/>
              <w:widowControl/>
              <w:suppressLineNumbers w:val="0"/>
              <w:jc w:val="left"/>
              <w:textAlignment w:val="center"/>
              <w:rPr>
                <w:rFonts w:hint="default"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452" w:type="pct"/>
            <w:shd w:val="clear" w:color="auto" w:fill="auto"/>
            <w:vAlign w:val="center"/>
          </w:tcPr>
          <w:p w14:paraId="42F5B21E">
            <w:pPr>
              <w:jc w:val="center"/>
              <w:rPr>
                <w:rFonts w:hint="eastAsia" w:ascii="仿宋" w:hAnsi="仿宋" w:eastAsia="仿宋" w:cs="仿宋"/>
                <w:b/>
                <w:bCs/>
                <w:i w:val="0"/>
                <w:iCs w:val="0"/>
                <w:color w:val="000000" w:themeColor="text1"/>
                <w:sz w:val="20"/>
                <w:szCs w:val="20"/>
                <w:highlight w:val="none"/>
                <w:u w:val="none"/>
                <w:lang w:val="en-US" w:eastAsia="zh-CN"/>
                <w14:textFill>
                  <w14:solidFill>
                    <w14:schemeClr w14:val="tx1"/>
                  </w14:solidFill>
                </w14:textFill>
              </w:rPr>
            </w:pPr>
            <w:r>
              <w:rPr>
                <w:rFonts w:hint="eastAsia" w:ascii="仿宋" w:hAnsi="仿宋" w:eastAsia="仿宋" w:cs="仿宋"/>
                <w:b/>
                <w:bCs/>
                <w:i w:val="0"/>
                <w:iCs w:val="0"/>
                <w:color w:val="000000" w:themeColor="text1"/>
                <w:sz w:val="20"/>
                <w:szCs w:val="20"/>
                <w:highlight w:val="none"/>
                <w:u w:val="none"/>
                <w:lang w:val="en-US" w:eastAsia="zh-CN"/>
                <w14:textFill>
                  <w14:solidFill>
                    <w14:schemeClr w14:val="tx1"/>
                  </w14:solidFill>
                </w14:textFill>
              </w:rPr>
              <w:t>单位</w:t>
            </w:r>
          </w:p>
        </w:tc>
        <w:tc>
          <w:tcPr>
            <w:tcW w:w="454" w:type="pct"/>
            <w:shd w:val="clear" w:color="auto" w:fill="auto"/>
            <w:vAlign w:val="center"/>
          </w:tcPr>
          <w:p w14:paraId="55C9B400">
            <w:pPr>
              <w:jc w:val="center"/>
              <w:rPr>
                <w:rFonts w:hint="default" w:ascii="仿宋" w:hAnsi="仿宋" w:eastAsia="仿宋" w:cs="仿宋"/>
                <w:b/>
                <w:bCs/>
                <w:i w:val="0"/>
                <w:iCs w:val="0"/>
                <w:color w:val="000000" w:themeColor="text1"/>
                <w:sz w:val="20"/>
                <w:szCs w:val="20"/>
                <w:highlight w:val="none"/>
                <w:u w:val="none"/>
                <w:lang w:val="en-US" w:eastAsia="zh-CN"/>
                <w14:textFill>
                  <w14:solidFill>
                    <w14:schemeClr w14:val="tx1"/>
                  </w14:solidFill>
                </w14:textFill>
              </w:rPr>
            </w:pPr>
            <w:r>
              <w:rPr>
                <w:rFonts w:hint="eastAsia" w:ascii="仿宋" w:hAnsi="仿宋" w:eastAsia="仿宋" w:cs="仿宋"/>
                <w:b/>
                <w:bCs/>
                <w:i w:val="0"/>
                <w:iCs w:val="0"/>
                <w:color w:val="000000" w:themeColor="text1"/>
                <w:sz w:val="20"/>
                <w:szCs w:val="20"/>
                <w:highlight w:val="none"/>
                <w:u w:val="none"/>
                <w:lang w:val="en-US" w:eastAsia="zh-CN"/>
                <w14:textFill>
                  <w14:solidFill>
                    <w14:schemeClr w14:val="tx1"/>
                  </w14:solidFill>
                </w14:textFill>
              </w:rPr>
              <w:t>数量</w:t>
            </w:r>
          </w:p>
        </w:tc>
      </w:tr>
      <w:tr w14:paraId="688B8C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80" w:hRule="atLeast"/>
        </w:trPr>
        <w:tc>
          <w:tcPr>
            <w:tcW w:w="1048" w:type="pct"/>
            <w:vMerge w:val="restart"/>
            <w:shd w:val="clear" w:color="auto" w:fill="auto"/>
            <w:vAlign w:val="center"/>
          </w:tcPr>
          <w:p w14:paraId="66CA652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1.视频联网网关</w:t>
            </w:r>
          </w:p>
        </w:tc>
        <w:tc>
          <w:tcPr>
            <w:tcW w:w="3044" w:type="pct"/>
            <w:shd w:val="clear" w:color="auto" w:fill="auto"/>
            <w:vAlign w:val="center"/>
          </w:tcPr>
          <w:p w14:paraId="3962AE3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1.协议适配：深度适配GB/T28181-2016、ONVIF、主流厂商SDK等，实现新建2.98万路视频流的统一接入与管理。</w:t>
            </w:r>
          </w:p>
        </w:tc>
        <w:tc>
          <w:tcPr>
            <w:tcW w:w="452" w:type="pct"/>
            <w:vMerge w:val="restart"/>
            <w:shd w:val="clear" w:color="auto" w:fill="auto"/>
            <w:vAlign w:val="center"/>
          </w:tcPr>
          <w:p w14:paraId="4A021B1F">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54" w:type="pct"/>
            <w:vMerge w:val="restart"/>
            <w:shd w:val="clear" w:color="auto" w:fill="auto"/>
            <w:vAlign w:val="center"/>
          </w:tcPr>
          <w:p w14:paraId="5FCB637C">
            <w:pPr>
              <w:keepNext w:val="0"/>
              <w:keepLines w:val="0"/>
              <w:widowControl/>
              <w:suppressLineNumbers w:val="0"/>
              <w:jc w:val="center"/>
              <w:textAlignment w:val="center"/>
              <w:rPr>
                <w:rFonts w:hint="default"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2C6ABD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80" w:hRule="atLeast"/>
        </w:trPr>
        <w:tc>
          <w:tcPr>
            <w:tcW w:w="1048" w:type="pct"/>
            <w:vMerge w:val="continue"/>
            <w:shd w:val="clear" w:color="auto" w:fill="auto"/>
            <w:vAlign w:val="center"/>
          </w:tcPr>
          <w:p w14:paraId="27AC917B">
            <w:pPr>
              <w:jc w:val="left"/>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44" w:type="pct"/>
            <w:shd w:val="clear" w:color="auto" w:fill="auto"/>
            <w:vAlign w:val="center"/>
          </w:tcPr>
          <w:p w14:paraId="1FEA588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2.设备全生命周期管理：实现设备自动发现、注册、心跳监测、状态监控（在线、离线、故障）、远程配置（预置位、巡航）、固件升级。</w:t>
            </w:r>
          </w:p>
        </w:tc>
        <w:tc>
          <w:tcPr>
            <w:tcW w:w="452" w:type="pct"/>
            <w:vMerge w:val="continue"/>
            <w:shd w:val="clear" w:color="auto" w:fill="auto"/>
            <w:vAlign w:val="center"/>
          </w:tcPr>
          <w:p w14:paraId="2423152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54" w:type="pct"/>
            <w:vMerge w:val="continue"/>
            <w:shd w:val="clear" w:color="auto" w:fill="auto"/>
            <w:vAlign w:val="center"/>
          </w:tcPr>
          <w:p w14:paraId="2BA5601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C457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040" w:hRule="atLeast"/>
        </w:trPr>
        <w:tc>
          <w:tcPr>
            <w:tcW w:w="1048" w:type="pct"/>
            <w:vMerge w:val="continue"/>
            <w:shd w:val="clear" w:color="auto" w:fill="auto"/>
            <w:vAlign w:val="center"/>
          </w:tcPr>
          <w:p w14:paraId="4218A81C">
            <w:pPr>
              <w:jc w:val="left"/>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44" w:type="pct"/>
            <w:shd w:val="clear" w:color="auto" w:fill="auto"/>
            <w:vAlign w:val="center"/>
          </w:tcPr>
          <w:p w14:paraId="3324D81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3.流媒体服务：支持视频流的接收、转码（H.264/H.265）、分发（RTMP/RTSP/FLV/HLS），满足多路并发预览与回放需求。</w:t>
            </w:r>
          </w:p>
        </w:tc>
        <w:tc>
          <w:tcPr>
            <w:tcW w:w="452" w:type="pct"/>
            <w:vMerge w:val="continue"/>
            <w:shd w:val="clear" w:color="auto" w:fill="auto"/>
            <w:vAlign w:val="center"/>
          </w:tcPr>
          <w:p w14:paraId="535E49C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54" w:type="pct"/>
            <w:vMerge w:val="continue"/>
            <w:shd w:val="clear" w:color="auto" w:fill="auto"/>
            <w:vAlign w:val="center"/>
          </w:tcPr>
          <w:p w14:paraId="217DF18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C7B91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80" w:hRule="atLeast"/>
        </w:trPr>
        <w:tc>
          <w:tcPr>
            <w:tcW w:w="1048" w:type="pct"/>
            <w:vMerge w:val="continue"/>
            <w:shd w:val="clear" w:color="auto" w:fill="auto"/>
            <w:vAlign w:val="center"/>
          </w:tcPr>
          <w:p w14:paraId="7034780E">
            <w:pPr>
              <w:jc w:val="left"/>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44" w:type="pct"/>
            <w:shd w:val="clear" w:color="auto" w:fill="auto"/>
            <w:vAlign w:val="center"/>
          </w:tcPr>
          <w:p w14:paraId="06FBA33A">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4.智能运维：实时监测设备在线率、视频质量（信号丢失、画面冻结、清晰度、亮度异常），并生成运维报告。</w:t>
            </w:r>
          </w:p>
        </w:tc>
        <w:tc>
          <w:tcPr>
            <w:tcW w:w="452" w:type="pct"/>
            <w:vMerge w:val="continue"/>
            <w:shd w:val="clear" w:color="auto" w:fill="auto"/>
            <w:vAlign w:val="center"/>
          </w:tcPr>
          <w:p w14:paraId="4188792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54" w:type="pct"/>
            <w:vMerge w:val="continue"/>
            <w:shd w:val="clear" w:color="auto" w:fill="auto"/>
            <w:vAlign w:val="center"/>
          </w:tcPr>
          <w:p w14:paraId="3F89804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5EB9D3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040" w:hRule="atLeast"/>
        </w:trPr>
        <w:tc>
          <w:tcPr>
            <w:tcW w:w="1048" w:type="pct"/>
            <w:vMerge w:val="restart"/>
            <w:shd w:val="clear" w:color="auto" w:fill="auto"/>
            <w:vAlign w:val="center"/>
          </w:tcPr>
          <w:p w14:paraId="0F64F78A">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2.智能分析引擎</w:t>
            </w:r>
          </w:p>
        </w:tc>
        <w:tc>
          <w:tcPr>
            <w:tcW w:w="3044" w:type="pct"/>
            <w:shd w:val="clear" w:color="auto" w:fill="auto"/>
            <w:vAlign w:val="center"/>
          </w:tcPr>
          <w:p w14:paraId="36114EE3">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1.算法仓库：以容器化方式集成不少于15类AI算法（人脸/车辆识别、区域入侵、人群聚集、烟火检测、渔船识别、占道经营等），实现算法的热插拔、版本管理。</w:t>
            </w:r>
          </w:p>
        </w:tc>
        <w:tc>
          <w:tcPr>
            <w:tcW w:w="452" w:type="pct"/>
            <w:vMerge w:val="restart"/>
            <w:shd w:val="clear" w:color="auto" w:fill="auto"/>
            <w:vAlign w:val="center"/>
          </w:tcPr>
          <w:p w14:paraId="50DE175C">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54" w:type="pct"/>
            <w:vMerge w:val="restart"/>
            <w:shd w:val="clear" w:color="auto" w:fill="auto"/>
            <w:vAlign w:val="center"/>
          </w:tcPr>
          <w:p w14:paraId="7930F6FC">
            <w:pPr>
              <w:keepNext w:val="0"/>
              <w:keepLines w:val="0"/>
              <w:widowControl/>
              <w:suppressLineNumbers w:val="0"/>
              <w:jc w:val="center"/>
              <w:textAlignment w:val="center"/>
              <w:rPr>
                <w:rFonts w:hint="default"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7ECC6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80" w:hRule="atLeast"/>
        </w:trPr>
        <w:tc>
          <w:tcPr>
            <w:tcW w:w="1048" w:type="pct"/>
            <w:vMerge w:val="continue"/>
            <w:shd w:val="clear" w:color="auto" w:fill="auto"/>
            <w:vAlign w:val="center"/>
          </w:tcPr>
          <w:p w14:paraId="356EDD41">
            <w:pPr>
              <w:jc w:val="left"/>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44" w:type="pct"/>
            <w:shd w:val="clear" w:color="auto" w:fill="auto"/>
            <w:vAlign w:val="center"/>
          </w:tcPr>
          <w:p w14:paraId="02C7830A">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2.任务调度中心：支持按点位、时间段创建分析任务，动态调度GPU算力资源，实现分析任务的负载均衡与高可用。</w:t>
            </w:r>
          </w:p>
        </w:tc>
        <w:tc>
          <w:tcPr>
            <w:tcW w:w="452" w:type="pct"/>
            <w:vMerge w:val="continue"/>
            <w:shd w:val="clear" w:color="auto" w:fill="auto"/>
            <w:vAlign w:val="center"/>
          </w:tcPr>
          <w:p w14:paraId="0CD8CA0F">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54" w:type="pct"/>
            <w:vMerge w:val="continue"/>
            <w:shd w:val="clear" w:color="auto" w:fill="auto"/>
            <w:vAlign w:val="center"/>
          </w:tcPr>
          <w:p w14:paraId="0124716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B915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80" w:hRule="atLeast"/>
        </w:trPr>
        <w:tc>
          <w:tcPr>
            <w:tcW w:w="1048" w:type="pct"/>
            <w:vMerge w:val="continue"/>
            <w:shd w:val="clear" w:color="auto" w:fill="auto"/>
            <w:vAlign w:val="center"/>
          </w:tcPr>
          <w:p w14:paraId="16B33D45">
            <w:pPr>
              <w:jc w:val="left"/>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44" w:type="pct"/>
            <w:shd w:val="clear" w:color="auto" w:fill="auto"/>
            <w:vAlign w:val="center"/>
          </w:tcPr>
          <w:p w14:paraId="3E38973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3.分析服务管理：提供算法运行状态监控、分析结果质量评估、性能指标统计（识别率、误报率）。</w:t>
            </w:r>
          </w:p>
        </w:tc>
        <w:tc>
          <w:tcPr>
            <w:tcW w:w="452" w:type="pct"/>
            <w:vMerge w:val="continue"/>
            <w:shd w:val="clear" w:color="auto" w:fill="auto"/>
            <w:vAlign w:val="center"/>
          </w:tcPr>
          <w:p w14:paraId="1DDBF97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54" w:type="pct"/>
            <w:vMerge w:val="continue"/>
            <w:shd w:val="clear" w:color="auto" w:fill="auto"/>
            <w:vAlign w:val="center"/>
          </w:tcPr>
          <w:p w14:paraId="3D42A14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759E9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20" w:hRule="atLeast"/>
        </w:trPr>
        <w:tc>
          <w:tcPr>
            <w:tcW w:w="1048" w:type="pct"/>
            <w:vMerge w:val="continue"/>
            <w:shd w:val="clear" w:color="auto" w:fill="auto"/>
            <w:vAlign w:val="center"/>
          </w:tcPr>
          <w:p w14:paraId="6F4F367A">
            <w:pPr>
              <w:jc w:val="left"/>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44" w:type="pct"/>
            <w:shd w:val="clear" w:color="auto" w:fill="auto"/>
            <w:vAlign w:val="center"/>
          </w:tcPr>
          <w:p w14:paraId="0F2B664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4.数据服务接口：对外提供标准化的结构化数据（图片、目标属性、坐标等）推送服务。</w:t>
            </w:r>
          </w:p>
        </w:tc>
        <w:tc>
          <w:tcPr>
            <w:tcW w:w="452" w:type="pct"/>
            <w:vMerge w:val="continue"/>
            <w:shd w:val="clear" w:color="auto" w:fill="auto"/>
            <w:vAlign w:val="center"/>
          </w:tcPr>
          <w:p w14:paraId="188DE57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54" w:type="pct"/>
            <w:vMerge w:val="continue"/>
            <w:shd w:val="clear" w:color="auto" w:fill="auto"/>
            <w:vAlign w:val="center"/>
          </w:tcPr>
          <w:p w14:paraId="5E9F84A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31CC0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20" w:hRule="atLeast"/>
        </w:trPr>
        <w:tc>
          <w:tcPr>
            <w:tcW w:w="1048" w:type="pct"/>
            <w:vMerge w:val="restart"/>
            <w:shd w:val="clear" w:color="auto" w:fill="auto"/>
            <w:vAlign w:val="center"/>
          </w:tcPr>
          <w:p w14:paraId="3E56363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3.智能事件中心</w:t>
            </w:r>
          </w:p>
        </w:tc>
        <w:tc>
          <w:tcPr>
            <w:tcW w:w="3044" w:type="pct"/>
            <w:shd w:val="clear" w:color="auto" w:fill="auto"/>
            <w:vAlign w:val="center"/>
          </w:tcPr>
          <w:p w14:paraId="50331DA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1.事件标准化：定义统一事件Schema，将不同算法产生的异构告警信息（如违章停车、明火告警）格式化为标准事件。</w:t>
            </w:r>
          </w:p>
        </w:tc>
        <w:tc>
          <w:tcPr>
            <w:tcW w:w="452" w:type="pct"/>
            <w:vMerge w:val="restart"/>
            <w:shd w:val="clear" w:color="auto" w:fill="auto"/>
            <w:vAlign w:val="center"/>
          </w:tcPr>
          <w:p w14:paraId="14D22AF0">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54" w:type="pct"/>
            <w:vMerge w:val="restart"/>
            <w:shd w:val="clear" w:color="auto" w:fill="auto"/>
            <w:vAlign w:val="center"/>
          </w:tcPr>
          <w:p w14:paraId="5659FB04">
            <w:pPr>
              <w:keepNext w:val="0"/>
              <w:keepLines w:val="0"/>
              <w:widowControl/>
              <w:suppressLineNumbers w:val="0"/>
              <w:jc w:val="center"/>
              <w:textAlignment w:val="center"/>
              <w:rPr>
                <w:rFonts w:hint="default"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132C8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80" w:hRule="atLeast"/>
        </w:trPr>
        <w:tc>
          <w:tcPr>
            <w:tcW w:w="1048" w:type="pct"/>
            <w:vMerge w:val="continue"/>
            <w:shd w:val="clear" w:color="auto" w:fill="auto"/>
            <w:vAlign w:val="center"/>
          </w:tcPr>
          <w:p w14:paraId="779DE2DB">
            <w:pPr>
              <w:jc w:val="left"/>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44" w:type="pct"/>
            <w:shd w:val="clear" w:color="auto" w:fill="auto"/>
            <w:vAlign w:val="center"/>
          </w:tcPr>
          <w:p w14:paraId="198B610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2.规则引擎：支持基于时间、地点、事件类型、置信度等条件配置复杂告警规则，实现告警去重、升级、抑制。</w:t>
            </w:r>
          </w:p>
        </w:tc>
        <w:tc>
          <w:tcPr>
            <w:tcW w:w="452" w:type="pct"/>
            <w:vMerge w:val="continue"/>
            <w:shd w:val="clear" w:color="auto" w:fill="auto"/>
            <w:vAlign w:val="center"/>
          </w:tcPr>
          <w:p w14:paraId="6FD5B8D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54" w:type="pct"/>
            <w:vMerge w:val="continue"/>
            <w:shd w:val="clear" w:color="auto" w:fill="auto"/>
            <w:vAlign w:val="center"/>
          </w:tcPr>
          <w:p w14:paraId="0EDD8C1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742ECD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60" w:hRule="atLeast"/>
        </w:trPr>
        <w:tc>
          <w:tcPr>
            <w:tcW w:w="1048" w:type="pct"/>
            <w:vMerge w:val="continue"/>
            <w:shd w:val="clear" w:color="auto" w:fill="auto"/>
            <w:vAlign w:val="center"/>
          </w:tcPr>
          <w:p w14:paraId="56BEDB82">
            <w:pPr>
              <w:jc w:val="left"/>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44" w:type="pct"/>
            <w:shd w:val="clear" w:color="auto" w:fill="auto"/>
            <w:vAlign w:val="center"/>
          </w:tcPr>
          <w:p w14:paraId="79BAE11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3.事件分发与闭环：通过消息中间件（如Kafka）将事件实时推送至12345、数字城管、应急指挥等业务系统，并跟踪事件处置状态，形成闭环。</w:t>
            </w:r>
          </w:p>
        </w:tc>
        <w:tc>
          <w:tcPr>
            <w:tcW w:w="452" w:type="pct"/>
            <w:vMerge w:val="continue"/>
            <w:shd w:val="clear" w:color="auto" w:fill="auto"/>
            <w:vAlign w:val="center"/>
          </w:tcPr>
          <w:p w14:paraId="5E26ACF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54" w:type="pct"/>
            <w:vMerge w:val="continue"/>
            <w:shd w:val="clear" w:color="auto" w:fill="auto"/>
            <w:vAlign w:val="center"/>
          </w:tcPr>
          <w:p w14:paraId="0D81236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3AD92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80" w:hRule="atLeast"/>
        </w:trPr>
        <w:tc>
          <w:tcPr>
            <w:tcW w:w="1048" w:type="pct"/>
            <w:vMerge w:val="continue"/>
            <w:shd w:val="clear" w:color="auto" w:fill="auto"/>
            <w:vAlign w:val="center"/>
          </w:tcPr>
          <w:p w14:paraId="04B13EAC">
            <w:pPr>
              <w:jc w:val="left"/>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44" w:type="pct"/>
            <w:shd w:val="clear" w:color="auto" w:fill="auto"/>
            <w:vAlign w:val="center"/>
          </w:tcPr>
          <w:p w14:paraId="44926D9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4.事件可视化：在地图上实时展示事件分布、动态，支持历史事件查询与统计。</w:t>
            </w:r>
          </w:p>
        </w:tc>
        <w:tc>
          <w:tcPr>
            <w:tcW w:w="452" w:type="pct"/>
            <w:vMerge w:val="continue"/>
            <w:shd w:val="clear" w:color="auto" w:fill="auto"/>
            <w:vAlign w:val="center"/>
          </w:tcPr>
          <w:p w14:paraId="7BC8DF2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54" w:type="pct"/>
            <w:vMerge w:val="continue"/>
            <w:shd w:val="clear" w:color="auto" w:fill="auto"/>
            <w:vAlign w:val="center"/>
          </w:tcPr>
          <w:p w14:paraId="2B5A4A9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765D9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20" w:hRule="atLeast"/>
        </w:trPr>
        <w:tc>
          <w:tcPr>
            <w:tcW w:w="1048" w:type="pct"/>
            <w:vMerge w:val="restart"/>
            <w:shd w:val="clear" w:color="auto" w:fill="auto"/>
            <w:vAlign w:val="center"/>
          </w:tcPr>
          <w:p w14:paraId="0EB57CA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4.API服务网关</w:t>
            </w:r>
          </w:p>
        </w:tc>
        <w:tc>
          <w:tcPr>
            <w:tcW w:w="3044" w:type="pct"/>
            <w:shd w:val="clear" w:color="auto" w:fill="auto"/>
            <w:vAlign w:val="center"/>
          </w:tcPr>
          <w:p w14:paraId="2CCC8CE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1.服务聚合：聚合视频预览、录像回放（按时间/事件）、云台控制、事件订阅、设备状态查询等核心能力。</w:t>
            </w:r>
          </w:p>
        </w:tc>
        <w:tc>
          <w:tcPr>
            <w:tcW w:w="452" w:type="pct"/>
            <w:vMerge w:val="restart"/>
            <w:shd w:val="clear" w:color="auto" w:fill="auto"/>
            <w:vAlign w:val="center"/>
          </w:tcPr>
          <w:p w14:paraId="749FCF45">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54" w:type="pct"/>
            <w:vMerge w:val="continue"/>
            <w:shd w:val="clear" w:color="auto" w:fill="auto"/>
            <w:vAlign w:val="center"/>
          </w:tcPr>
          <w:p w14:paraId="56D701B8">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p>
        </w:tc>
      </w:tr>
      <w:tr w14:paraId="454F92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20" w:hRule="atLeast"/>
        </w:trPr>
        <w:tc>
          <w:tcPr>
            <w:tcW w:w="1048" w:type="pct"/>
            <w:vMerge w:val="continue"/>
            <w:shd w:val="clear" w:color="auto" w:fill="auto"/>
            <w:vAlign w:val="center"/>
          </w:tcPr>
          <w:p w14:paraId="5D23A31F">
            <w:pPr>
              <w:jc w:val="left"/>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44" w:type="pct"/>
            <w:shd w:val="clear" w:color="auto" w:fill="auto"/>
            <w:vAlign w:val="center"/>
          </w:tcPr>
          <w:p w14:paraId="4126D4F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2.身份鉴权与授权：集成统一身份认证，实现API访问的密钥管理、权限控制、IP白名单等功能。</w:t>
            </w:r>
          </w:p>
        </w:tc>
        <w:tc>
          <w:tcPr>
            <w:tcW w:w="452" w:type="pct"/>
            <w:vMerge w:val="continue"/>
            <w:shd w:val="clear" w:color="auto" w:fill="auto"/>
            <w:vAlign w:val="center"/>
          </w:tcPr>
          <w:p w14:paraId="705F518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54" w:type="pct"/>
            <w:vMerge w:val="continue"/>
            <w:shd w:val="clear" w:color="auto" w:fill="auto"/>
            <w:vAlign w:val="center"/>
          </w:tcPr>
          <w:p w14:paraId="5B8FF24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4E449B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20" w:hRule="atLeast"/>
        </w:trPr>
        <w:tc>
          <w:tcPr>
            <w:tcW w:w="1048" w:type="pct"/>
            <w:vMerge w:val="continue"/>
            <w:shd w:val="clear" w:color="auto" w:fill="auto"/>
            <w:vAlign w:val="center"/>
          </w:tcPr>
          <w:p w14:paraId="369EB819">
            <w:pPr>
              <w:jc w:val="left"/>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44" w:type="pct"/>
            <w:shd w:val="clear" w:color="auto" w:fill="auto"/>
            <w:vAlign w:val="center"/>
          </w:tcPr>
          <w:p w14:paraId="2D66013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3.流量控制与监控：实现API调用频次、并发数的精细化管理，实时监控API健康状况、性能指标与调用日志。</w:t>
            </w:r>
          </w:p>
        </w:tc>
        <w:tc>
          <w:tcPr>
            <w:tcW w:w="452" w:type="pct"/>
            <w:vMerge w:val="continue"/>
            <w:shd w:val="clear" w:color="auto" w:fill="auto"/>
            <w:vAlign w:val="center"/>
          </w:tcPr>
          <w:p w14:paraId="13FF2EA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54" w:type="pct"/>
            <w:vMerge w:val="continue"/>
            <w:shd w:val="clear" w:color="auto" w:fill="auto"/>
            <w:vAlign w:val="center"/>
          </w:tcPr>
          <w:p w14:paraId="56C0287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bl>
    <w:p w14:paraId="3B9450E3">
      <w:pPr>
        <w:keepNext w:val="0"/>
        <w:keepLines w:val="0"/>
        <w:widowControl/>
        <w:numPr>
          <w:ilvl w:val="0"/>
          <w:numId w:val="4"/>
        </w:numPr>
        <w:suppressLineNumbers w:val="0"/>
        <w:spacing w:before="0" w:beforeAutospacing="0" w:after="0" w:afterAutospacing="0" w:line="240" w:lineRule="auto"/>
        <w:ind w:left="0" w:leftChars="0" w:right="0" w:rightChars="0"/>
        <w:jc w:val="both"/>
        <w:outlineLvl w:val="1"/>
        <w:rPr>
          <w:rFonts w:hint="eastAsia" w:ascii="仿宋_GB2312" w:eastAsia="仿宋_GB2312"/>
          <w:color w:val="000000" w:themeColor="text1"/>
          <w:sz w:val="28"/>
          <w:szCs w:val="28"/>
          <w:highlight w:val="none"/>
          <w:lang w:val="en-US" w:eastAsia="zh-CN"/>
          <w14:textFill>
            <w14:solidFill>
              <w14:schemeClr w14:val="tx1"/>
            </w14:solidFill>
          </w14:textFill>
        </w:rPr>
      </w:pPr>
      <w:r>
        <w:rPr>
          <w:rFonts w:hint="eastAsia" w:ascii="仿宋" w:hAnsi="仿宋" w:eastAsia="仿宋" w:cs="仿宋"/>
          <w:b/>
          <w:bCs/>
          <w:i w:val="0"/>
          <w:strike w:val="0"/>
          <w:color w:val="000000" w:themeColor="text1"/>
          <w:kern w:val="0"/>
          <w:sz w:val="28"/>
          <w:szCs w:val="16"/>
          <w:highlight w:val="none"/>
          <w:u w:val="none"/>
          <w:lang w:val="en-US" w:eastAsia="zh-CN" w:bidi="ar"/>
          <w14:textFill>
            <w14:solidFill>
              <w14:schemeClr w14:val="tx1"/>
            </w14:solidFill>
          </w14:textFill>
        </w:rPr>
        <w:t>一体化大数据平台</w:t>
      </w:r>
    </w:p>
    <w:tbl>
      <w:tblPr>
        <w:tblStyle w:val="47"/>
        <w:tblW w:w="9872"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60"/>
        <w:gridCol w:w="1065"/>
        <w:gridCol w:w="1011"/>
        <w:gridCol w:w="1196"/>
        <w:gridCol w:w="4124"/>
        <w:gridCol w:w="917"/>
        <w:gridCol w:w="899"/>
      </w:tblGrid>
      <w:tr w14:paraId="1A9EF12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53" w:hRule="atLeast"/>
        </w:trPr>
        <w:tc>
          <w:tcPr>
            <w:tcW w:w="660" w:type="dxa"/>
            <w:tcBorders>
              <w:top w:val="single" w:color="000000" w:sz="4" w:space="0"/>
              <w:left w:val="single" w:color="000000" w:sz="4" w:space="0"/>
              <w:bottom w:val="single" w:color="000000" w:sz="4" w:space="0"/>
              <w:right w:val="single" w:color="000000" w:sz="4" w:space="0"/>
            </w:tcBorders>
            <w:shd w:val="clear" w:color="auto" w:fill="BFBFBF"/>
            <w:vAlign w:val="center"/>
          </w:tcPr>
          <w:p w14:paraId="513C4EDA">
            <w:pPr>
              <w:keepNext w:val="0"/>
              <w:keepLines w:val="0"/>
              <w:widowControl/>
              <w:suppressLineNumbers w:val="0"/>
              <w:jc w:val="center"/>
              <w:textAlignment w:val="center"/>
              <w:rPr>
                <w:rFonts w:hint="eastAsia" w:ascii="仿宋" w:hAnsi="仿宋" w:eastAsia="仿宋" w:cs="仿宋"/>
                <w:b/>
                <w:bCs/>
                <w:i w:val="0"/>
                <w:iCs w:val="0"/>
                <w:color w:val="000000" w:themeColor="text1"/>
                <w:kern w:val="2"/>
                <w:sz w:val="22"/>
                <w:szCs w:val="22"/>
                <w:highlight w:val="none"/>
                <w:u w:val="none"/>
                <w:lang w:val="en-US" w:eastAsia="zh-CN" w:bidi="ar-SA"/>
                <w14:textFill>
                  <w14:solidFill>
                    <w14:schemeClr w14:val="tx1"/>
                  </w14:solidFill>
                </w14:textFill>
              </w:rPr>
            </w:pPr>
            <w: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t>序号</w:t>
            </w:r>
          </w:p>
        </w:tc>
        <w:tc>
          <w:tcPr>
            <w:tcW w:w="1065" w:type="dxa"/>
            <w:tcBorders>
              <w:top w:val="single" w:color="000000" w:sz="4" w:space="0"/>
              <w:left w:val="single" w:color="000000" w:sz="4" w:space="0"/>
              <w:bottom w:val="single" w:color="000000" w:sz="4" w:space="0"/>
              <w:right w:val="single" w:color="000000" w:sz="4" w:space="0"/>
            </w:tcBorders>
            <w:shd w:val="clear" w:color="auto" w:fill="BFBFBF"/>
            <w:vAlign w:val="center"/>
          </w:tcPr>
          <w:p w14:paraId="4BE3393B">
            <w:pPr>
              <w:keepNext w:val="0"/>
              <w:keepLines w:val="0"/>
              <w:widowControl/>
              <w:suppressLineNumbers w:val="0"/>
              <w:jc w:val="center"/>
              <w:textAlignment w:val="center"/>
              <w:rPr>
                <w:rFonts w:hint="eastAsia" w:ascii="仿宋" w:hAnsi="仿宋" w:eastAsia="仿宋" w:cs="仿宋"/>
                <w:b/>
                <w:bCs/>
                <w:i w:val="0"/>
                <w:iCs w:val="0"/>
                <w:color w:val="000000" w:themeColor="text1"/>
                <w:kern w:val="2"/>
                <w:sz w:val="22"/>
                <w:szCs w:val="22"/>
                <w:highlight w:val="none"/>
                <w:u w:val="none"/>
                <w:lang w:val="en-US" w:eastAsia="zh-CN" w:bidi="ar-SA"/>
                <w14:textFill>
                  <w14:solidFill>
                    <w14:schemeClr w14:val="tx1"/>
                  </w14:solidFill>
                </w14:textFill>
              </w:rPr>
            </w:pPr>
            <w: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t>系统名称</w:t>
            </w:r>
          </w:p>
        </w:tc>
        <w:tc>
          <w:tcPr>
            <w:tcW w:w="1011" w:type="dxa"/>
            <w:tcBorders>
              <w:top w:val="single" w:color="000000" w:sz="4" w:space="0"/>
              <w:left w:val="single" w:color="000000" w:sz="4" w:space="0"/>
              <w:bottom w:val="single" w:color="000000" w:sz="4" w:space="0"/>
              <w:right w:val="single" w:color="000000" w:sz="4" w:space="0"/>
            </w:tcBorders>
            <w:shd w:val="clear" w:color="auto" w:fill="BFBFBF"/>
            <w:vAlign w:val="center"/>
          </w:tcPr>
          <w:p w14:paraId="4C2458EA">
            <w:pPr>
              <w:keepNext w:val="0"/>
              <w:keepLines w:val="0"/>
              <w:widowControl/>
              <w:suppressLineNumbers w:val="0"/>
              <w:jc w:val="center"/>
              <w:textAlignment w:val="center"/>
              <w:rPr>
                <w:rFonts w:hint="eastAsia" w:ascii="仿宋" w:hAnsi="仿宋" w:eastAsia="仿宋" w:cs="仿宋"/>
                <w:b/>
                <w:bCs/>
                <w:i w:val="0"/>
                <w:iCs w:val="0"/>
                <w:color w:val="000000" w:themeColor="text1"/>
                <w:kern w:val="2"/>
                <w:sz w:val="22"/>
                <w:szCs w:val="22"/>
                <w:highlight w:val="none"/>
                <w:u w:val="none"/>
                <w:lang w:val="en-US" w:eastAsia="zh-CN" w:bidi="ar-SA"/>
                <w14:textFill>
                  <w14:solidFill>
                    <w14:schemeClr w14:val="tx1"/>
                  </w14:solidFill>
                </w14:textFill>
              </w:rPr>
            </w:pPr>
            <w: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t>产品类型</w:t>
            </w:r>
          </w:p>
        </w:tc>
        <w:tc>
          <w:tcPr>
            <w:tcW w:w="1196" w:type="dxa"/>
            <w:tcBorders>
              <w:top w:val="single" w:color="000000" w:sz="4" w:space="0"/>
              <w:left w:val="single" w:color="000000" w:sz="4" w:space="0"/>
              <w:bottom w:val="single" w:color="000000" w:sz="4" w:space="0"/>
              <w:right w:val="single" w:color="000000" w:sz="4" w:space="0"/>
            </w:tcBorders>
            <w:shd w:val="clear" w:color="auto" w:fill="BFBFBF"/>
            <w:vAlign w:val="center"/>
          </w:tcPr>
          <w:p w14:paraId="2B87296E">
            <w:pPr>
              <w:keepNext w:val="0"/>
              <w:keepLines w:val="0"/>
              <w:widowControl/>
              <w:suppressLineNumbers w:val="0"/>
              <w:jc w:val="center"/>
              <w:textAlignment w:val="center"/>
              <w:rPr>
                <w:rFonts w:hint="eastAsia" w:ascii="仿宋" w:hAnsi="仿宋" w:eastAsia="仿宋" w:cs="仿宋"/>
                <w:b/>
                <w:bCs/>
                <w:i w:val="0"/>
                <w:iCs w:val="0"/>
                <w:color w:val="000000" w:themeColor="text1"/>
                <w:kern w:val="2"/>
                <w:sz w:val="22"/>
                <w:szCs w:val="22"/>
                <w:highlight w:val="none"/>
                <w:u w:val="none"/>
                <w:lang w:val="en-US" w:eastAsia="zh-CN" w:bidi="ar-SA"/>
                <w14:textFill>
                  <w14:solidFill>
                    <w14:schemeClr w14:val="tx1"/>
                  </w14:solidFill>
                </w14:textFill>
              </w:rPr>
            </w:pPr>
            <w: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t>产品名称</w:t>
            </w:r>
          </w:p>
        </w:tc>
        <w:tc>
          <w:tcPr>
            <w:tcW w:w="4124" w:type="dxa"/>
            <w:tcBorders>
              <w:top w:val="single" w:color="000000" w:sz="4" w:space="0"/>
              <w:left w:val="single" w:color="000000" w:sz="4" w:space="0"/>
              <w:bottom w:val="single" w:color="000000" w:sz="4" w:space="0"/>
              <w:right w:val="single" w:color="000000" w:sz="4" w:space="0"/>
            </w:tcBorders>
            <w:shd w:val="clear" w:color="auto" w:fill="BFBFBF"/>
            <w:vAlign w:val="center"/>
          </w:tcPr>
          <w:p w14:paraId="745424FE">
            <w:pPr>
              <w:keepNext w:val="0"/>
              <w:keepLines w:val="0"/>
              <w:widowControl/>
              <w:suppressLineNumbers w:val="0"/>
              <w:jc w:val="left"/>
              <w:textAlignment w:val="center"/>
              <w:rPr>
                <w:rFonts w:hint="eastAsia" w:ascii="仿宋" w:hAnsi="仿宋" w:eastAsia="仿宋" w:cs="仿宋"/>
                <w:b/>
                <w:bCs/>
                <w:i w:val="0"/>
                <w:iCs w:val="0"/>
                <w:color w:val="000000" w:themeColor="text1"/>
                <w:kern w:val="2"/>
                <w:sz w:val="22"/>
                <w:szCs w:val="22"/>
                <w:highlight w:val="none"/>
                <w:u w:val="none"/>
                <w:lang w:val="en-US" w:eastAsia="zh-CN" w:bidi="ar-SA"/>
                <w14:textFill>
                  <w14:solidFill>
                    <w14:schemeClr w14:val="tx1"/>
                  </w14:solidFill>
                </w14:textFill>
              </w:rPr>
            </w:pPr>
            <w: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t>功能/参数</w:t>
            </w:r>
          </w:p>
        </w:tc>
        <w:tc>
          <w:tcPr>
            <w:tcW w:w="917" w:type="dxa"/>
            <w:tcBorders>
              <w:top w:val="single" w:color="000000" w:sz="4" w:space="0"/>
              <w:left w:val="single" w:color="000000" w:sz="4" w:space="0"/>
              <w:bottom w:val="single" w:color="000000" w:sz="4" w:space="0"/>
              <w:right w:val="single" w:color="000000" w:sz="4" w:space="0"/>
            </w:tcBorders>
            <w:shd w:val="clear" w:color="auto" w:fill="BFBFBF"/>
            <w:noWrap/>
            <w:vAlign w:val="center"/>
          </w:tcPr>
          <w:p w14:paraId="4202ADE5">
            <w:pPr>
              <w:keepNext w:val="0"/>
              <w:keepLines w:val="0"/>
              <w:widowControl/>
              <w:suppressLineNumbers w:val="0"/>
              <w:jc w:val="center"/>
              <w:textAlignment w:val="center"/>
              <w:rPr>
                <w:rFonts w:hint="eastAsia" w:ascii="仿宋" w:hAnsi="仿宋" w:eastAsia="仿宋" w:cs="仿宋"/>
                <w:b/>
                <w:bCs/>
                <w:i w:val="0"/>
                <w:iCs w:val="0"/>
                <w:color w:val="000000" w:themeColor="text1"/>
                <w:kern w:val="2"/>
                <w:sz w:val="22"/>
                <w:szCs w:val="22"/>
                <w:highlight w:val="none"/>
                <w:u w:val="none"/>
                <w:lang w:val="en-US" w:eastAsia="zh-CN" w:bidi="ar-SA"/>
                <w14:textFill>
                  <w14:solidFill>
                    <w14:schemeClr w14:val="tx1"/>
                  </w14:solidFill>
                </w14:textFill>
              </w:rPr>
            </w:pPr>
            <w: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t>单位</w:t>
            </w:r>
          </w:p>
        </w:tc>
        <w:tc>
          <w:tcPr>
            <w:tcW w:w="899" w:type="dxa"/>
            <w:tcBorders>
              <w:top w:val="single" w:color="000000" w:sz="4" w:space="0"/>
              <w:left w:val="single" w:color="000000" w:sz="4" w:space="0"/>
              <w:bottom w:val="single" w:color="000000" w:sz="4" w:space="0"/>
              <w:right w:val="single" w:color="000000" w:sz="4" w:space="0"/>
            </w:tcBorders>
            <w:shd w:val="clear" w:color="auto" w:fill="BFBFBF"/>
            <w:noWrap/>
            <w:vAlign w:val="center"/>
          </w:tcPr>
          <w:p w14:paraId="5AE9C2FA">
            <w:pPr>
              <w:keepNext w:val="0"/>
              <w:keepLines w:val="0"/>
              <w:widowControl/>
              <w:suppressLineNumbers w:val="0"/>
              <w:jc w:val="center"/>
              <w:textAlignment w:val="cente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t>数量</w:t>
            </w:r>
          </w:p>
        </w:tc>
      </w:tr>
      <w:tr w14:paraId="542302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00" w:hRule="atLeast"/>
        </w:trPr>
        <w:tc>
          <w:tcPr>
            <w:tcW w:w="6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DAA447A">
            <w:pPr>
              <w:keepNext w:val="0"/>
              <w:keepLines w:val="0"/>
              <w:widowControl/>
              <w:suppressLineNumbers w:val="0"/>
              <w:jc w:val="center"/>
              <w:textAlignment w:val="center"/>
              <w:rPr>
                <w:rFonts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w:t>
            </w:r>
          </w:p>
        </w:tc>
        <w:tc>
          <w:tcPr>
            <w:tcW w:w="106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6094062">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企业一体化服务平台</w:t>
            </w:r>
          </w:p>
        </w:tc>
        <w:tc>
          <w:tcPr>
            <w:tcW w:w="10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29C5DB">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资产信息采集设备</w:t>
            </w:r>
          </w:p>
        </w:tc>
        <w:tc>
          <w:tcPr>
            <w:tcW w:w="1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BBF952">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高拍仪</w:t>
            </w:r>
          </w:p>
        </w:tc>
        <w:tc>
          <w:tcPr>
            <w:tcW w:w="41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C670B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扫描幅面: A4</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分辨率: ≥500万像素</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功能:文档、实物、身份证扫描，自带补光灯</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输出格式: PDF/JPG</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接口: USB 3.0</w:t>
            </w:r>
          </w:p>
        </w:tc>
        <w:tc>
          <w:tcPr>
            <w:tcW w:w="9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ADE65C">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个</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0516F5">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5</w:t>
            </w:r>
          </w:p>
        </w:tc>
      </w:tr>
      <w:tr w14:paraId="0483D5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E2661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99526F">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1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420F6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输出与展示设备</w:t>
            </w:r>
          </w:p>
        </w:tc>
        <w:tc>
          <w:tcPr>
            <w:tcW w:w="1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2B923B">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电视</w:t>
            </w:r>
          </w:p>
        </w:tc>
        <w:tc>
          <w:tcPr>
            <w:tcW w:w="41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F9C8F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尺寸: 65英寸/75英寸</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分辨率: 4K UHD (3840×2160)</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系统: 智能电视系统</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接口: HDMI×3, USB×2</w:t>
            </w:r>
          </w:p>
        </w:tc>
        <w:tc>
          <w:tcPr>
            <w:tcW w:w="9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254FAF">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个</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75D191">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028F62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00" w:hRule="atLeast"/>
        </w:trPr>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B0E83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2D921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37629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395B91">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电子屏</w:t>
            </w:r>
          </w:p>
        </w:tc>
        <w:tc>
          <w:tcPr>
            <w:tcW w:w="41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46804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Style w:val="284"/>
                <w:color w:val="000000" w:themeColor="text1"/>
                <w:highlight w:val="none"/>
                <w:lang w:val="en-US" w:eastAsia="zh-CN" w:bidi="ar"/>
                <w14:textFill>
                  <w14:solidFill>
                    <w14:schemeClr w14:val="tx1"/>
                  </w14:solidFill>
                </w14:textFill>
              </w:rPr>
              <w:t>类型: 室内全彩LED显示屏</w:t>
            </w:r>
            <w:r>
              <w:rPr>
                <w:rStyle w:val="284"/>
                <w:color w:val="000000" w:themeColor="text1"/>
                <w:highlight w:val="none"/>
                <w:lang w:val="en-US" w:eastAsia="zh-CN" w:bidi="ar"/>
                <w14:textFill>
                  <w14:solidFill>
                    <w14:schemeClr w14:val="tx1"/>
                  </w14:solidFill>
                </w14:textFill>
              </w:rPr>
              <w:br w:type="textWrapping"/>
            </w:r>
            <w:r>
              <w:rPr>
                <w:rStyle w:val="284"/>
                <w:color w:val="000000" w:themeColor="text1"/>
                <w:highlight w:val="none"/>
                <w:lang w:val="en-US" w:eastAsia="zh-CN" w:bidi="ar"/>
                <w14:textFill>
                  <w14:solidFill>
                    <w14:schemeClr w14:val="tx1"/>
                  </w14:solidFill>
                </w14:textFill>
              </w:rPr>
              <w:t>像素间距: P2-P3</w:t>
            </w:r>
            <w:r>
              <w:rPr>
                <w:rStyle w:val="284"/>
                <w:color w:val="000000" w:themeColor="text1"/>
                <w:highlight w:val="none"/>
                <w:lang w:val="en-US" w:eastAsia="zh-CN" w:bidi="ar"/>
                <w14:textFill>
                  <w14:solidFill>
                    <w14:schemeClr w14:val="tx1"/>
                  </w14:solidFill>
                </w14:textFill>
              </w:rPr>
              <w:br w:type="textWrapping"/>
            </w:r>
            <w:r>
              <w:rPr>
                <w:rStyle w:val="284"/>
                <w:color w:val="000000" w:themeColor="text1"/>
                <w:highlight w:val="none"/>
                <w:lang w:val="en-US" w:eastAsia="zh-CN" w:bidi="ar"/>
                <w14:textFill>
                  <w14:solidFill>
                    <w14:schemeClr w14:val="tx1"/>
                  </w14:solidFill>
                </w14:textFill>
              </w:rPr>
              <w:t>面积: 约4-6㎡（根据墙面定制）</w:t>
            </w:r>
            <w:r>
              <w:rPr>
                <w:rStyle w:val="284"/>
                <w:color w:val="000000" w:themeColor="text1"/>
                <w:highlight w:val="none"/>
                <w:lang w:val="en-US" w:eastAsia="zh-CN" w:bidi="ar"/>
                <w14:textFill>
                  <w14:solidFill>
                    <w14:schemeClr w14:val="tx1"/>
                  </w14:solidFill>
                </w14:textFill>
              </w:rPr>
              <w:br w:type="textWrapping"/>
            </w:r>
            <w:r>
              <w:rPr>
                <w:rStyle w:val="284"/>
                <w:color w:val="000000" w:themeColor="text1"/>
                <w:highlight w:val="none"/>
                <w:lang w:val="en-US" w:eastAsia="zh-CN" w:bidi="ar"/>
                <w14:textFill>
                  <w14:solidFill>
                    <w14:schemeClr w14:val="tx1"/>
                  </w14:solidFill>
                </w14:textFill>
              </w:rPr>
              <w:t>亮度: ≥600 cd/m</w:t>
            </w:r>
            <w:r>
              <w:rPr>
                <w:rFonts w:hint="eastAsia" w:ascii="宋体" w:hAnsi="宋体" w:eastAsia="宋体" w:cs="宋体"/>
                <w:i w:val="0"/>
                <w:iCs w:val="0"/>
                <w:color w:val="000000" w:themeColor="text1"/>
                <w:kern w:val="0"/>
                <w:sz w:val="20"/>
                <w:szCs w:val="20"/>
                <w:highlight w:val="none"/>
                <w:u w:val="none"/>
                <w:lang w:val="en-US" w:eastAsia="zh-CN" w:bidi="ar"/>
                <w14:textFill>
                  <w14:solidFill>
                    <w14:schemeClr w14:val="tx1"/>
                  </w14:solidFill>
                </w14:textFill>
              </w:rPr>
              <w:t>²</w:t>
            </w:r>
            <w:r>
              <w:rPr>
                <w:rStyle w:val="284"/>
                <w:color w:val="000000" w:themeColor="text1"/>
                <w:highlight w:val="none"/>
                <w:lang w:val="en-US" w:eastAsia="zh-CN" w:bidi="ar"/>
                <w14:textFill>
                  <w14:solidFill>
                    <w14:schemeClr w14:val="tx1"/>
                  </w14:solidFill>
                </w14:textFill>
              </w:rPr>
              <w:br w:type="textWrapping"/>
            </w:r>
            <w:r>
              <w:rPr>
                <w:rStyle w:val="284"/>
                <w:color w:val="000000" w:themeColor="text1"/>
                <w:highlight w:val="none"/>
                <w:lang w:val="en-US" w:eastAsia="zh-CN" w:bidi="ar"/>
                <w14:textFill>
                  <w14:solidFill>
                    <w14:schemeClr w14:val="tx1"/>
                  </w14:solidFill>
                </w14:textFill>
              </w:rPr>
              <w:t>控制系统: 含发送卡、接收卡、控制软件</w:t>
            </w:r>
          </w:p>
        </w:tc>
        <w:tc>
          <w:tcPr>
            <w:tcW w:w="9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C2B4D8">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个</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7CE7CD">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32EFD9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60" w:hRule="atLeast"/>
        </w:trPr>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9C1DD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8ECF1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327B0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7AD9A9">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台式电脑</w:t>
            </w:r>
          </w:p>
        </w:tc>
        <w:tc>
          <w:tcPr>
            <w:tcW w:w="41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A5190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CPU: 8核心处理器</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内存: 16GB DDR4</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硬盘: 512GB NVMe SSD (系统) + 1TB HDD (数据)</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显卡: 集成显卡或入门级独显</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网络: 千兆网卡，支持Wi-Fi 6</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系统: 正版Windows 11/专业版Linux</w:t>
            </w:r>
          </w:p>
        </w:tc>
        <w:tc>
          <w:tcPr>
            <w:tcW w:w="9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998DA9">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台</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9025D6">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12</w:t>
            </w:r>
          </w:p>
        </w:tc>
      </w:tr>
      <w:tr w14:paraId="5351F6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60" w:hRule="atLeast"/>
        </w:trPr>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1487A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89C89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3FACC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2E059F">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A3打印复印机</w:t>
            </w:r>
          </w:p>
        </w:tc>
        <w:tc>
          <w:tcPr>
            <w:tcW w:w="41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44BF35">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类型: 数码复合机</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功能: 打印/复印/扫描/传真</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速度: ≥30页/分钟(A4)</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分辨率: 1200×1200 dpi</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纸张: 支持A3-A5，双面自动</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连接: 有线网络/USB/无线打印</w:t>
            </w:r>
          </w:p>
        </w:tc>
        <w:tc>
          <w:tcPr>
            <w:tcW w:w="9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8DAF24">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台</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CAB24A">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w:t>
            </w:r>
          </w:p>
        </w:tc>
      </w:tr>
      <w:tr w14:paraId="3DF534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60" w:hRule="atLeast"/>
        </w:trPr>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9E725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C99E0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86DEA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9B6335">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打印机</w:t>
            </w:r>
          </w:p>
        </w:tc>
        <w:tc>
          <w:tcPr>
            <w:tcW w:w="41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3A16F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类型: 黑白激光打印机</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功能: 打印</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速度: ≥20页/分钟</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分辨率: 1200×1200 dpi</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纸张: 支持A4，双面打印</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连接: USB/有线网络</w:t>
            </w:r>
          </w:p>
        </w:tc>
        <w:tc>
          <w:tcPr>
            <w:tcW w:w="9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5C0EB0">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台</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437F3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4</w:t>
            </w:r>
          </w:p>
        </w:tc>
      </w:tr>
      <w:tr w14:paraId="6E7A1B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60" w:hRule="atLeast"/>
        </w:trPr>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547D5F">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567F6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E9B86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EAA8C7">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监控1批</w:t>
            </w:r>
          </w:p>
        </w:tc>
        <w:tc>
          <w:tcPr>
            <w:tcW w:w="41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BF6AE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摄像机: 200万像素半球型或筒型，支持H.265，红外夜视≥30米，IP67</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录像机: 8路/16路网络硬盘录像机，支持4K解码</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硬盘: 监控级硬盘，4TB/块，按存储30天配置</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交换机: 8口/16口千兆PoE交换机</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辅材: 网线、电源、立杆/支架等</w:t>
            </w:r>
          </w:p>
        </w:tc>
        <w:tc>
          <w:tcPr>
            <w:tcW w:w="9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26584C">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批</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5C55C1">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w:t>
            </w:r>
          </w:p>
        </w:tc>
      </w:tr>
    </w:tbl>
    <w:p w14:paraId="253E7FDA">
      <w:pPr>
        <w:bidi w:val="0"/>
        <w:rPr>
          <w:rFonts w:hint="eastAsia"/>
          <w:color w:val="000000" w:themeColor="text1"/>
          <w:highlight w:val="none"/>
          <w:lang w:val="en-US" w:eastAsia="zh-CN"/>
          <w14:textFill>
            <w14:solidFill>
              <w14:schemeClr w14:val="tx1"/>
            </w14:solidFill>
          </w14:textFill>
        </w:rPr>
      </w:pPr>
    </w:p>
    <w:tbl>
      <w:tblPr>
        <w:tblStyle w:val="4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58"/>
        <w:gridCol w:w="6198"/>
        <w:gridCol w:w="917"/>
        <w:gridCol w:w="895"/>
      </w:tblGrid>
      <w:tr w14:paraId="7806CE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6EB7F2B">
            <w:pPr>
              <w:jc w:val="center"/>
              <w:rPr>
                <w:rFonts w:hint="eastAsia" w:ascii="仿宋" w:hAnsi="仿宋" w:eastAsia="仿宋" w:cs="仿宋"/>
                <w:b/>
                <w:bCs/>
                <w:i w:val="0"/>
                <w:iCs w:val="0"/>
                <w:color w:val="000000" w:themeColor="text1"/>
                <w:sz w:val="20"/>
                <w:szCs w:val="20"/>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二、一体化大数据平台</w:t>
            </w:r>
          </w:p>
        </w:tc>
      </w:tr>
      <w:tr w14:paraId="190F62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9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6E10B2">
            <w:pPr>
              <w:keepNext w:val="0"/>
              <w:keepLines w:val="0"/>
              <w:widowControl/>
              <w:suppressLineNumbers w:val="0"/>
              <w:jc w:val="left"/>
              <w:textAlignment w:val="cente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31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6BCCEB">
            <w:pPr>
              <w:keepNext w:val="0"/>
              <w:keepLines w:val="0"/>
              <w:widowControl/>
              <w:suppressLineNumbers w:val="0"/>
              <w:jc w:val="left"/>
              <w:textAlignment w:val="cente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4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C9A064">
            <w:pPr>
              <w:jc w:val="center"/>
              <w:rPr>
                <w:rFonts w:hint="eastAsia" w:ascii="仿宋" w:hAnsi="仿宋" w:eastAsia="仿宋" w:cs="仿宋"/>
                <w:b/>
                <w:bCs/>
                <w:i w:val="0"/>
                <w:iCs w:val="0"/>
                <w:color w:val="000000" w:themeColor="text1"/>
                <w:kern w:val="2"/>
                <w:sz w:val="20"/>
                <w:szCs w:val="20"/>
                <w:highlight w:val="none"/>
                <w:u w:val="none"/>
                <w:lang w:val="en-US" w:eastAsia="zh-CN" w:bidi="ar-SA"/>
                <w14:textFill>
                  <w14:solidFill>
                    <w14:schemeClr w14:val="tx1"/>
                  </w14:solidFill>
                </w14:textFill>
              </w:rPr>
            </w:pPr>
            <w:r>
              <w:rPr>
                <w:rFonts w:hint="eastAsia" w:ascii="仿宋" w:hAnsi="仿宋" w:eastAsia="仿宋" w:cs="仿宋"/>
                <w:b/>
                <w:bCs/>
                <w:i w:val="0"/>
                <w:iCs w:val="0"/>
                <w:color w:val="000000" w:themeColor="text1"/>
                <w:sz w:val="20"/>
                <w:szCs w:val="20"/>
                <w:highlight w:val="none"/>
                <w:u w:val="none"/>
                <w:lang w:val="en-US" w:eastAsia="zh-CN"/>
                <w14:textFill>
                  <w14:solidFill>
                    <w14:schemeClr w14:val="tx1"/>
                  </w14:solidFill>
                </w14:textFill>
              </w:rPr>
              <w:t>单位</w:t>
            </w: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559A53">
            <w:pPr>
              <w:jc w:val="center"/>
              <w:rPr>
                <w:rFonts w:hint="eastAsia" w:ascii="仿宋" w:hAnsi="仿宋" w:eastAsia="仿宋" w:cs="仿宋"/>
                <w:b/>
                <w:bCs/>
                <w:i w:val="0"/>
                <w:iCs w:val="0"/>
                <w:color w:val="000000" w:themeColor="text1"/>
                <w:kern w:val="2"/>
                <w:sz w:val="20"/>
                <w:szCs w:val="20"/>
                <w:highlight w:val="none"/>
                <w:u w:val="none"/>
                <w:lang w:val="en-US" w:eastAsia="zh-CN" w:bidi="ar-SA"/>
                <w14:textFill>
                  <w14:solidFill>
                    <w14:schemeClr w14:val="tx1"/>
                  </w14:solidFill>
                </w14:textFill>
              </w:rPr>
            </w:pPr>
            <w:r>
              <w:rPr>
                <w:rFonts w:hint="eastAsia" w:ascii="仿宋" w:hAnsi="仿宋" w:eastAsia="仿宋" w:cs="仿宋"/>
                <w:b/>
                <w:bCs/>
                <w:i w:val="0"/>
                <w:iCs w:val="0"/>
                <w:color w:val="000000" w:themeColor="text1"/>
                <w:sz w:val="20"/>
                <w:szCs w:val="20"/>
                <w:highlight w:val="none"/>
                <w:u w:val="none"/>
                <w:lang w:val="en-US" w:eastAsia="zh-CN"/>
                <w14:textFill>
                  <w14:solidFill>
                    <w14:schemeClr w14:val="tx1"/>
                  </w14:solidFill>
                </w14:textFill>
              </w:rPr>
              <w:t>数量</w:t>
            </w:r>
          </w:p>
        </w:tc>
      </w:tr>
      <w:tr w14:paraId="0F8BD9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60" w:hRule="atLeast"/>
        </w:trPr>
        <w:tc>
          <w:tcPr>
            <w:tcW w:w="98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F04191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1.数据资源体系构建</w:t>
            </w:r>
          </w:p>
        </w:tc>
        <w:tc>
          <w:tcPr>
            <w:tcW w:w="31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DD2C23">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1.数据汇聚：通过实时接口、批量交换等方式，汇聚全市40+个部门的业务数据，形成覆盖人口、法人、地理信息等6大主题的数据资源池。</w:t>
            </w:r>
          </w:p>
        </w:tc>
        <w:tc>
          <w:tcPr>
            <w:tcW w:w="46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241BF8A">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项</w:t>
            </w:r>
          </w:p>
        </w:tc>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212B0F7">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29E2A3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870995">
            <w:pPr>
              <w:jc w:val="left"/>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6714C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2.数据治理：制定数据标准，开展数据清洗、质量核查（1000+规则）、血缘分析，提升数据可用性。</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4CAF3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CC382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5FC4A4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242E3B">
            <w:pPr>
              <w:jc w:val="left"/>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9BCFC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3.库表建设：构建原始库、共享库（500+张可共享表）、主题库（如经济运行、城市管理主题库）。</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7A443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5DD20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760396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0" w:hRule="atLeast"/>
        </w:trPr>
        <w:tc>
          <w:tcPr>
            <w:tcW w:w="98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AA909F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2.技术平台开发</w:t>
            </w:r>
          </w:p>
        </w:tc>
        <w:tc>
          <w:tcPr>
            <w:tcW w:w="31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C432C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1.数据集成开发：部署可视化数据集成工具，配置300+个数据同步作业，支持Oracle、MySQL、API等10+种数据源。</w:t>
            </w:r>
          </w:p>
        </w:tc>
        <w:tc>
          <w:tcPr>
            <w:tcW w:w="46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5F47CF9">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B5247A9">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45F6AD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B729F1">
            <w:pPr>
              <w:jc w:val="left"/>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D9886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2.数据服务网关：开发统一数据服务门户，封装并提供200+个数据服务API，实现服务的申请、审批、调用与审计。</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62974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60723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5A4A1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5722C1">
            <w:pPr>
              <w:jc w:val="left"/>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A4FEE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3.可视化分析平台：采购并部署成熟BI软件，提供15+种可视化组件，快速构建10+张综合研判大屏。</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B7A04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FAFFE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3D740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9518BE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3.智能应用开发</w:t>
            </w:r>
          </w:p>
        </w:tc>
        <w:tc>
          <w:tcPr>
            <w:tcW w:w="31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D9B223">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1.AI问数助手：基于大模型技术，开发自然语言查询系统，用户可通过语音/文本提问，自动生成数据图表与分析结论。</w:t>
            </w:r>
          </w:p>
        </w:tc>
        <w:tc>
          <w:tcPr>
            <w:tcW w:w="46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C3C2A52">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A955608">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0CB333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C29DEC">
            <w:pPr>
              <w:jc w:val="left"/>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5C922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2.AI企业画像：整合工商、税务、社保等多源数据，为全市2.6万余家企业构建360°画像，实现风险预警、产业链分析等功能。</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C5F01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40E11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bl>
    <w:p w14:paraId="4F17806E">
      <w:pPr>
        <w:keepNext w:val="0"/>
        <w:keepLines w:val="0"/>
        <w:widowControl/>
        <w:numPr>
          <w:ilvl w:val="0"/>
          <w:numId w:val="4"/>
        </w:numPr>
        <w:suppressLineNumbers w:val="0"/>
        <w:spacing w:before="0" w:beforeAutospacing="0" w:after="0" w:afterAutospacing="0" w:line="240" w:lineRule="auto"/>
        <w:ind w:left="0" w:leftChars="0" w:right="0" w:rightChars="0" w:firstLine="0" w:firstLineChars="0"/>
        <w:jc w:val="both"/>
        <w:outlineLvl w:val="1"/>
        <w:rPr>
          <w:rFonts w:hint="eastAsia" w:ascii="仿宋" w:hAnsi="仿宋" w:eastAsia="仿宋" w:cs="仿宋"/>
          <w:b/>
          <w:bCs/>
          <w:i w:val="0"/>
          <w:strike w:val="0"/>
          <w:color w:val="000000" w:themeColor="text1"/>
          <w:kern w:val="0"/>
          <w:sz w:val="28"/>
          <w:szCs w:val="16"/>
          <w:highlight w:val="none"/>
          <w:u w:val="none"/>
          <w:lang w:val="en-US" w:eastAsia="zh-CN" w:bidi="ar"/>
          <w14:textFill>
            <w14:solidFill>
              <w14:schemeClr w14:val="tx1"/>
            </w14:solidFill>
          </w14:textFill>
        </w:rPr>
      </w:pPr>
      <w:r>
        <w:rPr>
          <w:rFonts w:hint="eastAsia" w:ascii="仿宋" w:hAnsi="仿宋" w:eastAsia="仿宋" w:cs="仿宋"/>
          <w:b/>
          <w:bCs/>
          <w:i w:val="0"/>
          <w:strike w:val="0"/>
          <w:color w:val="000000" w:themeColor="text1"/>
          <w:kern w:val="0"/>
          <w:sz w:val="28"/>
          <w:szCs w:val="16"/>
          <w:highlight w:val="none"/>
          <w:u w:val="none"/>
          <w:lang w:val="en-US" w:eastAsia="zh-CN" w:bidi="ar"/>
          <w14:textFill>
            <w14:solidFill>
              <w14:schemeClr w14:val="tx1"/>
            </w14:solidFill>
          </w14:textFill>
        </w:rPr>
        <w:t>数据安全空间</w:t>
      </w:r>
    </w:p>
    <w:tbl>
      <w:tblPr>
        <w:tblStyle w:val="47"/>
        <w:tblW w:w="9863"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579"/>
        <w:gridCol w:w="1067"/>
        <w:gridCol w:w="1067"/>
        <w:gridCol w:w="1236"/>
        <w:gridCol w:w="4107"/>
        <w:gridCol w:w="917"/>
        <w:gridCol w:w="890"/>
      </w:tblGrid>
      <w:tr w14:paraId="4BD9FF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10" w:hRule="atLeast"/>
        </w:trPr>
        <w:tc>
          <w:tcPr>
            <w:tcW w:w="579" w:type="dxa"/>
            <w:tcBorders>
              <w:top w:val="single" w:color="000000" w:sz="4" w:space="0"/>
              <w:left w:val="single" w:color="000000" w:sz="4" w:space="0"/>
              <w:bottom w:val="single" w:color="000000" w:sz="4" w:space="0"/>
              <w:right w:val="single" w:color="000000" w:sz="4" w:space="0"/>
            </w:tcBorders>
            <w:shd w:val="clear" w:color="auto" w:fill="BFBFBF"/>
            <w:vAlign w:val="center"/>
          </w:tcPr>
          <w:p w14:paraId="2AB1EEFD">
            <w:pPr>
              <w:keepNext w:val="0"/>
              <w:keepLines w:val="0"/>
              <w:widowControl/>
              <w:suppressLineNumbers w:val="0"/>
              <w:jc w:val="center"/>
              <w:textAlignment w:val="center"/>
              <w:rPr>
                <w:rFonts w:hint="eastAsia" w:ascii="仿宋" w:hAnsi="仿宋" w:eastAsia="仿宋" w:cs="仿宋"/>
                <w:b/>
                <w:bCs/>
                <w:i w:val="0"/>
                <w:iCs w:val="0"/>
                <w:color w:val="000000" w:themeColor="text1"/>
                <w:kern w:val="2"/>
                <w:sz w:val="22"/>
                <w:szCs w:val="22"/>
                <w:highlight w:val="none"/>
                <w:u w:val="none"/>
                <w:lang w:val="en-US" w:eastAsia="zh-CN" w:bidi="ar-SA"/>
                <w14:textFill>
                  <w14:solidFill>
                    <w14:schemeClr w14:val="tx1"/>
                  </w14:solidFill>
                </w14:textFill>
              </w:rPr>
            </w:pPr>
            <w: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t>序号</w:t>
            </w:r>
          </w:p>
        </w:tc>
        <w:tc>
          <w:tcPr>
            <w:tcW w:w="1067" w:type="dxa"/>
            <w:tcBorders>
              <w:top w:val="single" w:color="000000" w:sz="4" w:space="0"/>
              <w:left w:val="single" w:color="000000" w:sz="4" w:space="0"/>
              <w:bottom w:val="single" w:color="000000" w:sz="4" w:space="0"/>
              <w:right w:val="single" w:color="000000" w:sz="4" w:space="0"/>
            </w:tcBorders>
            <w:shd w:val="clear" w:color="auto" w:fill="BFBFBF"/>
            <w:vAlign w:val="center"/>
          </w:tcPr>
          <w:p w14:paraId="4A485C81">
            <w:pPr>
              <w:keepNext w:val="0"/>
              <w:keepLines w:val="0"/>
              <w:widowControl/>
              <w:suppressLineNumbers w:val="0"/>
              <w:jc w:val="center"/>
              <w:textAlignment w:val="center"/>
              <w:rPr>
                <w:rFonts w:hint="eastAsia" w:ascii="仿宋" w:hAnsi="仿宋" w:eastAsia="仿宋" w:cs="仿宋"/>
                <w:b/>
                <w:bCs/>
                <w:i w:val="0"/>
                <w:iCs w:val="0"/>
                <w:color w:val="000000" w:themeColor="text1"/>
                <w:kern w:val="2"/>
                <w:sz w:val="22"/>
                <w:szCs w:val="22"/>
                <w:highlight w:val="none"/>
                <w:u w:val="none"/>
                <w:lang w:val="en-US" w:eastAsia="zh-CN" w:bidi="ar-SA"/>
                <w14:textFill>
                  <w14:solidFill>
                    <w14:schemeClr w14:val="tx1"/>
                  </w14:solidFill>
                </w14:textFill>
              </w:rPr>
            </w:pPr>
            <w: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t>系统名称</w:t>
            </w:r>
          </w:p>
        </w:tc>
        <w:tc>
          <w:tcPr>
            <w:tcW w:w="1067" w:type="dxa"/>
            <w:tcBorders>
              <w:top w:val="single" w:color="000000" w:sz="4" w:space="0"/>
              <w:left w:val="single" w:color="000000" w:sz="4" w:space="0"/>
              <w:bottom w:val="single" w:color="000000" w:sz="4" w:space="0"/>
              <w:right w:val="single" w:color="000000" w:sz="4" w:space="0"/>
            </w:tcBorders>
            <w:shd w:val="clear" w:color="auto" w:fill="BFBFBF"/>
            <w:vAlign w:val="center"/>
          </w:tcPr>
          <w:p w14:paraId="03C4B586">
            <w:pPr>
              <w:keepNext w:val="0"/>
              <w:keepLines w:val="0"/>
              <w:widowControl/>
              <w:suppressLineNumbers w:val="0"/>
              <w:jc w:val="center"/>
              <w:textAlignment w:val="center"/>
              <w:rPr>
                <w:rFonts w:hint="eastAsia" w:ascii="仿宋" w:hAnsi="仿宋" w:eastAsia="仿宋" w:cs="仿宋"/>
                <w:b/>
                <w:bCs/>
                <w:i w:val="0"/>
                <w:iCs w:val="0"/>
                <w:color w:val="000000" w:themeColor="text1"/>
                <w:kern w:val="2"/>
                <w:sz w:val="22"/>
                <w:szCs w:val="22"/>
                <w:highlight w:val="none"/>
                <w:u w:val="none"/>
                <w:lang w:val="en-US" w:eastAsia="zh-CN" w:bidi="ar-SA"/>
                <w14:textFill>
                  <w14:solidFill>
                    <w14:schemeClr w14:val="tx1"/>
                  </w14:solidFill>
                </w14:textFill>
              </w:rPr>
            </w:pPr>
            <w: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t>产品类型</w:t>
            </w:r>
          </w:p>
        </w:tc>
        <w:tc>
          <w:tcPr>
            <w:tcW w:w="1236" w:type="dxa"/>
            <w:tcBorders>
              <w:top w:val="single" w:color="000000" w:sz="4" w:space="0"/>
              <w:left w:val="single" w:color="000000" w:sz="4" w:space="0"/>
              <w:bottom w:val="single" w:color="000000" w:sz="4" w:space="0"/>
              <w:right w:val="single" w:color="000000" w:sz="4" w:space="0"/>
            </w:tcBorders>
            <w:shd w:val="clear" w:color="auto" w:fill="BFBFBF"/>
            <w:vAlign w:val="center"/>
          </w:tcPr>
          <w:p w14:paraId="5F147A80">
            <w:pPr>
              <w:keepNext w:val="0"/>
              <w:keepLines w:val="0"/>
              <w:widowControl/>
              <w:suppressLineNumbers w:val="0"/>
              <w:jc w:val="center"/>
              <w:textAlignment w:val="center"/>
              <w:rPr>
                <w:rFonts w:hint="eastAsia" w:ascii="仿宋" w:hAnsi="仿宋" w:eastAsia="仿宋" w:cs="仿宋"/>
                <w:b/>
                <w:bCs/>
                <w:i w:val="0"/>
                <w:iCs w:val="0"/>
                <w:color w:val="000000" w:themeColor="text1"/>
                <w:kern w:val="2"/>
                <w:sz w:val="22"/>
                <w:szCs w:val="22"/>
                <w:highlight w:val="none"/>
                <w:u w:val="none"/>
                <w:lang w:val="en-US" w:eastAsia="zh-CN" w:bidi="ar-SA"/>
                <w14:textFill>
                  <w14:solidFill>
                    <w14:schemeClr w14:val="tx1"/>
                  </w14:solidFill>
                </w14:textFill>
              </w:rPr>
            </w:pPr>
            <w: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t>产品名称</w:t>
            </w:r>
          </w:p>
        </w:tc>
        <w:tc>
          <w:tcPr>
            <w:tcW w:w="4107" w:type="dxa"/>
            <w:tcBorders>
              <w:top w:val="single" w:color="000000" w:sz="4" w:space="0"/>
              <w:left w:val="single" w:color="000000" w:sz="4" w:space="0"/>
              <w:bottom w:val="single" w:color="000000" w:sz="4" w:space="0"/>
              <w:right w:val="single" w:color="000000" w:sz="4" w:space="0"/>
            </w:tcBorders>
            <w:shd w:val="clear" w:color="auto" w:fill="BFBFBF"/>
            <w:vAlign w:val="center"/>
          </w:tcPr>
          <w:p w14:paraId="21581505">
            <w:pPr>
              <w:keepNext w:val="0"/>
              <w:keepLines w:val="0"/>
              <w:widowControl/>
              <w:suppressLineNumbers w:val="0"/>
              <w:jc w:val="left"/>
              <w:textAlignment w:val="center"/>
              <w:rPr>
                <w:rFonts w:hint="eastAsia" w:ascii="仿宋" w:hAnsi="仿宋" w:eastAsia="仿宋" w:cs="仿宋"/>
                <w:b/>
                <w:bCs/>
                <w:i w:val="0"/>
                <w:iCs w:val="0"/>
                <w:color w:val="000000" w:themeColor="text1"/>
                <w:kern w:val="2"/>
                <w:sz w:val="22"/>
                <w:szCs w:val="22"/>
                <w:highlight w:val="none"/>
                <w:u w:val="none"/>
                <w:lang w:val="en-US" w:eastAsia="zh-CN" w:bidi="ar-SA"/>
                <w14:textFill>
                  <w14:solidFill>
                    <w14:schemeClr w14:val="tx1"/>
                  </w14:solidFill>
                </w14:textFill>
              </w:rPr>
            </w:pPr>
            <w: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t>功能/参数</w:t>
            </w:r>
          </w:p>
        </w:tc>
        <w:tc>
          <w:tcPr>
            <w:tcW w:w="917" w:type="dxa"/>
            <w:tcBorders>
              <w:top w:val="single" w:color="000000" w:sz="4" w:space="0"/>
              <w:left w:val="single" w:color="000000" w:sz="4" w:space="0"/>
              <w:bottom w:val="single" w:color="000000" w:sz="4" w:space="0"/>
              <w:right w:val="single" w:color="000000" w:sz="4" w:space="0"/>
            </w:tcBorders>
            <w:shd w:val="clear" w:color="auto" w:fill="BFBFBF"/>
            <w:vAlign w:val="center"/>
          </w:tcPr>
          <w:p w14:paraId="6CE364EB">
            <w:pPr>
              <w:keepNext w:val="0"/>
              <w:keepLines w:val="0"/>
              <w:widowControl/>
              <w:suppressLineNumbers w:val="0"/>
              <w:jc w:val="center"/>
              <w:textAlignment w:val="center"/>
              <w:rPr>
                <w:rFonts w:hint="eastAsia" w:ascii="仿宋" w:hAnsi="仿宋" w:eastAsia="仿宋" w:cs="仿宋"/>
                <w:b/>
                <w:bCs/>
                <w:i w:val="0"/>
                <w:iCs w:val="0"/>
                <w:color w:val="000000" w:themeColor="text1"/>
                <w:kern w:val="2"/>
                <w:sz w:val="22"/>
                <w:szCs w:val="22"/>
                <w:highlight w:val="none"/>
                <w:u w:val="none"/>
                <w:lang w:val="en-US" w:eastAsia="zh-CN" w:bidi="ar-SA"/>
                <w14:textFill>
                  <w14:solidFill>
                    <w14:schemeClr w14:val="tx1"/>
                  </w14:solidFill>
                </w14:textFill>
              </w:rPr>
            </w:pPr>
            <w: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t>单位</w:t>
            </w:r>
          </w:p>
        </w:tc>
        <w:tc>
          <w:tcPr>
            <w:tcW w:w="890" w:type="dxa"/>
            <w:tcBorders>
              <w:top w:val="single" w:color="000000" w:sz="4" w:space="0"/>
              <w:left w:val="single" w:color="000000" w:sz="4" w:space="0"/>
              <w:bottom w:val="single" w:color="000000" w:sz="4" w:space="0"/>
              <w:right w:val="single" w:color="000000" w:sz="4" w:space="0"/>
            </w:tcBorders>
            <w:shd w:val="clear" w:color="auto" w:fill="BFBFBF"/>
            <w:vAlign w:val="center"/>
          </w:tcPr>
          <w:p w14:paraId="315218A8">
            <w:pPr>
              <w:keepNext w:val="0"/>
              <w:keepLines w:val="0"/>
              <w:widowControl/>
              <w:suppressLineNumbers w:val="0"/>
              <w:jc w:val="center"/>
              <w:textAlignment w:val="cente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t>数量</w:t>
            </w:r>
          </w:p>
        </w:tc>
      </w:tr>
      <w:tr w14:paraId="2E331A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80" w:hRule="atLeast"/>
        </w:trPr>
        <w:tc>
          <w:tcPr>
            <w:tcW w:w="57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BF45E73">
            <w:pPr>
              <w:keepNext w:val="0"/>
              <w:keepLines w:val="0"/>
              <w:widowControl/>
              <w:suppressLineNumbers w:val="0"/>
              <w:jc w:val="center"/>
              <w:textAlignment w:val="center"/>
              <w:rPr>
                <w:rFonts w:ascii="微软雅黑" w:hAnsi="微软雅黑" w:eastAsia="微软雅黑" w:cs="微软雅黑"/>
                <w:i w:val="0"/>
                <w:iCs w:val="0"/>
                <w:color w:val="000000" w:themeColor="text1"/>
                <w:sz w:val="20"/>
                <w:szCs w:val="20"/>
                <w:highlight w:val="none"/>
                <w:u w:val="none"/>
                <w14:textFill>
                  <w14:solidFill>
                    <w14:schemeClr w14:val="tx1"/>
                  </w14:solidFill>
                </w14:textFill>
              </w:rPr>
            </w:pPr>
            <w:r>
              <w:rPr>
                <w:rFonts w:hint="eastAsia" w:ascii="微软雅黑" w:hAnsi="微软雅黑" w:eastAsia="微软雅黑" w:cs="微软雅黑"/>
                <w:i w:val="0"/>
                <w:iCs w:val="0"/>
                <w:color w:val="000000" w:themeColor="text1"/>
                <w:kern w:val="0"/>
                <w:sz w:val="20"/>
                <w:szCs w:val="20"/>
                <w:highlight w:val="none"/>
                <w:u w:val="none"/>
                <w:lang w:val="en-US" w:eastAsia="zh-CN" w:bidi="ar"/>
                <w14:textFill>
                  <w14:solidFill>
                    <w14:schemeClr w14:val="tx1"/>
                  </w14:solidFill>
                </w14:textFill>
              </w:rPr>
              <w:t>3</w:t>
            </w:r>
          </w:p>
        </w:tc>
        <w:tc>
          <w:tcPr>
            <w:tcW w:w="106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853FD8B">
            <w:pPr>
              <w:keepNext w:val="0"/>
              <w:keepLines w:val="0"/>
              <w:widowControl/>
              <w:suppressLineNumbers w:val="0"/>
              <w:jc w:val="center"/>
              <w:textAlignment w:val="center"/>
              <w:rPr>
                <w:rFonts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数据安全空间</w:t>
            </w:r>
          </w:p>
        </w:tc>
        <w:tc>
          <w:tcPr>
            <w:tcW w:w="106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3CBD7D8">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信任基石与安全</w:t>
            </w:r>
          </w:p>
        </w:tc>
        <w:tc>
          <w:tcPr>
            <w:tcW w:w="12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15EC9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密码运算专用设备(加密机)</w:t>
            </w:r>
          </w:p>
        </w:tc>
        <w:tc>
          <w:tcPr>
            <w:tcW w:w="4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CBFAC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加密算法：支持SM2, SM3, SM4, SM9等国密算法及RSA, AES等国际算法</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签名性能：SM2签名速度 ≥ 10000次/秒</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密钥存储：支持≥1000对密钥生成与存储</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安全认证：通过国密局二级认证，符合GM/T 0018标准</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接口：2 * 10/100/1000M自适应电口，2*SFP光口</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电源：冗余热插拔电源</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3B3427">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台</w:t>
            </w:r>
          </w:p>
        </w:tc>
        <w:tc>
          <w:tcPr>
            <w:tcW w:w="8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BD0F80">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26489B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80" w:hRule="atLeast"/>
        </w:trPr>
        <w:tc>
          <w:tcPr>
            <w:tcW w:w="57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6D318C">
            <w:pPr>
              <w:jc w:val="center"/>
              <w:rPr>
                <w:rFonts w:hint="eastAsia" w:ascii="微软雅黑" w:hAnsi="微软雅黑" w:eastAsia="微软雅黑" w:cs="微软雅黑"/>
                <w:i w:val="0"/>
                <w:iCs w:val="0"/>
                <w:color w:val="000000" w:themeColor="text1"/>
                <w:sz w:val="20"/>
                <w:szCs w:val="20"/>
                <w:highlight w:val="none"/>
                <w:u w:val="none"/>
                <w14:textFill>
                  <w14:solidFill>
                    <w14:schemeClr w14:val="tx1"/>
                  </w14:solidFill>
                </w14:textFill>
              </w:rPr>
            </w:pPr>
          </w:p>
        </w:tc>
        <w:tc>
          <w:tcPr>
            <w:tcW w:w="106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C9242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6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A0ECF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2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83D43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密钥管理系统</w:t>
            </w:r>
          </w:p>
        </w:tc>
        <w:tc>
          <w:tcPr>
            <w:tcW w:w="4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3869BA">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标准符合：符合GM/T 0030-2014《服务器密码机技术规范》</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密钥管理：支持对称密钥、非对称密钥、数字证书的全生命周期管理</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加密速度：SM4算法加密 ≥ 2Gbps</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备份与恢复：支持密钥异地容灾备份与快速恢复</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审计日志：具备完整的操作审计功能，日志不可删除、不可篡改</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C7EB1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8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959BC8">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4601C4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00" w:hRule="atLeast"/>
        </w:trPr>
        <w:tc>
          <w:tcPr>
            <w:tcW w:w="57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3BC0E1">
            <w:pPr>
              <w:jc w:val="center"/>
              <w:rPr>
                <w:rFonts w:hint="eastAsia" w:ascii="微软雅黑" w:hAnsi="微软雅黑" w:eastAsia="微软雅黑" w:cs="微软雅黑"/>
                <w:i w:val="0"/>
                <w:iCs w:val="0"/>
                <w:color w:val="000000" w:themeColor="text1"/>
                <w:sz w:val="20"/>
                <w:szCs w:val="20"/>
                <w:highlight w:val="none"/>
                <w:u w:val="none"/>
                <w14:textFill>
                  <w14:solidFill>
                    <w14:schemeClr w14:val="tx1"/>
                  </w14:solidFill>
                </w14:textFill>
              </w:rPr>
            </w:pPr>
          </w:p>
        </w:tc>
        <w:tc>
          <w:tcPr>
            <w:tcW w:w="106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9B14D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6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85CAD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2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AF4D5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区块链专用节点设备</w:t>
            </w:r>
          </w:p>
        </w:tc>
        <w:tc>
          <w:tcPr>
            <w:tcW w:w="4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8A88F4">
            <w:pPr>
              <w:keepNext w:val="0"/>
              <w:keepLines w:val="0"/>
              <w:widowControl/>
              <w:suppressLineNumbers w:val="0"/>
              <w:jc w:val="left"/>
              <w:textAlignment w:val="center"/>
              <w:rPr>
                <w:rFonts w:hint="default" w:ascii="Times New Roman" w:hAnsi="Times New Roman" w:eastAsia="微软雅黑" w:cs="Times New Roman"/>
                <w:i w:val="0"/>
                <w:iCs w:val="0"/>
                <w:color w:val="000000" w:themeColor="text1"/>
                <w:sz w:val="20"/>
                <w:szCs w:val="20"/>
                <w:highlight w:val="none"/>
                <w:u w:val="none"/>
                <w14:textFill>
                  <w14:solidFill>
                    <w14:schemeClr w14:val="tx1"/>
                  </w14:solidFill>
                </w14:textFill>
              </w:rPr>
            </w:pPr>
            <w:r>
              <w:rPr>
                <w:rFonts w:hint="default" w:ascii="Times New Roman" w:hAnsi="Times New Roman" w:eastAsia="微软雅黑" w:cs="Times New Roman"/>
                <w:i w:val="0"/>
                <w:iCs w:val="0"/>
                <w:color w:val="000000" w:themeColor="text1"/>
                <w:kern w:val="0"/>
                <w:sz w:val="20"/>
                <w:szCs w:val="20"/>
                <w:highlight w:val="none"/>
                <w:u w:val="none"/>
                <w:lang w:val="en-US" w:eastAsia="zh-CN" w:bidi="ar"/>
                <w14:textFill>
                  <w14:solidFill>
                    <w14:schemeClr w14:val="tx1"/>
                  </w14:solidFill>
                </w14:textFill>
              </w:rPr>
              <w:t>•</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xml:space="preserve"> 区块链性能：区块数据生成时间≤2秒，交易处理速度 ≥ 5000 TPS</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default" w:ascii="Times New Roman" w:hAnsi="Times New Roman" w:eastAsia="微软雅黑" w:cs="Times New Roman"/>
                <w:i w:val="0"/>
                <w:iCs w:val="0"/>
                <w:color w:val="000000" w:themeColor="text1"/>
                <w:kern w:val="0"/>
                <w:sz w:val="20"/>
                <w:szCs w:val="20"/>
                <w:highlight w:val="none"/>
                <w:u w:val="none"/>
                <w:lang w:val="en-US" w:eastAsia="zh-CN" w:bidi="ar"/>
                <w14:textFill>
                  <w14:solidFill>
                    <w14:schemeClr w14:val="tx1"/>
                  </w14:solidFill>
                </w14:textFill>
              </w:rPr>
              <w:t>•</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xml:space="preserve"> 并发支持：稳定支持不少于50个节点组网下的高并发数据共识。</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default" w:ascii="Times New Roman" w:hAnsi="Times New Roman" w:eastAsia="微软雅黑" w:cs="Times New Roman"/>
                <w:i w:val="0"/>
                <w:iCs w:val="0"/>
                <w:color w:val="000000" w:themeColor="text1"/>
                <w:kern w:val="0"/>
                <w:sz w:val="20"/>
                <w:szCs w:val="20"/>
                <w:highlight w:val="none"/>
                <w:u w:val="none"/>
                <w:lang w:val="en-US" w:eastAsia="zh-CN" w:bidi="ar"/>
                <w14:textFill>
                  <w14:solidFill>
                    <w14:schemeClr w14:val="tx1"/>
                  </w14:solidFill>
                </w14:textFill>
              </w:rPr>
              <w:t>•</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xml:space="preserve"> 存储与可靠性：内置高速存储系统，确保数据读写高效可靠，满足企业级应用连续性要求。</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default" w:ascii="Times New Roman" w:hAnsi="Times New Roman" w:eastAsia="微软雅黑" w:cs="Times New Roman"/>
                <w:i w:val="0"/>
                <w:iCs w:val="0"/>
                <w:color w:val="000000" w:themeColor="text1"/>
                <w:kern w:val="0"/>
                <w:sz w:val="20"/>
                <w:szCs w:val="20"/>
                <w:highlight w:val="none"/>
                <w:u w:val="none"/>
                <w:lang w:val="en-US" w:eastAsia="zh-CN" w:bidi="ar"/>
                <w14:textFill>
                  <w14:solidFill>
                    <w14:schemeClr w14:val="tx1"/>
                  </w14:solidFill>
                </w14:textFill>
              </w:rPr>
              <w:t>•</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xml:space="preserve"> 加密模块：内置国密算法硬件加密卡</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default" w:ascii="Times New Roman" w:hAnsi="Times New Roman" w:eastAsia="微软雅黑" w:cs="Times New Roman"/>
                <w:i w:val="0"/>
                <w:iCs w:val="0"/>
                <w:color w:val="000000" w:themeColor="text1"/>
                <w:kern w:val="0"/>
                <w:sz w:val="20"/>
                <w:szCs w:val="20"/>
                <w:highlight w:val="none"/>
                <w:u w:val="none"/>
                <w:lang w:val="en-US" w:eastAsia="zh-CN" w:bidi="ar"/>
                <w14:textFill>
                  <w14:solidFill>
                    <w14:schemeClr w14:val="tx1"/>
                  </w14:solidFill>
                </w14:textFill>
              </w:rPr>
              <w:t>•</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xml:space="preserve"> 网络：≥4千兆电口+2万兆光口</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default" w:ascii="Times New Roman" w:hAnsi="Times New Roman" w:eastAsia="微软雅黑" w:cs="Times New Roman"/>
                <w:i w:val="0"/>
                <w:iCs w:val="0"/>
                <w:color w:val="000000" w:themeColor="text1"/>
                <w:kern w:val="0"/>
                <w:sz w:val="20"/>
                <w:szCs w:val="20"/>
                <w:highlight w:val="none"/>
                <w:u w:val="none"/>
                <w:lang w:val="en-US" w:eastAsia="zh-CN" w:bidi="ar"/>
                <w14:textFill>
                  <w14:solidFill>
                    <w14:schemeClr w14:val="tx1"/>
                  </w14:solidFill>
                </w14:textFill>
              </w:rPr>
              <w:t>•</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xml:space="preserve"> 共识机制：支持RBFT、RAFT等共识算法，预置企业级区块链系统</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2FBA6C">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台</w:t>
            </w:r>
          </w:p>
        </w:tc>
        <w:tc>
          <w:tcPr>
            <w:tcW w:w="8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CA7C55">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w:t>
            </w:r>
          </w:p>
        </w:tc>
      </w:tr>
      <w:tr w14:paraId="596CD7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20" w:hRule="atLeast"/>
        </w:trPr>
        <w:tc>
          <w:tcPr>
            <w:tcW w:w="57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1981F9">
            <w:pPr>
              <w:jc w:val="center"/>
              <w:rPr>
                <w:rFonts w:hint="eastAsia" w:ascii="微软雅黑" w:hAnsi="微软雅黑" w:eastAsia="微软雅黑" w:cs="微软雅黑"/>
                <w:i w:val="0"/>
                <w:iCs w:val="0"/>
                <w:color w:val="000000" w:themeColor="text1"/>
                <w:sz w:val="20"/>
                <w:szCs w:val="20"/>
                <w:highlight w:val="none"/>
                <w:u w:val="none"/>
                <w14:textFill>
                  <w14:solidFill>
                    <w14:schemeClr w14:val="tx1"/>
                  </w14:solidFill>
                </w14:textFill>
              </w:rPr>
            </w:pPr>
          </w:p>
        </w:tc>
        <w:tc>
          <w:tcPr>
            <w:tcW w:w="106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DD624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A49118">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隐私计算加速</w:t>
            </w:r>
          </w:p>
        </w:tc>
        <w:tc>
          <w:tcPr>
            <w:tcW w:w="12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C8470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隐私计算硬件加速模块</w:t>
            </w:r>
          </w:p>
        </w:tc>
        <w:tc>
          <w:tcPr>
            <w:tcW w:w="4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C72CE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加速算法：支持多方安全计算（MPC）、同态加密（FHE/SHE）硬件加速</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性能提升：MPC计算性能提升 ≥ 20倍（相较于纯软件实现）</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接口：PCIe 3.0/4.0 x16</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功耗：≤75W（无需外接供电）</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兼容性：支持主流服务器并提供标准API接口</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C98307">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块</w:t>
            </w:r>
          </w:p>
        </w:tc>
        <w:tc>
          <w:tcPr>
            <w:tcW w:w="8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B1FB0D">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6</w:t>
            </w:r>
          </w:p>
        </w:tc>
      </w:tr>
      <w:tr w14:paraId="74F623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20" w:hRule="atLeast"/>
        </w:trPr>
        <w:tc>
          <w:tcPr>
            <w:tcW w:w="57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390F39">
            <w:pPr>
              <w:jc w:val="center"/>
              <w:rPr>
                <w:rFonts w:hint="eastAsia" w:ascii="微软雅黑" w:hAnsi="微软雅黑" w:eastAsia="微软雅黑" w:cs="微软雅黑"/>
                <w:i w:val="0"/>
                <w:iCs w:val="0"/>
                <w:color w:val="000000" w:themeColor="text1"/>
                <w:sz w:val="20"/>
                <w:szCs w:val="20"/>
                <w:highlight w:val="none"/>
                <w:u w:val="none"/>
                <w14:textFill>
                  <w14:solidFill>
                    <w14:schemeClr w14:val="tx1"/>
                  </w14:solidFill>
                </w14:textFill>
              </w:rPr>
            </w:pPr>
          </w:p>
        </w:tc>
        <w:tc>
          <w:tcPr>
            <w:tcW w:w="106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D8924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6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BBC0C3B">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存储与网络</w:t>
            </w:r>
          </w:p>
        </w:tc>
        <w:tc>
          <w:tcPr>
            <w:tcW w:w="12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87152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加密存储系统</w:t>
            </w:r>
          </w:p>
        </w:tc>
        <w:tc>
          <w:tcPr>
            <w:tcW w:w="4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5BBFB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有效容量：≥200TB（配置后）</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加密引擎：支持即时数据加密（D@RE），256位AES加密</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RAID支持：RAID 0, 1, 5, 6, 10, 50, 60</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接口：16Gb/32Gb FC, 10Gb/25Gb iSCSI</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高可用：Active-Active双控制器，冗余电源、风扇</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7136B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8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395E2F">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5DF77B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60" w:hRule="atLeast"/>
        </w:trPr>
        <w:tc>
          <w:tcPr>
            <w:tcW w:w="57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87FA2B">
            <w:pPr>
              <w:jc w:val="center"/>
              <w:rPr>
                <w:rFonts w:hint="eastAsia" w:ascii="微软雅黑" w:hAnsi="微软雅黑" w:eastAsia="微软雅黑" w:cs="微软雅黑"/>
                <w:i w:val="0"/>
                <w:iCs w:val="0"/>
                <w:color w:val="000000" w:themeColor="text1"/>
                <w:sz w:val="20"/>
                <w:szCs w:val="20"/>
                <w:highlight w:val="none"/>
                <w:u w:val="none"/>
                <w14:textFill>
                  <w14:solidFill>
                    <w14:schemeClr w14:val="tx1"/>
                  </w14:solidFill>
                </w14:textFill>
              </w:rPr>
            </w:pPr>
          </w:p>
        </w:tc>
        <w:tc>
          <w:tcPr>
            <w:tcW w:w="106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20171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6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D4E39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2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868A7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核心网络交换设备</w:t>
            </w:r>
          </w:p>
        </w:tc>
        <w:tc>
          <w:tcPr>
            <w:tcW w:w="4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34A5E7">
            <w:pPr>
              <w:keepNext w:val="0"/>
              <w:keepLines w:val="0"/>
              <w:widowControl/>
              <w:suppressLineNumbers w:val="0"/>
              <w:jc w:val="left"/>
              <w:textAlignment w:val="center"/>
              <w:rPr>
                <w:rFonts w:hint="default" w:ascii="Times New Roman" w:hAnsi="Times New Roman" w:eastAsia="微软雅黑" w:cs="Times New Roman"/>
                <w:i w:val="0"/>
                <w:iCs w:val="0"/>
                <w:color w:val="000000" w:themeColor="text1"/>
                <w:sz w:val="20"/>
                <w:szCs w:val="20"/>
                <w:highlight w:val="none"/>
                <w:u w:val="none"/>
                <w14:textFill>
                  <w14:solidFill>
                    <w14:schemeClr w14:val="tx1"/>
                  </w14:solidFill>
                </w14:textFill>
              </w:rPr>
            </w:pPr>
            <w:r>
              <w:rPr>
                <w:rFonts w:hint="default" w:ascii="Times New Roman" w:hAnsi="Times New Roman" w:eastAsia="微软雅黑" w:cs="Times New Roman"/>
                <w:i w:val="0"/>
                <w:iCs w:val="0"/>
                <w:color w:val="000000" w:themeColor="text1"/>
                <w:kern w:val="0"/>
                <w:sz w:val="20"/>
                <w:szCs w:val="20"/>
                <w:highlight w:val="none"/>
                <w:u w:val="none"/>
                <w:lang w:val="en-US" w:eastAsia="zh-CN" w:bidi="ar"/>
                <w14:textFill>
                  <w14:solidFill>
                    <w14:schemeClr w14:val="tx1"/>
                  </w14:solidFill>
                </w14:textFill>
              </w:rPr>
              <w:t>•</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xml:space="preserve"> 端口配置：48个10G SFP+光口，6个40G QSFP+上行端口</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default" w:ascii="Times New Roman" w:hAnsi="Times New Roman" w:eastAsia="微软雅黑" w:cs="Times New Roman"/>
                <w:i w:val="0"/>
                <w:iCs w:val="0"/>
                <w:color w:val="000000" w:themeColor="text1"/>
                <w:kern w:val="0"/>
                <w:sz w:val="20"/>
                <w:szCs w:val="20"/>
                <w:highlight w:val="none"/>
                <w:u w:val="none"/>
                <w:lang w:val="en-US" w:eastAsia="zh-CN" w:bidi="ar"/>
                <w14:textFill>
                  <w14:solidFill>
                    <w14:schemeClr w14:val="tx1"/>
                  </w14:solidFill>
                </w14:textFill>
              </w:rPr>
              <w:t>•</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xml:space="preserve"> 交换容量：≥12Tbps</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default" w:ascii="Times New Roman" w:hAnsi="Times New Roman" w:eastAsia="微软雅黑" w:cs="Times New Roman"/>
                <w:i w:val="0"/>
                <w:iCs w:val="0"/>
                <w:color w:val="000000" w:themeColor="text1"/>
                <w:kern w:val="0"/>
                <w:sz w:val="20"/>
                <w:szCs w:val="20"/>
                <w:highlight w:val="none"/>
                <w:u w:val="none"/>
                <w:lang w:val="en-US" w:eastAsia="zh-CN" w:bidi="ar"/>
                <w14:textFill>
                  <w14:solidFill>
                    <w14:schemeClr w14:val="tx1"/>
                  </w14:solidFill>
                </w14:textFill>
              </w:rPr>
              <w:t>•</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xml:space="preserve"> 包转发率：≥960Mpps</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default" w:ascii="Times New Roman" w:hAnsi="Times New Roman" w:eastAsia="微软雅黑" w:cs="Times New Roman"/>
                <w:i w:val="0"/>
                <w:iCs w:val="0"/>
                <w:color w:val="000000" w:themeColor="text1"/>
                <w:kern w:val="0"/>
                <w:sz w:val="20"/>
                <w:szCs w:val="20"/>
                <w:highlight w:val="none"/>
                <w:u w:val="none"/>
                <w:lang w:val="en-US" w:eastAsia="zh-CN" w:bidi="ar"/>
                <w14:textFill>
                  <w14:solidFill>
                    <w14:schemeClr w14:val="tx1"/>
                  </w14:solidFill>
                </w14:textFill>
              </w:rPr>
              <w:t>•</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xml:space="preserve"> 特性：支持VXLAN, EVPN，可编程</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default" w:ascii="Times New Roman" w:hAnsi="Times New Roman" w:eastAsia="微软雅黑" w:cs="Times New Roman"/>
                <w:i w:val="0"/>
                <w:iCs w:val="0"/>
                <w:color w:val="000000" w:themeColor="text1"/>
                <w:kern w:val="0"/>
                <w:sz w:val="20"/>
                <w:szCs w:val="20"/>
                <w:highlight w:val="none"/>
                <w:u w:val="none"/>
                <w:lang w:val="en-US" w:eastAsia="zh-CN" w:bidi="ar"/>
                <w14:textFill>
                  <w14:solidFill>
                    <w14:schemeClr w14:val="tx1"/>
                  </w14:solidFill>
                </w14:textFill>
              </w:rPr>
              <w:t>•</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xml:space="preserve"> 可靠性：电源1+1冗余，风扇N+1冗余</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7CF88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台</w:t>
            </w:r>
          </w:p>
        </w:tc>
        <w:tc>
          <w:tcPr>
            <w:tcW w:w="8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57BD2C">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w:t>
            </w:r>
          </w:p>
        </w:tc>
      </w:tr>
      <w:tr w14:paraId="6C6BC1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20" w:hRule="atLeast"/>
        </w:trPr>
        <w:tc>
          <w:tcPr>
            <w:tcW w:w="57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96F3F1">
            <w:pPr>
              <w:jc w:val="center"/>
              <w:rPr>
                <w:rFonts w:hint="eastAsia" w:ascii="微软雅黑" w:hAnsi="微软雅黑" w:eastAsia="微软雅黑" w:cs="微软雅黑"/>
                <w:i w:val="0"/>
                <w:iCs w:val="0"/>
                <w:color w:val="000000" w:themeColor="text1"/>
                <w:sz w:val="20"/>
                <w:szCs w:val="20"/>
                <w:highlight w:val="none"/>
                <w:u w:val="none"/>
                <w14:textFill>
                  <w14:solidFill>
                    <w14:schemeClr w14:val="tx1"/>
                  </w14:solidFill>
                </w14:textFill>
              </w:rPr>
            </w:pPr>
          </w:p>
        </w:tc>
        <w:tc>
          <w:tcPr>
            <w:tcW w:w="106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11DF5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6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85733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2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9CBC3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数据安全网关</w:t>
            </w:r>
          </w:p>
        </w:tc>
        <w:tc>
          <w:tcPr>
            <w:tcW w:w="4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CF6EF4">
            <w:pPr>
              <w:keepNext w:val="0"/>
              <w:keepLines w:val="0"/>
              <w:widowControl/>
              <w:suppressLineNumbers w:val="0"/>
              <w:jc w:val="left"/>
              <w:textAlignment w:val="center"/>
              <w:rPr>
                <w:rFonts w:hint="default" w:ascii="Times New Roman" w:hAnsi="Times New Roman" w:eastAsia="微软雅黑" w:cs="Times New Roman"/>
                <w:i w:val="0"/>
                <w:iCs w:val="0"/>
                <w:color w:val="000000" w:themeColor="text1"/>
                <w:sz w:val="20"/>
                <w:szCs w:val="20"/>
                <w:highlight w:val="none"/>
                <w:u w:val="none"/>
                <w14:textFill>
                  <w14:solidFill>
                    <w14:schemeClr w14:val="tx1"/>
                  </w14:solidFill>
                </w14:textFill>
              </w:rPr>
            </w:pPr>
            <w:r>
              <w:rPr>
                <w:rFonts w:hint="default" w:ascii="Times New Roman" w:hAnsi="Times New Roman" w:eastAsia="微软雅黑" w:cs="Times New Roman"/>
                <w:i w:val="0"/>
                <w:iCs w:val="0"/>
                <w:color w:val="000000" w:themeColor="text1"/>
                <w:kern w:val="0"/>
                <w:sz w:val="20"/>
                <w:szCs w:val="20"/>
                <w:highlight w:val="none"/>
                <w:u w:val="none"/>
                <w:lang w:val="en-US" w:eastAsia="zh-CN" w:bidi="ar"/>
                <w14:textFill>
                  <w14:solidFill>
                    <w14:schemeClr w14:val="tx1"/>
                  </w14:solidFill>
                </w14:textFill>
              </w:rPr>
              <w:t>•</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xml:space="preserve"> 吞吐量：≥5Gbps</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default" w:ascii="Times New Roman" w:hAnsi="Times New Roman" w:eastAsia="微软雅黑" w:cs="Times New Roman"/>
                <w:i w:val="0"/>
                <w:iCs w:val="0"/>
                <w:color w:val="000000" w:themeColor="text1"/>
                <w:kern w:val="0"/>
                <w:sz w:val="20"/>
                <w:szCs w:val="20"/>
                <w:highlight w:val="none"/>
                <w:u w:val="none"/>
                <w:lang w:val="en-US" w:eastAsia="zh-CN" w:bidi="ar"/>
                <w14:textFill>
                  <w14:solidFill>
                    <w14:schemeClr w14:val="tx1"/>
                  </w14:solidFill>
                </w14:textFill>
              </w:rPr>
              <w:t>•</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xml:space="preserve"> 安全功能：集成数据脱敏、动态加密、数据防泄漏（DLP）、API安全管控、数据库审计</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default" w:ascii="Times New Roman" w:hAnsi="Times New Roman" w:eastAsia="微软雅黑" w:cs="Times New Roman"/>
                <w:i w:val="0"/>
                <w:iCs w:val="0"/>
                <w:color w:val="000000" w:themeColor="text1"/>
                <w:kern w:val="0"/>
                <w:sz w:val="20"/>
                <w:szCs w:val="20"/>
                <w:highlight w:val="none"/>
                <w:u w:val="none"/>
                <w:lang w:val="en-US" w:eastAsia="zh-CN" w:bidi="ar"/>
                <w14:textFill>
                  <w14:solidFill>
                    <w14:schemeClr w14:val="tx1"/>
                  </w14:solidFill>
                </w14:textFill>
              </w:rPr>
              <w:t>•</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xml:space="preserve"> 协议支持：支持SQL, FTP, HTTP, API等多种协议深度解析</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default" w:ascii="Times New Roman" w:hAnsi="Times New Roman" w:eastAsia="微软雅黑" w:cs="Times New Roman"/>
                <w:i w:val="0"/>
                <w:iCs w:val="0"/>
                <w:color w:val="000000" w:themeColor="text1"/>
                <w:kern w:val="0"/>
                <w:sz w:val="20"/>
                <w:szCs w:val="20"/>
                <w:highlight w:val="none"/>
                <w:u w:val="none"/>
                <w:lang w:val="en-US" w:eastAsia="zh-CN" w:bidi="ar"/>
                <w14:textFill>
                  <w14:solidFill>
                    <w14:schemeClr w14:val="tx1"/>
                  </w14:solidFill>
                </w14:textFill>
              </w:rPr>
              <w:t>•</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xml:space="preserve"> 策略管理：支持基于数据分类分级的精细化管理策略</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AEFEED">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台</w:t>
            </w:r>
          </w:p>
        </w:tc>
        <w:tc>
          <w:tcPr>
            <w:tcW w:w="8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570BB8">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w:t>
            </w:r>
          </w:p>
        </w:tc>
      </w:tr>
      <w:tr w14:paraId="0DC886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60" w:hRule="atLeast"/>
        </w:trPr>
        <w:tc>
          <w:tcPr>
            <w:tcW w:w="57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9005A2">
            <w:pPr>
              <w:jc w:val="center"/>
              <w:rPr>
                <w:rFonts w:hint="eastAsia" w:ascii="微软雅黑" w:hAnsi="微软雅黑" w:eastAsia="微软雅黑" w:cs="微软雅黑"/>
                <w:i w:val="0"/>
                <w:iCs w:val="0"/>
                <w:color w:val="000000" w:themeColor="text1"/>
                <w:sz w:val="20"/>
                <w:szCs w:val="20"/>
                <w:highlight w:val="none"/>
                <w:u w:val="none"/>
                <w14:textFill>
                  <w14:solidFill>
                    <w14:schemeClr w14:val="tx1"/>
                  </w14:solidFill>
                </w14:textFill>
              </w:rPr>
            </w:pPr>
          </w:p>
        </w:tc>
        <w:tc>
          <w:tcPr>
            <w:tcW w:w="106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49726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6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D2EBCB9">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数据加工与运营</w:t>
            </w:r>
          </w:p>
        </w:tc>
        <w:tc>
          <w:tcPr>
            <w:tcW w:w="12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ACAEBA">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安全隔离与分析沙箱</w:t>
            </w:r>
          </w:p>
        </w:tc>
        <w:tc>
          <w:tcPr>
            <w:tcW w:w="4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26000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计算节点：每套≥2节点，每节点配置：≥16核/128GB内存/2 * 1TB NVMe SSD</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网络隔离：硬件VLAN/SDN隔离，确保数据不出域</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数据接入：支持多种数据源安全接入与脱敏</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环境封装：支持Docker容器化环境，快速部署分析算法</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5BFD44">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8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02EBB0">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w:t>
            </w:r>
          </w:p>
        </w:tc>
      </w:tr>
      <w:tr w14:paraId="5D7907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60" w:hRule="atLeast"/>
        </w:trPr>
        <w:tc>
          <w:tcPr>
            <w:tcW w:w="57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EB34B9">
            <w:pPr>
              <w:jc w:val="center"/>
              <w:rPr>
                <w:rFonts w:hint="eastAsia" w:ascii="微软雅黑" w:hAnsi="微软雅黑" w:eastAsia="微软雅黑" w:cs="微软雅黑"/>
                <w:i w:val="0"/>
                <w:iCs w:val="0"/>
                <w:color w:val="000000" w:themeColor="text1"/>
                <w:sz w:val="20"/>
                <w:szCs w:val="20"/>
                <w:highlight w:val="none"/>
                <w:u w:val="none"/>
                <w14:textFill>
                  <w14:solidFill>
                    <w14:schemeClr w14:val="tx1"/>
                  </w14:solidFill>
                </w14:textFill>
              </w:rPr>
            </w:pPr>
          </w:p>
        </w:tc>
        <w:tc>
          <w:tcPr>
            <w:tcW w:w="106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1E850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6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8167B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2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4D285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数据运营大屏</w:t>
            </w:r>
          </w:p>
        </w:tc>
        <w:tc>
          <w:tcPr>
            <w:tcW w:w="4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0623B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屏幕规格：55英寸LED液晶拼接屏，拼缝≤3.5mm，3 * 4拼接</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亮度：≥500cd/m²</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控制系统：含图像拼接处理器，支持多路信号源开窗、漫游、叠加</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安装：含落地支架或机柜</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2D2214">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8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BDF86A">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bl>
    <w:p w14:paraId="3E0F9AAA">
      <w:pPr>
        <w:bidi w:val="0"/>
        <w:rPr>
          <w:rFonts w:hint="eastAsia"/>
          <w:color w:val="000000" w:themeColor="text1"/>
          <w:highlight w:val="none"/>
          <w:lang w:val="en-US" w:eastAsia="zh-CN"/>
          <w14:textFill>
            <w14:solidFill>
              <w14:schemeClr w14:val="tx1"/>
            </w14:solidFill>
          </w14:textFill>
        </w:rPr>
      </w:pPr>
    </w:p>
    <w:p w14:paraId="7829B63B">
      <w:pPr>
        <w:bidi w:val="0"/>
        <w:rPr>
          <w:rFonts w:hint="eastAsia"/>
          <w:color w:val="000000" w:themeColor="text1"/>
          <w:highlight w:val="none"/>
          <w:lang w:val="en-US" w:eastAsia="zh-CN"/>
          <w14:textFill>
            <w14:solidFill>
              <w14:schemeClr w14:val="tx1"/>
            </w14:solidFill>
          </w14:textFill>
        </w:rPr>
      </w:pPr>
    </w:p>
    <w:tbl>
      <w:tblPr>
        <w:tblStyle w:val="4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58"/>
        <w:gridCol w:w="6200"/>
        <w:gridCol w:w="917"/>
        <w:gridCol w:w="893"/>
      </w:tblGrid>
      <w:tr w14:paraId="66BE8D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F3280C1">
            <w:pPr>
              <w:jc w:val="center"/>
              <w:rPr>
                <w:rFonts w:hint="eastAsia" w:ascii="仿宋" w:hAnsi="仿宋" w:eastAsia="仿宋" w:cs="仿宋"/>
                <w:b/>
                <w:bCs/>
                <w:i w:val="0"/>
                <w:iCs w:val="0"/>
                <w:color w:val="000000" w:themeColor="text1"/>
                <w:sz w:val="20"/>
                <w:szCs w:val="20"/>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三、数据安全空间</w:t>
            </w:r>
            <w:r>
              <w:rPr>
                <w:rFonts w:hint="default" w:ascii="Times New Roman" w:hAnsi="Times New Roman" w:eastAsia="仿宋" w:cs="Times New Roman"/>
                <w:b/>
                <w:bCs/>
                <w:i w:val="0"/>
                <w:iCs w:val="0"/>
                <w:color w:val="000000" w:themeColor="text1"/>
                <w:kern w:val="0"/>
                <w:sz w:val="20"/>
                <w:szCs w:val="20"/>
                <w:highlight w:val="none"/>
                <w:u w:val="none"/>
                <w:lang w:val="en-US" w:eastAsia="zh-CN" w:bidi="ar"/>
                <w14:textFill>
                  <w14:solidFill>
                    <w14:schemeClr w14:val="tx1"/>
                  </w14:solidFill>
                </w14:textFill>
              </w:rPr>
              <w:t>​</w:t>
            </w:r>
          </w:p>
        </w:tc>
      </w:tr>
      <w:tr w14:paraId="0BF1FF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7C9DFC">
            <w:pPr>
              <w:keepNext w:val="0"/>
              <w:keepLines w:val="0"/>
              <w:widowControl/>
              <w:suppressLineNumbers w:val="0"/>
              <w:jc w:val="center"/>
              <w:textAlignment w:val="center"/>
              <w:rPr>
                <w:rFonts w:hint="default"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A38C9B">
            <w:pPr>
              <w:keepNext w:val="0"/>
              <w:keepLines w:val="0"/>
              <w:widowControl/>
              <w:suppressLineNumbers w:val="0"/>
              <w:jc w:val="center"/>
              <w:textAlignment w:val="center"/>
              <w:rPr>
                <w:rFonts w:hint="default"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4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3A3F67">
            <w:pPr>
              <w:keepNext w:val="0"/>
              <w:keepLines w:val="0"/>
              <w:widowControl/>
              <w:suppressLineNumbers w:val="0"/>
              <w:jc w:val="center"/>
              <w:textAlignment w:val="center"/>
              <w:rPr>
                <w:rFonts w:hint="default"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单位</w:t>
            </w: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626CC3">
            <w:pPr>
              <w:keepNext w:val="0"/>
              <w:keepLines w:val="0"/>
              <w:widowControl/>
              <w:suppressLineNumbers w:val="0"/>
              <w:jc w:val="center"/>
              <w:textAlignment w:val="center"/>
              <w:rPr>
                <w:rFonts w:hint="default"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数量</w:t>
            </w:r>
          </w:p>
        </w:tc>
      </w:tr>
      <w:tr w14:paraId="1A86CB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98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F29F0C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数据分类分级与资产目录</w:t>
            </w:r>
            <w:r>
              <w:rPr>
                <w:rStyle w:val="288"/>
                <w:rFonts w:eastAsia="仿宋"/>
                <w:color w:val="000000" w:themeColor="text1"/>
                <w:sz w:val="20"/>
                <w:szCs w:val="20"/>
                <w:highlight w:val="none"/>
                <w:lang w:val="en-US" w:eastAsia="zh-CN" w:bidi="ar"/>
                <w14:textFill>
                  <w14:solidFill>
                    <w14:schemeClr w14:val="tx1"/>
                  </w14:solidFill>
                </w14:textFill>
              </w:rPr>
              <w:t>​</w:t>
            </w: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F4586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1.自动化数据发现与分类分级：通过扫描元数据、采样分析数据内容，自动识别敏感个人信息（如身份证、健康信息）和重要数据，并依据国标/行标自动打标，形成分类分级目录。</w:t>
            </w:r>
          </w:p>
        </w:tc>
        <w:tc>
          <w:tcPr>
            <w:tcW w:w="46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BC74077">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0F29FF1">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6E024F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B3D27E">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11A94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2.数据资产地图：提供全局数据资产地图，可视化展示数据分布、敏感度、血缘关系、访问权限和责任人，实现数据资产一目了然。</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EE185F">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28299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083039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13D26D">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6BCF8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3.数据安全合规性评估：内置法律法规知识库和评估模型，自动检测数据存储、使用、共享环节的合规风险，生成评估报告和建议。</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7445C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034CD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374ED5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D3E1FD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数据安全策略中心</w:t>
            </w:r>
            <w:r>
              <w:rPr>
                <w:rStyle w:val="288"/>
                <w:rFonts w:eastAsia="仿宋"/>
                <w:color w:val="000000" w:themeColor="text1"/>
                <w:sz w:val="20"/>
                <w:szCs w:val="20"/>
                <w:highlight w:val="none"/>
                <w:lang w:val="en-US" w:eastAsia="zh-CN" w:bidi="ar"/>
                <w14:textFill>
                  <w14:solidFill>
                    <w14:schemeClr w14:val="tx1"/>
                  </w14:solidFill>
                </w14:textFill>
              </w:rPr>
              <w:t>​</w:t>
            </w: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B547E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1.统一策略管理与下发：提供集中化的策略管理界面，可定义基于角色、数据分类、环境上下文（如IP、时间）的精细化访问控制、脱敏、加密策略，并一键下发至各数据节点。</w:t>
            </w:r>
          </w:p>
        </w:tc>
        <w:tc>
          <w:tcPr>
            <w:tcW w:w="46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47E84D4">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ECE79B6">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2AA2E3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FA0A0F">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7610E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2.策略仿真与验证：支持在策略生效前进行仿真测试，验证策略的有效性和是否存在过度授权，避免影响业务。</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F6AF4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511C9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7845FB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C4C020">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B081D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3.自适应安全引擎：利用AI学习用户行为基线，对异常数据访问行为（如非工作时间批量下载敏感数据）进行实时告警和动态权限调整。</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D3BBE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08764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3AF084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3D840F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数据血缘与合规审计</w:t>
            </w:r>
            <w:r>
              <w:rPr>
                <w:rStyle w:val="288"/>
                <w:rFonts w:eastAsia="仿宋"/>
                <w:color w:val="000000" w:themeColor="text1"/>
                <w:sz w:val="20"/>
                <w:szCs w:val="20"/>
                <w:highlight w:val="none"/>
                <w:lang w:val="en-US" w:eastAsia="zh-CN" w:bidi="ar"/>
                <w14:textFill>
                  <w14:solidFill>
                    <w14:schemeClr w14:val="tx1"/>
                  </w14:solidFill>
                </w14:textFill>
              </w:rPr>
              <w:t>​</w:t>
            </w: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73742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1.全链路数据血缘分析：跟踪数据从产生到销毁的全生命周期轨迹，清晰展示数据的来源、加工过程、流转路径和使用方，支撑事中追溯和事后定责。</w:t>
            </w:r>
          </w:p>
        </w:tc>
        <w:tc>
          <w:tcPr>
            <w:tcW w:w="46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4C02FD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7C519AA">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6E6688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AD8BC8">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B9966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2.全面审计与报表：记录所有数据访问、操作、策略变更日志，提供多维度、可视化的审计报表，满足等保、关基、行业监管等审计要求。</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39833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C2CB7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31DDF8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00" w:hRule="atLeast"/>
        </w:trPr>
        <w:tc>
          <w:tcPr>
            <w:tcW w:w="98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F4D95F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隐私计算基础平台</w:t>
            </w:r>
            <w:r>
              <w:rPr>
                <w:rStyle w:val="288"/>
                <w:rFonts w:eastAsia="仿宋"/>
                <w:color w:val="000000" w:themeColor="text1"/>
                <w:sz w:val="20"/>
                <w:szCs w:val="20"/>
                <w:highlight w:val="none"/>
                <w:lang w:val="en-US" w:eastAsia="zh-CN" w:bidi="ar"/>
                <w14:textFill>
                  <w14:solidFill>
                    <w14:schemeClr w14:val="tx1"/>
                  </w14:solidFill>
                </w14:textFill>
              </w:rPr>
              <w:t>​</w:t>
            </w: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2D6BA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1.多技术融合引擎：集成联邦学习（FL）、安全多方计算（MPC）、可信执行环境（TEE）​三大主流隐私计算技术，可根据不同场景选择最优或组合技术方案，实现数据“不出域”、价值“流通”。</w:t>
            </w:r>
          </w:p>
        </w:tc>
        <w:tc>
          <w:tcPr>
            <w:tcW w:w="46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898963A">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154C1F9">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5CCA79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55FD24">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54AC4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2.高性能计算框架：针对大规模数据联合建模和统计分析的性能优化，支持分布式集群部署，将计算耗时控制在业务可接受的范围内。</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BE01AF">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AC50A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3E45D3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2B30D0">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A639C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3.算法库与模板市场：提供开箱即用的联合统计、联合建模、隐匿查询等算法模板，降低业务方使用门槛。</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6A8C4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E26F1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00B29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BDB90A">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数据可信流通与运营平台</w:t>
            </w:r>
            <w:r>
              <w:rPr>
                <w:rStyle w:val="288"/>
                <w:rFonts w:eastAsia="仿宋"/>
                <w:color w:val="000000" w:themeColor="text1"/>
                <w:sz w:val="20"/>
                <w:szCs w:val="20"/>
                <w:highlight w:val="none"/>
                <w:lang w:val="en-US" w:eastAsia="zh-CN" w:bidi="ar"/>
                <w14:textFill>
                  <w14:solidFill>
                    <w14:schemeClr w14:val="tx1"/>
                  </w14:solidFill>
                </w14:textFill>
              </w:rPr>
              <w:t>​</w:t>
            </w: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1AEA7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1.数据资源登记与确权：提供数据产品登记、确权存证服务，为数据要素市场化奠定法律基础。</w:t>
            </w:r>
          </w:p>
        </w:tc>
        <w:tc>
          <w:tcPr>
            <w:tcW w:w="46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990850F">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8799AEF">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326396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4DA605">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9C774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2.流通规则管理与智能合约：支持定义数据使用的目的、范围、次数、时长等规则，并通过智能合约自动执行，确保“用途可控可计量”。</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5126C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E2D69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5529E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83F5E9">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A873E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3.数据沙箱环境：为敏感数据提供安全的隔离计算环境，允许外部算法“入库”计算，但只输出结果，不带走数据。</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3C738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2DFC5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0B9E3E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3F36DF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数据加密与脱敏系统</w:t>
            </w:r>
            <w:r>
              <w:rPr>
                <w:rStyle w:val="288"/>
                <w:rFonts w:eastAsia="仿宋"/>
                <w:color w:val="000000" w:themeColor="text1"/>
                <w:sz w:val="20"/>
                <w:szCs w:val="20"/>
                <w:highlight w:val="none"/>
                <w:lang w:val="en-US" w:eastAsia="zh-CN" w:bidi="ar"/>
                <w14:textFill>
                  <w14:solidFill>
                    <w14:schemeClr w14:val="tx1"/>
                  </w14:solidFill>
                </w14:textFill>
              </w:rPr>
              <w:t>​</w:t>
            </w: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9488A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1.统一密钥管理服务：提供符合国密标准的全生命周期密钥管理，支持硬件加密机（HSM）集成，确保密钥安全。</w:t>
            </w:r>
          </w:p>
        </w:tc>
        <w:tc>
          <w:tcPr>
            <w:tcW w:w="46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ECB454">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28A18FF">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7288E2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929481">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6B00B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2.动态与静态数据加密：支持数据库透明加密、文件系统加密、应用层加密等多种方式，覆盖数据存储、传输、使用全环节。</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450AB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4A9FD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49159A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F4D0DA">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A87FE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3.智能数据脱敏：提供静态脱敏（用于开发测试）和动态脱敏（用于生产查询），支持可逆脱敏（用于隐私计算后结果还原）和不可逆脱敏。</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6C43E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4B1AA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58F995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4489903">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数据泄露防护系统</w:t>
            </w:r>
            <w:r>
              <w:rPr>
                <w:rStyle w:val="288"/>
                <w:rFonts w:eastAsia="仿宋"/>
                <w:color w:val="000000" w:themeColor="text1"/>
                <w:sz w:val="20"/>
                <w:szCs w:val="20"/>
                <w:highlight w:val="none"/>
                <w:lang w:val="en-US" w:eastAsia="zh-CN" w:bidi="ar"/>
                <w14:textFill>
                  <w14:solidFill>
                    <w14:schemeClr w14:val="tx1"/>
                  </w14:solidFill>
                </w14:textFill>
              </w:rPr>
              <w:t>​</w:t>
            </w: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2F39A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1.全方位内容识别：通过深度内容识别（DLP）引擎，精准识别通过网络、邮件、U盘、云盘等渠道外发的敏感数据。</w:t>
            </w:r>
          </w:p>
        </w:tc>
        <w:tc>
          <w:tcPr>
            <w:tcW w:w="46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FDDA66D">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4CF5679">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6AECA0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9083DC">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DE2EB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2.智能风险预警与阻断：基于策略对高风险外发行为进行实时告警、审批或阻断，并记录审计日志。</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AFFDF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39BC8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479D8F5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C1AF7E">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A23BD0">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3.水印溯源技术：为分发的数据添加可见或不可见的数字水印，一旦发生泄露，可精准定位泄露源。</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FC524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C1733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6AB407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98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531DB6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API安全与数据服务网关</w:t>
            </w:r>
            <w:r>
              <w:rPr>
                <w:rStyle w:val="288"/>
                <w:rFonts w:eastAsia="仿宋"/>
                <w:color w:val="000000" w:themeColor="text1"/>
                <w:sz w:val="20"/>
                <w:szCs w:val="20"/>
                <w:highlight w:val="none"/>
                <w:lang w:val="en-US" w:eastAsia="zh-CN" w:bidi="ar"/>
                <w14:textFill>
                  <w14:solidFill>
                    <w14:schemeClr w14:val="tx1"/>
                  </w14:solidFill>
                </w14:textFill>
              </w:rPr>
              <w:t>​</w:t>
            </w: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6BB41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1.统一API安全管控：作为所有数据服务API的统一出口，提供身份认证、权限校验、流量控制、风险识别（防爬虫、防滥用）、数据加密等功能。</w:t>
            </w:r>
          </w:p>
        </w:tc>
        <w:tc>
          <w:tcPr>
            <w:tcW w:w="46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309F2A0">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2A852A7">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539A6E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7EBB71">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A07610">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2.安全审计与监控：全面监控API调用情况，对异常访问进行实时告警和防护。</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8EE31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01F6C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779E9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3857CBA">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统一安全运营中心</w:t>
            </w:r>
            <w:r>
              <w:rPr>
                <w:rStyle w:val="288"/>
                <w:rFonts w:eastAsia="仿宋"/>
                <w:color w:val="000000" w:themeColor="text1"/>
                <w:sz w:val="20"/>
                <w:szCs w:val="20"/>
                <w:highlight w:val="none"/>
                <w:lang w:val="en-US" w:eastAsia="zh-CN" w:bidi="ar"/>
                <w14:textFill>
                  <w14:solidFill>
                    <w14:schemeClr w14:val="tx1"/>
                  </w14:solidFill>
                </w14:textFill>
              </w:rPr>
              <w:t>​</w:t>
            </w: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02765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1.安全态势感知大屏：全局可视化展示数据资产安全状态、风险态势、攻击威胁、流通情况等。</w:t>
            </w:r>
          </w:p>
        </w:tc>
        <w:tc>
          <w:tcPr>
            <w:tcW w:w="46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5CD87B0">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0EDE1D6">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7D10F8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61463E">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493A9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2.安全事件协同响应：建立标准化的安全事件应急响应流程，实现告警、研判、处置、优化的闭环管理。</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9C388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8FDDA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3207EE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FF1785">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0C0E9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3.攻防演练与培训体系：建立红蓝对抗机制，定期进行实战演练，并提供全员数据安全意识培训平台。</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A230A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FC49EF">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80047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92B6F95">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密码服务与国密改造</w:t>
            </w:r>
            <w:r>
              <w:rPr>
                <w:rStyle w:val="288"/>
                <w:rFonts w:eastAsia="仿宋"/>
                <w:color w:val="000000" w:themeColor="text1"/>
                <w:sz w:val="20"/>
                <w:szCs w:val="20"/>
                <w:highlight w:val="none"/>
                <w:lang w:val="en-US" w:eastAsia="zh-CN" w:bidi="ar"/>
                <w14:textFill>
                  <w14:solidFill>
                    <w14:schemeClr w14:val="tx1"/>
                  </w14:solidFill>
                </w14:textFill>
              </w:rPr>
              <w:t>​</w:t>
            </w: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95C03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1.统一密码服务池：为上层应用提供合规、便捷的密码运算（加密、解密、签名、验签）服务接口。</w:t>
            </w:r>
          </w:p>
        </w:tc>
        <w:tc>
          <w:tcPr>
            <w:tcW w:w="46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D50A0D5">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1A0C763">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509E34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19ECB3">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0E36C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2.国密算法全面应用与改造：对现有系统进行国密算法改造，确保核心技术和密码设备的自主可控。</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2C287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2E5AE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bl>
    <w:p w14:paraId="40A8ECEC">
      <w:pPr>
        <w:bidi w:val="0"/>
        <w:rPr>
          <w:rFonts w:hint="eastAsia"/>
          <w:color w:val="000000" w:themeColor="text1"/>
          <w:highlight w:val="none"/>
          <w:lang w:val="en-US" w:eastAsia="zh-CN"/>
          <w14:textFill>
            <w14:solidFill>
              <w14:schemeClr w14:val="tx1"/>
            </w14:solidFill>
          </w14:textFill>
        </w:rPr>
      </w:pPr>
    </w:p>
    <w:p w14:paraId="281EA4B1">
      <w:pPr>
        <w:keepNext w:val="0"/>
        <w:keepLines w:val="0"/>
        <w:widowControl/>
        <w:suppressLineNumbers w:val="0"/>
        <w:spacing w:before="0" w:beforeAutospacing="0" w:after="0" w:afterAutospacing="0" w:line="240" w:lineRule="auto"/>
        <w:ind w:left="0" w:leftChars="0" w:right="0" w:rightChars="0"/>
        <w:jc w:val="both"/>
        <w:outlineLvl w:val="1"/>
        <w:rPr>
          <w:rFonts w:hint="eastAsia" w:ascii="宋体" w:hAnsi="宋体" w:eastAsia="宋体" w:cs="宋体"/>
          <w:b/>
          <w:bCs/>
          <w:i w:val="0"/>
          <w:strike w:val="0"/>
          <w:color w:val="000000" w:themeColor="text1"/>
          <w:kern w:val="0"/>
          <w:sz w:val="28"/>
          <w:szCs w:val="16"/>
          <w:highlight w:val="none"/>
          <w:u w:val="none"/>
          <w:lang w:val="en-US" w:eastAsia="zh-CN" w:bidi="ar"/>
          <w14:textFill>
            <w14:solidFill>
              <w14:schemeClr w14:val="tx1"/>
            </w14:solidFill>
          </w14:textFill>
        </w:rPr>
      </w:pPr>
      <w:r>
        <w:rPr>
          <w:rFonts w:hint="eastAsia" w:ascii="仿宋" w:hAnsi="仿宋" w:eastAsia="仿宋" w:cs="仿宋"/>
          <w:b/>
          <w:bCs/>
          <w:i w:val="0"/>
          <w:strike w:val="0"/>
          <w:color w:val="000000" w:themeColor="text1"/>
          <w:kern w:val="0"/>
          <w:sz w:val="30"/>
          <w:szCs w:val="30"/>
          <w:highlight w:val="none"/>
          <w:u w:val="none"/>
          <w:lang w:val="en-US" w:eastAsia="zh-CN" w:bidi="ar"/>
          <w14:textFill>
            <w14:solidFill>
              <w14:schemeClr w14:val="tx1"/>
            </w14:solidFill>
          </w14:textFill>
        </w:rPr>
        <w:t>二、城市智能协同中枢</w:t>
      </w:r>
    </w:p>
    <w:p w14:paraId="429BBE99">
      <w:pPr>
        <w:keepNext w:val="0"/>
        <w:keepLines w:val="0"/>
        <w:widowControl/>
        <w:suppressLineNumbers w:val="0"/>
        <w:spacing w:before="0" w:beforeAutospacing="0" w:after="0" w:afterAutospacing="0" w:line="240" w:lineRule="auto"/>
        <w:ind w:left="0" w:leftChars="0" w:right="0" w:rightChars="0"/>
        <w:jc w:val="both"/>
        <w:outlineLvl w:val="1"/>
        <w:rPr>
          <w:rFonts w:hint="eastAsia" w:ascii="宋体" w:hAnsi="宋体" w:eastAsia="宋体" w:cs="宋体"/>
          <w:b/>
          <w:bCs/>
          <w:i w:val="0"/>
          <w:strike w:val="0"/>
          <w:color w:val="000000" w:themeColor="text1"/>
          <w:kern w:val="0"/>
          <w:sz w:val="28"/>
          <w:szCs w:val="16"/>
          <w:highlight w:val="none"/>
          <w:u w:val="none"/>
          <w:lang w:val="en-US" w:eastAsia="zh-CN" w:bidi="ar"/>
          <w14:textFill>
            <w14:solidFill>
              <w14:schemeClr w14:val="tx1"/>
            </w14:solidFill>
          </w14:textFill>
        </w:rPr>
      </w:pPr>
      <w:r>
        <w:rPr>
          <w:rFonts w:hint="eastAsia" w:ascii="仿宋" w:hAnsi="仿宋" w:eastAsia="仿宋" w:cs="仿宋"/>
          <w:b/>
          <w:bCs/>
          <w:i w:val="0"/>
          <w:strike w:val="0"/>
          <w:color w:val="000000" w:themeColor="text1"/>
          <w:kern w:val="0"/>
          <w:sz w:val="28"/>
          <w:szCs w:val="16"/>
          <w:highlight w:val="none"/>
          <w:u w:val="none"/>
          <w:lang w:val="en-US" w:eastAsia="zh-CN" w:bidi="ar"/>
          <w14:textFill>
            <w14:solidFill>
              <w14:schemeClr w14:val="tx1"/>
            </w14:solidFill>
          </w14:textFill>
        </w:rPr>
        <w:t>（一）数字孪生基础平台</w:t>
      </w:r>
    </w:p>
    <w:tbl>
      <w:tblPr>
        <w:tblStyle w:val="4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68"/>
        <w:gridCol w:w="6180"/>
        <w:gridCol w:w="893"/>
        <w:gridCol w:w="927"/>
      </w:tblGrid>
      <w:tr w14:paraId="0370236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115F109">
            <w:pPr>
              <w:jc w:val="center"/>
              <w:rPr>
                <w:rFonts w:hint="eastAsia" w:ascii="仿宋" w:hAnsi="仿宋" w:eastAsia="仿宋" w:cs="仿宋"/>
                <w:b/>
                <w:bCs/>
                <w:i w:val="0"/>
                <w:iCs w:val="0"/>
                <w:color w:val="000000" w:themeColor="text1"/>
                <w:sz w:val="20"/>
                <w:szCs w:val="20"/>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四、数字孪生基础平台​</w:t>
            </w:r>
          </w:p>
        </w:tc>
      </w:tr>
      <w:tr w14:paraId="774E6C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9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40CB9E">
            <w:pPr>
              <w:keepNext w:val="0"/>
              <w:keepLines w:val="0"/>
              <w:widowControl/>
              <w:suppressLineNumbers w:val="0"/>
              <w:jc w:val="left"/>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3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40D89A">
            <w:pPr>
              <w:keepNext w:val="0"/>
              <w:keepLines w:val="0"/>
              <w:widowControl/>
              <w:suppressLineNumbers w:val="0"/>
              <w:jc w:val="left"/>
              <w:textAlignment w:val="cente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4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B1F8DA">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单位</w:t>
            </w:r>
          </w:p>
        </w:tc>
        <w:tc>
          <w:tcPr>
            <w:tcW w:w="4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E5CD53">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数量</w:t>
            </w:r>
          </w:p>
        </w:tc>
      </w:tr>
      <w:tr w14:paraId="1ADA6C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6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C5CB18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时空大数据平台​</w:t>
            </w:r>
          </w:p>
        </w:tc>
        <w:tc>
          <w:tcPr>
            <w:tcW w:w="3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9EEBA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多源数据融合引擎：建立统一的空间数据标准，实现对二维/三维地理信息数据（DLG/DEM/DOM）、倾斜摄影实景三维模型、BIM模型、城市部件模型、地下管线数据等多源异构空间数据的自动化接入、坐标统一、格式转换与轻量化处理。</w:t>
            </w:r>
          </w:p>
        </w:tc>
        <w:tc>
          <w:tcPr>
            <w:tcW w:w="44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1483FB0">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CFDD3C0">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2A8AB8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D4E6CD">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20E3A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2.动态数据接入与可视化：提供标准接口，无缝接入物联网（IoT）传感器数据、视频监控数据、业务系统数据（如交通流量、人口热力、事件工单），并在三维场景中进行实时渲染与表达。</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FC4C5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2E314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32129A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FEA8FA">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351B0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3.时空信息数据库：构建支持海量空间数据存储、管理、查询和分析的分布式空间数据库。</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A17B4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B5CD5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51932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0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1BAA6E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城市信息模型基础平台​</w:t>
            </w:r>
          </w:p>
        </w:tc>
        <w:tc>
          <w:tcPr>
            <w:tcW w:w="3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8386D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全要素三维场景构建：基于倾斜摄影、激光点云等技术，生产覆盖全市域的L2级（城市级）和重点区域的L3级（部件级）高精度实景三维模型，并实现与规划审批BIM模型的无缝集成，形成完整的城市信息模型（CIM）。</w:t>
            </w:r>
          </w:p>
        </w:tc>
        <w:tc>
          <w:tcPr>
            <w:tcW w:w="44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E04D5A3">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95A1902">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0EDC70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0A4A86">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200EC5">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2.模型轻量化与Web发布：对大型三维模型进行自动化轻量化处理，支持在Web浏览器中进行流畅的浏览、查询、剖切、测量等操作。</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99E86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793F9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7CC8E7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D8DAE5">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6848B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3.语义化与信息关联：为三维模型中的建筑、道路、管线等对象添加语义信息（如产权人、建筑面积、材质），并与业务数据库关联，实现“图属联动”。</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8E024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A5EC5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5F30C9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374F4E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可视化渲染与交互引擎​</w:t>
            </w:r>
          </w:p>
        </w:tc>
        <w:tc>
          <w:tcPr>
            <w:tcW w:w="3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6A91A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1.高性能可视化渲染：基于WebGL技术，构建支持海量城市级三维数据在浏览器端流畅渲染的引擎，支持白天/黑夜、天气效果等动态切换。</w:t>
            </w:r>
          </w:p>
        </w:tc>
        <w:tc>
          <w:tcPr>
            <w:tcW w:w="44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7E0820F">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313F42F">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6C1909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076941">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D6241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2.多维数据一体化展示：支持在三维场景中融合展示二维图表、视频监控、传感器位置与实时数据、业务数据面板，实现“一图统览”。</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9E808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3F3DA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3A774D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81ECBF">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39505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3.沉浸式交互体验：提供第一人称/第三人称漫游、飞行巡检、场景切换、对象点选查询、属性面板弹出等丰富的交互功能。</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985CF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A6EF5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08DDD6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CBA63F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分析模拟与决策支持引擎​</w:t>
            </w:r>
          </w:p>
        </w:tc>
        <w:tc>
          <w:tcPr>
            <w:tcW w:w="3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2A065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1.空间分析工具集：提供通视分析、可视域分析、日照分析、坡度坡向分析、填挖方分析、洪水淹没分析等专业的空间分析工具。</w:t>
            </w:r>
          </w:p>
        </w:tc>
        <w:tc>
          <w:tcPr>
            <w:tcW w:w="44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42D08C1">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DA28253">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0B0D6C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95FD07">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1F874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2.交通与人流仿真：集成微观交通仿真引擎，模拟车流、人流的移动，用于交通疏导方案预演、应急疏散路径规划。</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31D81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1A6EC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CD768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A46EA9">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1CA7C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3.城市规划方案对比：支持将不同规划方案（如新建建筑、道路改扩建）的BIM模型置入现状场景，进行天际线、日照遮挡等影响分析，辅助科学决策。</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14A26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57EFD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7A8B5C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0FEF045">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物联感知与控制引擎​</w:t>
            </w:r>
          </w:p>
        </w:tc>
        <w:tc>
          <w:tcPr>
            <w:tcW w:w="3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E9C69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1.虚实映射与驱动：建立物理实体（如路灯、摄像头、环境传感器）与三维模型中虚拟对象的映射关系，实现状态同步显示和反向控制。</w:t>
            </w:r>
          </w:p>
        </w:tc>
        <w:tc>
          <w:tcPr>
            <w:tcW w:w="44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69EBCE7">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9CF2E78">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4496A12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E36E12">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818BA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2.规则引擎与自动化：支持设定基于空间位置的联动规则（如消防告警时自动定位并调取周边监控），实现跨系统智能联动。</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F584F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7DAB5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A620DF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2DFBFB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二次开发与API开放平台​</w:t>
            </w:r>
          </w:p>
        </w:tc>
        <w:tc>
          <w:tcPr>
            <w:tcW w:w="3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5F7A5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1.丰富的开发接口（API/SDK）：提供完整的三维场景调用、数据查询、分析功能调用等API接口，方便各业务部门（如社区、交通、康养）基于平台快速开发专业应用。</w:t>
            </w:r>
          </w:p>
        </w:tc>
        <w:tc>
          <w:tcPr>
            <w:tcW w:w="44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B247120">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AC24A14">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6C5260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33A279">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0DC29A">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2.低代码应用构建工具：提供图形化界面，允许业务人员通过拖拽方式，配置生成专题应用场景和指挥大屏，降低使用门槛。</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699BE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417A9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5585E9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CB313C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平台运维与管理体系​</w:t>
            </w:r>
          </w:p>
        </w:tc>
        <w:tc>
          <w:tcPr>
            <w:tcW w:w="3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8B2B9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1.统一运维监控中心：监控平台各项服务的运行状态、资源消耗、API调用情况，实现故障预警和健康度评估。</w:t>
            </w:r>
          </w:p>
        </w:tc>
        <w:tc>
          <w:tcPr>
            <w:tcW w:w="44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11A15BC">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6504E92">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02DBF4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E33A66">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5490D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2.用户权限与资源管理：实现精细化的用户、角色、权限管理，以及对平台数据、模型、应用等资源的分级授权管理。</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CB594F">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5100E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17018B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0AD5D0">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56A99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3.标准规范与安全体系：制定数据、模型、接口、安全等全套标准规范，确保平台可持续、安全发展。</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3D50F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1B450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bl>
    <w:p w14:paraId="7854C9CE">
      <w:pPr>
        <w:pStyle w:val="3"/>
        <w:numPr>
          <w:ilvl w:val="0"/>
          <w:numId w:val="5"/>
        </w:numPr>
        <w:bidi w:val="0"/>
        <w:rPr>
          <w:rFonts w:hint="eastAsia" w:ascii="仿宋" w:hAnsi="仿宋" w:eastAsia="仿宋" w:cs="仿宋"/>
          <w:color w:val="000000" w:themeColor="text1"/>
          <w:sz w:val="28"/>
          <w:szCs w:val="28"/>
          <w:highlight w:val="none"/>
          <w:lang w:val="en-US" w:eastAsia="zh-CN"/>
          <w14:textFill>
            <w14:solidFill>
              <w14:schemeClr w14:val="tx1"/>
            </w14:solidFill>
          </w14:textFill>
        </w:rPr>
      </w:pPr>
      <w:r>
        <w:rPr>
          <w:rFonts w:hint="eastAsia" w:ascii="仿宋" w:hAnsi="仿宋" w:eastAsia="仿宋" w:cs="仿宋"/>
          <w:color w:val="000000" w:themeColor="text1"/>
          <w:sz w:val="28"/>
          <w:szCs w:val="28"/>
          <w:highlight w:val="none"/>
          <w:lang w:val="en-US" w:eastAsia="zh-CN"/>
          <w14:textFill>
            <w14:solidFill>
              <w14:schemeClr w14:val="tx1"/>
            </w14:solidFill>
          </w14:textFill>
        </w:rPr>
        <w:t>联动中心一体化平台</w:t>
      </w:r>
    </w:p>
    <w:tbl>
      <w:tblPr>
        <w:tblStyle w:val="4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68"/>
        <w:gridCol w:w="6182"/>
        <w:gridCol w:w="893"/>
        <w:gridCol w:w="925"/>
      </w:tblGrid>
      <w:tr w14:paraId="2EBC9B7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6BFEA9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五、联动中心一体化平台</w:t>
            </w:r>
            <w:r>
              <w:rPr>
                <w:rFonts w:hint="default" w:ascii="Times New Roman" w:hAnsi="Times New Roman" w:eastAsia="仿宋" w:cs="Times New Roman"/>
                <w:b/>
                <w:bCs/>
                <w:i w:val="0"/>
                <w:iCs w:val="0"/>
                <w:color w:val="000000" w:themeColor="text1"/>
                <w:kern w:val="0"/>
                <w:sz w:val="20"/>
                <w:szCs w:val="20"/>
                <w:highlight w:val="none"/>
                <w:u w:val="none"/>
                <w:lang w:val="en-US" w:eastAsia="zh-CN" w:bidi="ar"/>
                <w14:textFill>
                  <w14:solidFill>
                    <w14:schemeClr w14:val="tx1"/>
                  </w14:solidFill>
                </w14:textFill>
              </w:rPr>
              <w:t>​</w:t>
            </w:r>
          </w:p>
        </w:tc>
      </w:tr>
      <w:tr w14:paraId="67ECE3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83E1A8">
            <w:pPr>
              <w:keepNext w:val="0"/>
              <w:keepLines w:val="0"/>
              <w:widowControl/>
              <w:suppressLineNumbers w:val="0"/>
              <w:jc w:val="left"/>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EB06C6">
            <w:pPr>
              <w:keepNext w:val="0"/>
              <w:keepLines w:val="0"/>
              <w:widowControl/>
              <w:suppressLineNumbers w:val="0"/>
              <w:jc w:val="left"/>
              <w:textAlignment w:val="cente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4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1BBAD1">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单位</w:t>
            </w: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3421D7">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数量</w:t>
            </w:r>
          </w:p>
        </w:tc>
      </w:tr>
      <w:tr w14:paraId="428CB2E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9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B709A6">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统一移动工作平台</w:t>
            </w: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27EDEA">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网格通APP、领导通APP开发</w:t>
            </w:r>
          </w:p>
        </w:tc>
        <w:tc>
          <w:tcPr>
            <w:tcW w:w="4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1CCEEC">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A3FCCA">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03729C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31205F">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统一受理分发中心</w:t>
            </w: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42D1B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统一受理、已处理、分类、协同调度、分发、流转、督办、批示、反馈、评价等</w:t>
            </w:r>
          </w:p>
        </w:tc>
        <w:tc>
          <w:tcPr>
            <w:tcW w:w="4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ACABC4">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B217D5">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7EA982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0" w:hRule="atLeast"/>
        </w:trPr>
        <w:tc>
          <w:tcPr>
            <w:tcW w:w="9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62C5E3">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统一考核</w:t>
            </w: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39D02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年度考核、上级考核、考核设置等</w:t>
            </w:r>
          </w:p>
        </w:tc>
        <w:tc>
          <w:tcPr>
            <w:tcW w:w="4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E542B5">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A71BBB">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7A059A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B503D2">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统一研判分析平台</w:t>
            </w: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E44AD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对民生110公共服务平台整合的关键数据和事件状态信息进行深度分析，深层次挖掘各类复杂多样的数据中包含的信息</w:t>
            </w:r>
          </w:p>
        </w:tc>
        <w:tc>
          <w:tcPr>
            <w:tcW w:w="4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F2F46A">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D14E72">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7E0889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9D6B47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社会治理重要应用场景开发</w:t>
            </w: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AC36A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全要素资源管理</w:t>
            </w:r>
          </w:p>
        </w:tc>
        <w:tc>
          <w:tcPr>
            <w:tcW w:w="44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27E112B">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44A776C">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54C461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41F03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B8AFC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社会治理GIS应用</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CF8FA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D3D97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4176F9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FE895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DBF693">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物联网管理</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EF296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02B45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F10A8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DF0F5A0">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数据服务API</w:t>
            </w: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CDAF00">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数据服务API开发</w:t>
            </w:r>
          </w:p>
        </w:tc>
        <w:tc>
          <w:tcPr>
            <w:tcW w:w="44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32433A0">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BAA62AB">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35CCD6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805B1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600BD3">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数据服务API鉴权、管理、监控</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C580D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E568B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4077E8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9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9D89F2">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统一基础支撑平台</w:t>
            </w: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42064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统一用户体系、应用统一接入、统一消息中心、标准规范</w:t>
            </w:r>
          </w:p>
        </w:tc>
        <w:tc>
          <w:tcPr>
            <w:tcW w:w="4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4C395A">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DE5ECC">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6B0E50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F89A24">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荣成市社会综合治理联动指挥数据中心</w:t>
            </w: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392BD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数据建仓、数据管理、数据对接实施</w:t>
            </w:r>
          </w:p>
        </w:tc>
        <w:tc>
          <w:tcPr>
            <w:tcW w:w="4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CDD7B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9681B7">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326D99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F4D76AD">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现有系统重构、对接</w:t>
            </w: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B2F7F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荣成市民生110平台重构</w:t>
            </w:r>
          </w:p>
        </w:tc>
        <w:tc>
          <w:tcPr>
            <w:tcW w:w="44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E5E8BFD">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1C54C8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0C7600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BD6EB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CD37BA">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荣成市数字城管平台重构</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A1ED3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2B371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4E19D9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1C734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FCA10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荣成市12345市长热线平台重构</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F3F7A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9FC61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BB615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E3B7D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263C7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荣成市指挥社区平台对接</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C13D0F">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22EEDF">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4FBE14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5172C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9269E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荣成市网格化社会综治平台对接</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1BDB8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26D37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4549D1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FD3F4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052B8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荣成社会信用管理系统（信易+）对接</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054D4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D4A6E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420DA1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35C92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1E25E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威海市大数据中心平台对接</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B89A8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A73B1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D50B6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F4AD5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3CC1B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威海市12345政务热线平台对接</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9BDC8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66F0A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4DB118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1FA9C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78D20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威海市政民互通系统对接</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E9552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318D4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39EFD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8353F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D1BA2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威海市考核对接（数字城管、12345、网格化联动等）</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88CD5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0A4B0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390E93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84FE3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数据智能分析模块</w:t>
            </w: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DC607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1.态势感知：对全量事件进行多维度（类型、区域、时间）统计分析和趋势研判。</w:t>
            </w:r>
          </w:p>
        </w:tc>
        <w:tc>
          <w:tcPr>
            <w:tcW w:w="44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5FB51E6">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EB61AE3">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215E52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AB6B4A">
            <w:pPr>
              <w:jc w:val="left"/>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B2491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2.热点挖掘与预警：利用大数据技术，识别民意热点、矛盾风险区域，实现超前预警。</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E7AF9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A19DE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bl>
    <w:p w14:paraId="228C7979">
      <w:pPr>
        <w:numPr>
          <w:ilvl w:val="0"/>
          <w:numId w:val="0"/>
        </w:numPr>
        <w:bidi w:val="0"/>
        <w:rPr>
          <w:rFonts w:hint="eastAsia"/>
          <w:color w:val="000000" w:themeColor="text1"/>
          <w:highlight w:val="none"/>
          <w:lang w:val="en-US" w:eastAsia="zh-CN"/>
          <w14:textFill>
            <w14:solidFill>
              <w14:schemeClr w14:val="tx1"/>
            </w14:solidFill>
          </w14:textFill>
        </w:rPr>
      </w:pPr>
    </w:p>
    <w:p w14:paraId="718F5538">
      <w:pPr>
        <w:keepNext w:val="0"/>
        <w:keepLines w:val="0"/>
        <w:widowControl/>
        <w:numPr>
          <w:ilvl w:val="0"/>
          <w:numId w:val="5"/>
        </w:numPr>
        <w:suppressLineNumbers w:val="0"/>
        <w:spacing w:before="0" w:beforeAutospacing="0" w:after="0" w:afterAutospacing="0" w:line="240" w:lineRule="auto"/>
        <w:ind w:left="0" w:leftChars="0" w:right="0" w:rightChars="0" w:firstLine="0" w:firstLineChars="0"/>
        <w:jc w:val="both"/>
        <w:outlineLvl w:val="1"/>
        <w:rPr>
          <w:rFonts w:hint="eastAsia" w:ascii="仿宋_GB2312" w:eastAsia="仿宋_GB2312"/>
          <w:color w:val="000000" w:themeColor="text1"/>
          <w:sz w:val="28"/>
          <w:szCs w:val="28"/>
          <w:highlight w:val="none"/>
          <w:lang w:val="en-US" w:eastAsia="zh-CN"/>
          <w14:textFill>
            <w14:solidFill>
              <w14:schemeClr w14:val="tx1"/>
            </w14:solidFill>
          </w14:textFill>
        </w:rPr>
      </w:pPr>
      <w:r>
        <w:rPr>
          <w:rFonts w:hint="eastAsia" w:ascii="仿宋" w:hAnsi="仿宋" w:eastAsia="仿宋" w:cs="仿宋"/>
          <w:b/>
          <w:bCs/>
          <w:i w:val="0"/>
          <w:strike w:val="0"/>
          <w:color w:val="000000" w:themeColor="text1"/>
          <w:kern w:val="0"/>
          <w:sz w:val="28"/>
          <w:szCs w:val="16"/>
          <w:highlight w:val="none"/>
          <w:u w:val="none"/>
          <w:lang w:val="en-US" w:eastAsia="zh-CN" w:bidi="ar"/>
          <w14:textFill>
            <w14:solidFill>
              <w14:schemeClr w14:val="tx1"/>
            </w14:solidFill>
          </w14:textFill>
        </w:rPr>
        <w:t>人工智能公共服务平台</w:t>
      </w:r>
    </w:p>
    <w:tbl>
      <w:tblPr>
        <w:tblStyle w:val="4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68"/>
        <w:gridCol w:w="6166"/>
        <w:gridCol w:w="907"/>
        <w:gridCol w:w="927"/>
      </w:tblGrid>
      <w:tr w14:paraId="6520B77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27E93AD">
            <w:pPr>
              <w:jc w:val="center"/>
              <w:rPr>
                <w:rFonts w:hint="eastAsia" w:ascii="仿宋" w:hAnsi="仿宋" w:eastAsia="仿宋" w:cs="仿宋"/>
                <w:b/>
                <w:bCs/>
                <w:i w:val="0"/>
                <w:iCs w:val="0"/>
                <w:color w:val="000000" w:themeColor="text1"/>
                <w:sz w:val="20"/>
                <w:szCs w:val="20"/>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六、人工智能公共服务平台</w:t>
            </w:r>
            <w:r>
              <w:rPr>
                <w:rFonts w:hint="default" w:ascii="Times New Roman" w:hAnsi="Times New Roman" w:eastAsia="仿宋" w:cs="Times New Roman"/>
                <w:b/>
                <w:bCs/>
                <w:i w:val="0"/>
                <w:iCs w:val="0"/>
                <w:color w:val="000000" w:themeColor="text1"/>
                <w:kern w:val="0"/>
                <w:sz w:val="20"/>
                <w:szCs w:val="20"/>
                <w:highlight w:val="none"/>
                <w:u w:val="none"/>
                <w:lang w:val="en-US" w:eastAsia="zh-CN" w:bidi="ar"/>
                <w14:textFill>
                  <w14:solidFill>
                    <w14:schemeClr w14:val="tx1"/>
                  </w14:solidFill>
                </w14:textFill>
              </w:rPr>
              <w:t>​</w:t>
            </w:r>
          </w:p>
        </w:tc>
      </w:tr>
      <w:tr w14:paraId="2B25BC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6" w:hRule="atLeast"/>
        </w:trPr>
        <w:tc>
          <w:tcPr>
            <w:tcW w:w="9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B398A4">
            <w:pPr>
              <w:keepNext w:val="0"/>
              <w:keepLines w:val="0"/>
              <w:widowControl/>
              <w:suppressLineNumbers w:val="0"/>
              <w:jc w:val="left"/>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8C100D">
            <w:pPr>
              <w:keepNext w:val="0"/>
              <w:keepLines w:val="0"/>
              <w:widowControl/>
              <w:suppressLineNumbers w:val="0"/>
              <w:jc w:val="left"/>
              <w:textAlignment w:val="cente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45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E418CE">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单位</w:t>
            </w:r>
          </w:p>
        </w:tc>
        <w:tc>
          <w:tcPr>
            <w:tcW w:w="4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8A831A">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数量</w:t>
            </w:r>
          </w:p>
        </w:tc>
      </w:tr>
      <w:tr w14:paraId="37DA99F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0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C1F322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AI调度与管理平台</w:t>
            </w:r>
            <w:r>
              <w:rPr>
                <w:rFonts w:hint="default" w:ascii="Times New Roman" w:hAnsi="Times New Roman" w:eastAsia="仿宋" w:cs="Times New Roman"/>
                <w:i w:val="0"/>
                <w:iCs w:val="0"/>
                <w:color w:val="000000" w:themeColor="text1"/>
                <w:kern w:val="0"/>
                <w:sz w:val="20"/>
                <w:szCs w:val="20"/>
                <w:highlight w:val="none"/>
                <w:u w:val="none"/>
                <w:lang w:val="en-US" w:eastAsia="zh-CN" w:bidi="ar"/>
                <w14:textFill>
                  <w14:solidFill>
                    <w14:schemeClr w14:val="tx1"/>
                  </w14:solidFill>
                </w14:textFill>
              </w:rPr>
              <w:t>​</w:t>
            </w: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496CA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1.异构资源抽象与调度引擎：开发或采购成熟的容器编排与调度系统（基于Kubernetes的增强版），实现对CPU、GPU、NPU等异构计算资源的统一抽象、细粒度切割和弹性分配，支持多租户隔离和资源配额管理。</w:t>
            </w:r>
          </w:p>
        </w:tc>
        <w:tc>
          <w:tcPr>
            <w:tcW w:w="45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4E8664C">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ECEB6CF">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46B09D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105DC8">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B69FE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2.分布式训练框架支持：平台深度集成并优化PyTorch、TensorFlow、MindSpore等主流框架，提供一键式的分布式训练任务部署、监控和性能优化能力。</w:t>
            </w:r>
          </w:p>
        </w:tc>
        <w:tc>
          <w:tcPr>
            <w:tcW w:w="45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5DD9F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5CD2D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0A8885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B01384">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B7525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3.运维监控与管理门户：提供图形化门户，集中监控整个软件平台的健康度、资源利用率、任务运行状态，并实现智能运维和故障自愈。</w:t>
            </w:r>
          </w:p>
        </w:tc>
        <w:tc>
          <w:tcPr>
            <w:tcW w:w="45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D2B8C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F1E51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033739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0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A36C03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数据资源与智能标注平台</w:t>
            </w:r>
            <w:r>
              <w:rPr>
                <w:rFonts w:hint="default" w:ascii="Times New Roman" w:hAnsi="Times New Roman" w:eastAsia="仿宋" w:cs="Times New Roman"/>
                <w:i w:val="0"/>
                <w:iCs w:val="0"/>
                <w:color w:val="000000" w:themeColor="text1"/>
                <w:kern w:val="0"/>
                <w:sz w:val="20"/>
                <w:szCs w:val="20"/>
                <w:highlight w:val="none"/>
                <w:u w:val="none"/>
                <w:lang w:val="en-US" w:eastAsia="zh-CN" w:bidi="ar"/>
                <w14:textFill>
                  <w14:solidFill>
                    <w14:schemeClr w14:val="tx1"/>
                  </w14:solidFill>
                </w14:textFill>
              </w:rPr>
              <w:t>​</w:t>
            </w: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B2457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1.多模态数据湖仓与特征工程：构建强大的ETL/ELT数据管道，实现对结构化与非结构化数据的统一融合治理，并建立特征平台对常用数据特征进行预计算、管理和版本控制，提升算法研发效率。</w:t>
            </w:r>
          </w:p>
        </w:tc>
        <w:tc>
          <w:tcPr>
            <w:tcW w:w="45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89C57C6">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2F1AF4D">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699C3F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643174">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D13E43">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2.AI赋能的数据标注平台：集成预训练模型提供智能预标注功能，大幅提升图片、语音、文本的标注效率；支持创建众包任务并进行质量管控，确保训练数据的高质量。</w:t>
            </w:r>
          </w:p>
        </w:tc>
        <w:tc>
          <w:tcPr>
            <w:tcW w:w="45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39897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CD333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3A37FB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0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129AF0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计算机视觉（CV）引擎</w:t>
            </w:r>
            <w:r>
              <w:rPr>
                <w:rFonts w:hint="default" w:ascii="Times New Roman" w:hAnsi="Times New Roman" w:eastAsia="仿宋" w:cs="Times New Roman"/>
                <w:i w:val="0"/>
                <w:iCs w:val="0"/>
                <w:color w:val="000000" w:themeColor="text1"/>
                <w:kern w:val="0"/>
                <w:sz w:val="20"/>
                <w:szCs w:val="20"/>
                <w:highlight w:val="none"/>
                <w:u w:val="none"/>
                <w:lang w:val="en-US" w:eastAsia="zh-CN" w:bidi="ar"/>
                <w14:textFill>
                  <w14:solidFill>
                    <w14:schemeClr w14:val="tx1"/>
                  </w14:solidFill>
                </w14:textFill>
              </w:rPr>
              <w:t>​</w:t>
            </w: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7009A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超精细化识别与视频结构化：提供超过1000类物体的检测与识别，支持城市部件、细粒度车辆型号等的识别；具备复杂行为分析（人群态势、异常事件）、跨镜头目标追踪、遥感影像解译及医疗影像辅助分析等深度能力。</w:t>
            </w:r>
          </w:p>
        </w:tc>
        <w:tc>
          <w:tcPr>
            <w:tcW w:w="45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C08E978">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588292A">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267086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D4C66D">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1AE16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2.自适应优化与模型生产：针对海量场景数据进行深度定制化训练和持续优化，集成模型压缩与加速工具链，确保算法在实际场景中的高性能与高精度。</w:t>
            </w:r>
          </w:p>
        </w:tc>
        <w:tc>
          <w:tcPr>
            <w:tcW w:w="45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C0CBC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1D978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E77BF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0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E9F0FE0">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自然语言处理（NLP）与知识引擎</w:t>
            </w:r>
            <w:r>
              <w:rPr>
                <w:rFonts w:hint="default" w:ascii="Times New Roman" w:hAnsi="Times New Roman" w:eastAsia="仿宋" w:cs="Times New Roman"/>
                <w:i w:val="0"/>
                <w:iCs w:val="0"/>
                <w:color w:val="000000" w:themeColor="text1"/>
                <w:kern w:val="0"/>
                <w:sz w:val="20"/>
                <w:szCs w:val="20"/>
                <w:highlight w:val="none"/>
                <w:u w:val="none"/>
                <w:lang w:val="en-US" w:eastAsia="zh-CN" w:bidi="ar"/>
                <w14:textFill>
                  <w14:solidFill>
                    <w14:schemeClr w14:val="tx1"/>
                  </w14:solidFill>
                </w14:textFill>
              </w:rPr>
              <w:t>​</w:t>
            </w: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AF012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1.深度语义理解与知识图谱：能够从多源文本中抽取实体关系，构建城市级知识图谱，支持智能问答与决策推理；集成大型语言模型（LLM）并提供领域微调服务，实现高质量的文本生成、摘要、分类和情感分析。</w:t>
            </w:r>
          </w:p>
        </w:tc>
        <w:tc>
          <w:tcPr>
            <w:tcW w:w="45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CF24DB8">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47F01D0">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2F9AA9D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3139AE">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DDFCA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2.多轮对话与智能交互：提供支持上下文理解的多轮对话引擎，为智能客服、虚拟座席等应用提供核心交互能力。</w:t>
            </w:r>
          </w:p>
        </w:tc>
        <w:tc>
          <w:tcPr>
            <w:tcW w:w="45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AEDF7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74117F">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89F61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16A5323">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多模态融合与决策优化引擎</w:t>
            </w:r>
            <w:r>
              <w:rPr>
                <w:rFonts w:hint="default" w:ascii="Times New Roman" w:hAnsi="Times New Roman" w:eastAsia="仿宋" w:cs="Times New Roman"/>
                <w:i w:val="0"/>
                <w:iCs w:val="0"/>
                <w:color w:val="000000" w:themeColor="text1"/>
                <w:kern w:val="0"/>
                <w:sz w:val="20"/>
                <w:szCs w:val="20"/>
                <w:highlight w:val="none"/>
                <w:u w:val="none"/>
                <w:lang w:val="en-US" w:eastAsia="zh-CN" w:bidi="ar"/>
                <w14:textFill>
                  <w14:solidFill>
                    <w14:schemeClr w14:val="tx1"/>
                  </w14:solidFill>
                </w14:textFill>
              </w:rPr>
              <w:t>​</w:t>
            </w: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03A2C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1.跨模态分析与时空预测：实现视觉、语音、文本信息的深度融合分析，支持“以图搜图”、跨模态检索；提供强大的时空预测模型，用于交通流量、人流密度、事件风险的精准预测。</w:t>
            </w:r>
          </w:p>
        </w:tc>
        <w:tc>
          <w:tcPr>
            <w:tcW w:w="45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8A36698">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3D29473">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182BAD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92784D">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CA83E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2.运筹优化与仿真决策：集成运筹优化算法，解决智慧停车中的车位分配、环卫路径规划、应急资源调度等复杂决策问题，实现资源利用最优化。</w:t>
            </w:r>
          </w:p>
        </w:tc>
        <w:tc>
          <w:tcPr>
            <w:tcW w:w="45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54F35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C521C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5FA002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F6B780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AI能力开放与MLOps平台</w:t>
            </w:r>
            <w:r>
              <w:rPr>
                <w:rFonts w:hint="default" w:ascii="Times New Roman" w:hAnsi="Times New Roman" w:eastAsia="仿宋" w:cs="Times New Roman"/>
                <w:i w:val="0"/>
                <w:iCs w:val="0"/>
                <w:color w:val="000000" w:themeColor="text1"/>
                <w:kern w:val="0"/>
                <w:sz w:val="20"/>
                <w:szCs w:val="20"/>
                <w:highlight w:val="none"/>
                <w:u w:val="none"/>
                <w:lang w:val="en-US" w:eastAsia="zh-CN" w:bidi="ar"/>
                <w14:textFill>
                  <w14:solidFill>
                    <w14:schemeClr w14:val="tx1"/>
                  </w14:solidFill>
                </w14:textFill>
              </w:rPr>
              <w:t>​</w:t>
            </w: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D9F19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1.一体化AI服务市场与网关：提供类似应用商店的Web界面，方便业务部门浏览、测试、调用所有AI能力；构建完整的API全生命周期管理体系，包括鉴权、计量、监控等。</w:t>
            </w:r>
          </w:p>
        </w:tc>
        <w:tc>
          <w:tcPr>
            <w:tcW w:w="45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33EEA84">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951211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3C035A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E6B681">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462C2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2.自动化机器学习与模型全链路管理：提供可视化拖拽式建模工具，降低使用门槛；实现从数据准备、训练、评估、部署到监控的MLOps自动化流水线，保障AI模型的持续迭代和稳定服务。</w:t>
            </w:r>
          </w:p>
        </w:tc>
        <w:tc>
          <w:tcPr>
            <w:tcW w:w="45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446EE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C3203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3521D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407C84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运维监控与安全合规体系</w:t>
            </w:r>
            <w:r>
              <w:rPr>
                <w:rFonts w:hint="default" w:ascii="Times New Roman" w:hAnsi="Times New Roman" w:eastAsia="仿宋" w:cs="Times New Roman"/>
                <w:i w:val="0"/>
                <w:iCs w:val="0"/>
                <w:color w:val="000000" w:themeColor="text1"/>
                <w:kern w:val="0"/>
                <w:sz w:val="20"/>
                <w:szCs w:val="20"/>
                <w:highlight w:val="none"/>
                <w:u w:val="none"/>
                <w:lang w:val="en-US" w:eastAsia="zh-CN" w:bidi="ar"/>
                <w14:textFill>
                  <w14:solidFill>
                    <w14:schemeClr w14:val="tx1"/>
                  </w14:solidFill>
                </w14:textFill>
              </w:rPr>
              <w:t>​</w:t>
            </w: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30A38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1.全域可视化运维中心：通过大屏实时监控集群资源、API性能、模型指标；利用AI技术实现智能运维，预测故障并自动扩容。</w:t>
            </w:r>
          </w:p>
        </w:tc>
        <w:tc>
          <w:tcPr>
            <w:tcW w:w="45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49B5325">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C29D37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413D8A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5B2970">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792CC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2.安全与合规保障：集成联邦学习、差分隐私技术保护数据安全；提供算法公平性、可解释性工具以满足合规审计要求；制定完整的AI开发、管理与服务标准规范。</w:t>
            </w:r>
          </w:p>
        </w:tc>
        <w:tc>
          <w:tcPr>
            <w:tcW w:w="45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1A0DD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91D40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58F66F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1B0728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核心AI能力中心</w:t>
            </w: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D35AA5">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1.模型广场：提供30+个预训练模型的导入、评估、部署、服务化发布与全生命周期管理。</w:t>
            </w:r>
          </w:p>
        </w:tc>
        <w:tc>
          <w:tcPr>
            <w:tcW w:w="45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3442F65">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4B6E105">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7992FF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237528">
            <w:pPr>
              <w:jc w:val="left"/>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0F61F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2.低代码开发平台：提供可视化拖拽界面和50+个行业组件，支持非专业开发者快速构建AI应用。</w:t>
            </w:r>
          </w:p>
        </w:tc>
        <w:tc>
          <w:tcPr>
            <w:tcW w:w="45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5A3A1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FFB7A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7D68B9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EDD4F1">
            <w:pPr>
              <w:jc w:val="left"/>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1164F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3.知识库管理：支持多格式文档的解析、向量化存储与智能检索，为智能问答提供知识支撑。</w:t>
            </w:r>
          </w:p>
        </w:tc>
        <w:tc>
          <w:tcPr>
            <w:tcW w:w="45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B6DDA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90D1DF">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1A2C5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CD7237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重点领域应用套件</w:t>
            </w: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C35B5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1.智慧渔业套件：开发渔船出海报备智能审核、水产品病害图像识别、渔港视频智能分析等应用。</w:t>
            </w:r>
          </w:p>
        </w:tc>
        <w:tc>
          <w:tcPr>
            <w:tcW w:w="45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580626D">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C03FFD1">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714226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6FD153">
            <w:pPr>
              <w:jc w:val="left"/>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1CB92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2.智慧政务套件：开发“一网通办”智能客服、政策文件智能解读、“免申即享”智能核验等应用。</w:t>
            </w:r>
          </w:p>
        </w:tc>
        <w:tc>
          <w:tcPr>
            <w:tcW w:w="45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1BF20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34EBF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bl>
    <w:p w14:paraId="08FA522A">
      <w:pPr>
        <w:keepNext w:val="0"/>
        <w:keepLines w:val="0"/>
        <w:widowControl/>
        <w:numPr>
          <w:ilvl w:val="0"/>
          <w:numId w:val="0"/>
        </w:numPr>
        <w:suppressLineNumbers w:val="0"/>
        <w:spacing w:before="0" w:beforeAutospacing="0" w:after="0" w:afterAutospacing="0" w:line="240" w:lineRule="auto"/>
        <w:ind w:left="0" w:leftChars="0" w:right="0" w:rightChars="0"/>
        <w:jc w:val="both"/>
        <w:outlineLvl w:val="1"/>
        <w:rPr>
          <w:rFonts w:hint="eastAsia" w:ascii="仿宋" w:hAnsi="仿宋" w:eastAsia="仿宋" w:cs="仿宋"/>
          <w:b/>
          <w:bCs/>
          <w:i w:val="0"/>
          <w:strike w:val="0"/>
          <w:color w:val="000000" w:themeColor="text1"/>
          <w:kern w:val="0"/>
          <w:sz w:val="28"/>
          <w:szCs w:val="16"/>
          <w:highlight w:val="none"/>
          <w:u w:val="none"/>
          <w:lang w:val="en-US" w:eastAsia="zh-CN" w:bidi="ar"/>
          <w14:textFill>
            <w14:solidFill>
              <w14:schemeClr w14:val="tx1"/>
            </w14:solidFill>
          </w14:textFill>
        </w:rPr>
      </w:pPr>
      <w:r>
        <w:rPr>
          <w:rFonts w:hint="eastAsia" w:ascii="仿宋" w:hAnsi="仿宋" w:eastAsia="仿宋" w:cs="仿宋"/>
          <w:b/>
          <w:bCs/>
          <w:i w:val="0"/>
          <w:strike w:val="0"/>
          <w:color w:val="000000" w:themeColor="text1"/>
          <w:kern w:val="0"/>
          <w:sz w:val="28"/>
          <w:szCs w:val="16"/>
          <w:highlight w:val="none"/>
          <w:lang w:val="en-US" w:eastAsia="zh-CN" w:bidi="ar"/>
          <w14:textFill>
            <w14:solidFill>
              <w14:schemeClr w14:val="tx1"/>
            </w14:solidFill>
          </w14:textFill>
        </w:rPr>
        <w:t>三、</w:t>
      </w:r>
      <w:r>
        <w:rPr>
          <w:rFonts w:hint="eastAsia" w:ascii="仿宋" w:hAnsi="仿宋" w:eastAsia="仿宋" w:cs="仿宋"/>
          <w:b/>
          <w:bCs/>
          <w:i w:val="0"/>
          <w:strike w:val="0"/>
          <w:color w:val="000000" w:themeColor="text1"/>
          <w:kern w:val="0"/>
          <w:sz w:val="28"/>
          <w:szCs w:val="16"/>
          <w:highlight w:val="none"/>
          <w:u w:val="none"/>
          <w:lang w:val="en-US" w:eastAsia="zh-CN" w:bidi="ar"/>
          <w14:textFill>
            <w14:solidFill>
              <w14:schemeClr w14:val="tx1"/>
            </w14:solidFill>
          </w14:textFill>
        </w:rPr>
        <w:t>N 个领域数字赋能生态</w:t>
      </w:r>
    </w:p>
    <w:p w14:paraId="1E1D7D19">
      <w:pPr>
        <w:keepNext w:val="0"/>
        <w:keepLines w:val="0"/>
        <w:widowControl/>
        <w:numPr>
          <w:ilvl w:val="0"/>
          <w:numId w:val="0"/>
        </w:numPr>
        <w:suppressLineNumbers w:val="0"/>
        <w:spacing w:before="0" w:beforeAutospacing="0" w:after="0" w:afterAutospacing="0" w:line="240" w:lineRule="auto"/>
        <w:ind w:left="0" w:leftChars="0" w:right="0" w:rightChars="0"/>
        <w:jc w:val="both"/>
        <w:outlineLvl w:val="1"/>
        <w:rPr>
          <w:rFonts w:hint="eastAsia" w:ascii="仿宋" w:hAnsi="仿宋" w:eastAsia="仿宋" w:cs="仿宋"/>
          <w:b/>
          <w:bCs/>
          <w:i w:val="0"/>
          <w:strike w:val="0"/>
          <w:color w:val="000000" w:themeColor="text1"/>
          <w:kern w:val="0"/>
          <w:sz w:val="28"/>
          <w:szCs w:val="16"/>
          <w:highlight w:val="none"/>
          <w:u w:val="none"/>
          <w:lang w:val="en-US" w:eastAsia="zh-CN" w:bidi="ar"/>
          <w14:textFill>
            <w14:solidFill>
              <w14:schemeClr w14:val="tx1"/>
            </w14:solidFill>
          </w14:textFill>
        </w:rPr>
      </w:pPr>
      <w:r>
        <w:rPr>
          <w:rFonts w:hint="eastAsia" w:ascii="仿宋" w:hAnsi="仿宋" w:eastAsia="仿宋" w:cs="仿宋"/>
          <w:b/>
          <w:bCs/>
          <w:i w:val="0"/>
          <w:strike w:val="0"/>
          <w:color w:val="000000" w:themeColor="text1"/>
          <w:kern w:val="0"/>
          <w:sz w:val="28"/>
          <w:szCs w:val="16"/>
          <w:highlight w:val="none"/>
          <w:u w:val="none"/>
          <w:lang w:val="en-US" w:eastAsia="zh-CN" w:bidi="ar"/>
          <w14:textFill>
            <w14:solidFill>
              <w14:schemeClr w14:val="tx1"/>
            </w14:solidFill>
          </w14:textFill>
        </w:rPr>
        <w:t>（一）智能治理领域</w:t>
      </w:r>
    </w:p>
    <w:p w14:paraId="6CA5A76A">
      <w:pPr>
        <w:numPr>
          <w:ilvl w:val="0"/>
          <w:numId w:val="6"/>
        </w:numPr>
        <w:bidi w:val="0"/>
        <w:rPr>
          <w:rFonts w:hint="eastAsia" w:ascii="仿宋" w:hAnsi="仿宋" w:eastAsia="仿宋" w:cs="仿宋"/>
          <w:b/>
          <w:bCs/>
          <w:color w:val="000000" w:themeColor="text1"/>
          <w:sz w:val="28"/>
          <w:szCs w:val="28"/>
          <w:highlight w:val="none"/>
          <w14:textFill>
            <w14:solidFill>
              <w14:schemeClr w14:val="tx1"/>
            </w14:solidFill>
          </w14:textFill>
        </w:rPr>
      </w:pPr>
      <w:r>
        <w:rPr>
          <w:rFonts w:hint="eastAsia" w:ascii="仿宋" w:hAnsi="仿宋" w:eastAsia="仿宋" w:cs="仿宋"/>
          <w:b/>
          <w:bCs/>
          <w:color w:val="000000" w:themeColor="text1"/>
          <w:sz w:val="28"/>
          <w:szCs w:val="28"/>
          <w:highlight w:val="none"/>
          <w14:textFill>
            <w14:solidFill>
              <w14:schemeClr w14:val="tx1"/>
            </w14:solidFill>
          </w14:textFill>
        </w:rPr>
        <w:t>砂石资源综合监管系统</w:t>
      </w:r>
    </w:p>
    <w:tbl>
      <w:tblPr>
        <w:tblStyle w:val="4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68"/>
        <w:gridCol w:w="6166"/>
        <w:gridCol w:w="907"/>
        <w:gridCol w:w="927"/>
      </w:tblGrid>
      <w:tr w14:paraId="5E653E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3594783">
            <w:pPr>
              <w:jc w:val="center"/>
              <w:rPr>
                <w:rFonts w:hint="eastAsia" w:ascii="仿宋" w:hAnsi="仿宋" w:eastAsia="仿宋" w:cs="仿宋"/>
                <w:b/>
                <w:bCs/>
                <w:i w:val="0"/>
                <w:iCs w:val="0"/>
                <w:color w:val="000000" w:themeColor="text1"/>
                <w:sz w:val="20"/>
                <w:szCs w:val="20"/>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七、砂石资源综合监管系统</w:t>
            </w:r>
            <w:r>
              <w:rPr>
                <w:rFonts w:hint="default" w:ascii="Times New Roman" w:hAnsi="Times New Roman" w:eastAsia="仿宋" w:cs="Times New Roman"/>
                <w:b/>
                <w:bCs/>
                <w:i w:val="0"/>
                <w:iCs w:val="0"/>
                <w:color w:val="000000" w:themeColor="text1"/>
                <w:kern w:val="0"/>
                <w:sz w:val="20"/>
                <w:szCs w:val="20"/>
                <w:highlight w:val="none"/>
                <w:u w:val="none"/>
                <w:lang w:val="en-US" w:eastAsia="zh-CN" w:bidi="ar"/>
                <w14:textFill>
                  <w14:solidFill>
                    <w14:schemeClr w14:val="tx1"/>
                  </w14:solidFill>
                </w14:textFill>
              </w:rPr>
              <w:t>​</w:t>
            </w:r>
          </w:p>
        </w:tc>
      </w:tr>
      <w:tr w14:paraId="3049D9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45B018">
            <w:pPr>
              <w:keepNext w:val="0"/>
              <w:keepLines w:val="0"/>
              <w:widowControl/>
              <w:suppressLineNumbers w:val="0"/>
              <w:jc w:val="left"/>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9DFAA7">
            <w:pPr>
              <w:keepNext w:val="0"/>
              <w:keepLines w:val="0"/>
              <w:widowControl/>
              <w:suppressLineNumbers w:val="0"/>
              <w:jc w:val="left"/>
              <w:textAlignment w:val="cente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45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62C56D">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单位</w:t>
            </w:r>
          </w:p>
        </w:tc>
        <w:tc>
          <w:tcPr>
            <w:tcW w:w="4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4A6B30">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数量</w:t>
            </w:r>
          </w:p>
        </w:tc>
      </w:tr>
      <w:tr w14:paraId="58B206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39B419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资源一张图可视化模块</w:t>
            </w: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4E20E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1.资源空间数据库建设：整合国土、规划、遥感数据，形成矢量化的“资源底账”。</w:t>
            </w:r>
          </w:p>
        </w:tc>
        <w:tc>
          <w:tcPr>
            <w:tcW w:w="45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119B52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07F12F3">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338051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58FD8A">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AB0FA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2.三维实景建模：对重点矿区进行无人机倾斜摄影，构建三维模型。</w:t>
            </w:r>
          </w:p>
        </w:tc>
        <w:tc>
          <w:tcPr>
            <w:tcW w:w="45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244E6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14D41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7C83A9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67D771">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AD6D40">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3.智能视频融合与AI识别：接入监控视频，通过AI算法自动识别非法开采、未篷布覆盖等行为并告警。</w:t>
            </w:r>
          </w:p>
        </w:tc>
        <w:tc>
          <w:tcPr>
            <w:tcW w:w="45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55C24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CE780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4DDA5A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8BCB93">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19A613">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4.物联数据叠加显示：将地磅数据、车辆轨迹等在图上动态展示。</w:t>
            </w:r>
          </w:p>
        </w:tc>
        <w:tc>
          <w:tcPr>
            <w:tcW w:w="45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22F82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2041A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321140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5C0DB8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开采与运输监管模块</w:t>
            </w: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D81CF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1.物联网数据接入：开发接口接入地磅、传感器、车辆GPS数据。</w:t>
            </w:r>
          </w:p>
        </w:tc>
        <w:tc>
          <w:tcPr>
            <w:tcW w:w="45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F2D9AE3">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9C4995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697DB3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AD290F">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86FE4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2.电子围栏与轨迹分析：对运输车辆实时追踪，智能研判偏航、异常停留等行为。</w:t>
            </w:r>
          </w:p>
        </w:tc>
        <w:tc>
          <w:tcPr>
            <w:tcW w:w="45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47A98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3CBAB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54AB79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E82DF2">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F30845">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3.业务闭环管理：实现从“开采申报-&gt;称重-&gt;运输-&gt;销售确认”全流程电子化监管。</w:t>
            </w:r>
          </w:p>
        </w:tc>
        <w:tc>
          <w:tcPr>
            <w:tcW w:w="45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F6CC2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BBE9E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35D227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C5D6A5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税费稽核与决策支持模块</w:t>
            </w: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4916E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1.智慧财税管控：系统自动计税，并与企业申报数比对预警。</w:t>
            </w:r>
          </w:p>
        </w:tc>
        <w:tc>
          <w:tcPr>
            <w:tcW w:w="45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1F0553C">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8D5087C">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45204A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A25A28">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0EB70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2.数据交叉稽核：打通税务、电力数据，通过用电量反推产量。</w:t>
            </w:r>
          </w:p>
        </w:tc>
        <w:tc>
          <w:tcPr>
            <w:tcW w:w="45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347AC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4776E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31C673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9BD3B5">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C662FA">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3.综合分析决策驾驶舱：提供资源消耗趋势、开采强度热力图等多维度分析。</w:t>
            </w:r>
          </w:p>
        </w:tc>
        <w:tc>
          <w:tcPr>
            <w:tcW w:w="45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E54B5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3A4F8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7E2A5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BDB188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移动执法与公众监督模块</w:t>
            </w: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7AFC9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1.移动执法APP：支持现场取证、信息查询、文书开具。</w:t>
            </w:r>
          </w:p>
        </w:tc>
        <w:tc>
          <w:tcPr>
            <w:tcW w:w="45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1D99979">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050C23C">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5B05B5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723277">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37567A">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2.公众监督小程序：开通渠道供公众上报非法开采、运输撒漏等问题，形成社会共治。</w:t>
            </w:r>
          </w:p>
        </w:tc>
        <w:tc>
          <w:tcPr>
            <w:tcW w:w="45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A9EAE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B1E43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EECEE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0" w:hRule="atLeast"/>
        </w:trPr>
        <w:tc>
          <w:tcPr>
            <w:tcW w:w="9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7BF7CA">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运输申请与政府审批</w:t>
            </w:r>
            <w:r>
              <w:rPr>
                <w:rFonts w:ascii="微软雅黑" w:hAnsi="微软雅黑" w:eastAsia="微软雅黑" w:cs="微软雅黑"/>
                <w:i w:val="0"/>
                <w:iCs w:val="0"/>
                <w:color w:val="000000" w:themeColor="text1"/>
                <w:kern w:val="0"/>
                <w:sz w:val="21"/>
                <w:szCs w:val="21"/>
                <w:highlight w:val="none"/>
                <w:u w:val="none"/>
                <w:lang w:val="en-US" w:eastAsia="zh-CN" w:bidi="ar"/>
                <w14:textFill>
                  <w14:solidFill>
                    <w14:schemeClr w14:val="tx1"/>
                  </w14:solidFill>
                </w14:textFill>
              </w:rPr>
              <w:t>​</w:t>
            </w: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83FDB2">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实现运输计划的线上申请、提交、多部门协同审批与全流程跟踪，替代传统纸质流程。</w:t>
            </w:r>
          </w:p>
        </w:tc>
        <w:tc>
          <w:tcPr>
            <w:tcW w:w="45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222E5D">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E43C4D">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76D077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EE5EA0">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系统后台管理</w:t>
            </w:r>
            <w:r>
              <w:rPr>
                <w:rFonts w:ascii="微软雅黑" w:hAnsi="微软雅黑" w:eastAsia="微软雅黑" w:cs="微软雅黑"/>
                <w:i w:val="0"/>
                <w:iCs w:val="0"/>
                <w:color w:val="000000" w:themeColor="text1"/>
                <w:kern w:val="0"/>
                <w:sz w:val="21"/>
                <w:szCs w:val="21"/>
                <w:highlight w:val="none"/>
                <w:u w:val="none"/>
                <w:lang w:val="en-US" w:eastAsia="zh-CN" w:bidi="ar"/>
                <w14:textFill>
                  <w14:solidFill>
                    <w14:schemeClr w14:val="tx1"/>
                  </w14:solidFill>
                </w14:textFill>
              </w:rPr>
              <w:t>​</w:t>
            </w: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1206A9">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提供用户、角色、权限、菜单、操作日志等全方位的系统配置与运维管理功能。</w:t>
            </w:r>
          </w:p>
        </w:tc>
        <w:tc>
          <w:tcPr>
            <w:tcW w:w="45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0B8D4F">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CE5D4A">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bl>
    <w:p w14:paraId="5EFFBD71">
      <w:pPr>
        <w:bidi w:val="0"/>
        <w:rPr>
          <w:rStyle w:val="50"/>
          <w:rFonts w:hint="eastAsia"/>
          <w:color w:val="000000" w:themeColor="text1"/>
          <w:highlight w:val="none"/>
          <w14:textFill>
            <w14:solidFill>
              <w14:schemeClr w14:val="tx1"/>
            </w14:solidFill>
          </w14:textFill>
          <w:woUserID w:val="0"/>
        </w:rPr>
      </w:pPr>
    </w:p>
    <w:p w14:paraId="6295A101">
      <w:pPr>
        <w:numPr>
          <w:ilvl w:val="0"/>
          <w:numId w:val="6"/>
        </w:numPr>
        <w:bidi w:val="0"/>
        <w:ind w:left="0" w:leftChars="0" w:firstLine="0" w:firstLineChars="0"/>
        <w:rPr>
          <w:rFonts w:hint="eastAsia" w:ascii="仿宋" w:hAnsi="仿宋" w:eastAsia="仿宋" w:cs="仿宋"/>
          <w:b/>
          <w:bCs/>
          <w:color w:val="000000" w:themeColor="text1"/>
          <w:sz w:val="28"/>
          <w:szCs w:val="28"/>
          <w:highlight w:val="none"/>
          <w14:textFill>
            <w14:solidFill>
              <w14:schemeClr w14:val="tx1"/>
            </w14:solidFill>
          </w14:textFill>
        </w:rPr>
      </w:pPr>
      <w:r>
        <w:rPr>
          <w:rFonts w:hint="eastAsia" w:ascii="仿宋" w:hAnsi="仿宋" w:eastAsia="仿宋" w:cs="仿宋"/>
          <w:b/>
          <w:bCs/>
          <w:color w:val="000000" w:themeColor="text1"/>
          <w:sz w:val="28"/>
          <w:szCs w:val="28"/>
          <w:highlight w:val="none"/>
          <w14:textFill>
            <w14:solidFill>
              <w14:schemeClr w14:val="tx1"/>
            </w14:solidFill>
          </w14:textFill>
        </w:rPr>
        <w:t>渔港智能监管系统</w:t>
      </w:r>
    </w:p>
    <w:tbl>
      <w:tblPr>
        <w:tblStyle w:val="4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66"/>
        <w:gridCol w:w="6158"/>
        <w:gridCol w:w="905"/>
        <w:gridCol w:w="939"/>
      </w:tblGrid>
      <w:tr w14:paraId="7BCE5D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53F0CF8">
            <w:pPr>
              <w:jc w:val="center"/>
              <w:rPr>
                <w:rFonts w:hint="eastAsia" w:ascii="仿宋" w:hAnsi="仿宋" w:eastAsia="仿宋" w:cs="仿宋"/>
                <w:b/>
                <w:bCs/>
                <w:i w:val="0"/>
                <w:iCs w:val="0"/>
                <w:color w:val="000000" w:themeColor="text1"/>
                <w:sz w:val="20"/>
                <w:szCs w:val="20"/>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八、渔港智能监管系统</w:t>
            </w:r>
          </w:p>
        </w:tc>
      </w:tr>
      <w:tr w14:paraId="22B432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7B3B27">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614879">
            <w:pPr>
              <w:keepNext w:val="0"/>
              <w:keepLines w:val="0"/>
              <w:widowControl/>
              <w:suppressLineNumbers w:val="0"/>
              <w:jc w:val="center"/>
              <w:textAlignment w:val="cente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4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8AF088">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单位</w:t>
            </w:r>
          </w:p>
        </w:tc>
        <w:tc>
          <w:tcPr>
            <w:tcW w:w="4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672124">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数量</w:t>
            </w:r>
          </w:p>
        </w:tc>
      </w:tr>
      <w:tr w14:paraId="6AA497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98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92D96A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船舶渔港全景监控模块</w:t>
            </w: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C87085">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1.全要素融合指挥舱：深度融合AIS、雷达、视频监控等数据，实时呈现船舶、车辆、人员动态。</w:t>
            </w:r>
          </w:p>
        </w:tc>
        <w:tc>
          <w:tcPr>
            <w:tcW w:w="45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AF919A5">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4936926">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29FB15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7B91D9">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35F52A">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2.智能视频分析预警：自动识别渔船非法搭靠、违规出海、明火作业等风险场景。</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3E674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FD030F">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4AF162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50A8BF">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612970">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3.船舶行为大数据分析：挖掘历史轨迹，识别习惯航路、碰撞高风险区。</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977AD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61EB8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C2D46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EDC1A7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船员与出入港闭环管理模块</w:t>
            </w: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E626F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1.船员“一人一档”管理：建立电子档案库，通过人脸闸机自动记录上下船信息。</w:t>
            </w:r>
          </w:p>
        </w:tc>
        <w:tc>
          <w:tcPr>
            <w:tcW w:w="45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1B03778">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F812F01">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089146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31C62F">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89991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2.出入港报告“零次跑”：渔民通过APP完成出海预报、进出港报告，系统自动校验证书。</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E7AA5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B64DA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3CD9AD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C2C254">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A148A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3.智能抽检与风险布控：根据船舶风险等级、气象海况，智能生成重点检查名单。</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D99A1F">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E5048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08BE83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8FBE8E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安全生产与智能应急调度模块</w:t>
            </w: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B24E8A">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1.精准预警信息靶向发布：根据台风路径自动圈定受影响船舶，发布个性化预警。</w:t>
            </w:r>
          </w:p>
        </w:tc>
        <w:tc>
          <w:tcPr>
            <w:tcW w:w="45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535898F">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46B0410">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23741E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F3B27C">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0E6F80">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2.应急资源可视化调度：建立救援资源电子地图，突发事件时一键调度、轨迹追踪。</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E086F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F9D51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01908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D7E498">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3EC76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3.应急预案数字化推演：在三维地图上进行碰撞、火灾等场景模拟推演。</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37F5C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48C0C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F58C9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3310A7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渔获物溯源与产业服务模块</w:t>
            </w: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046CC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1.全链条溯源体系：为渔获物赋予溯源二维码，记录捕捞、交易、流通全过程。</w:t>
            </w:r>
          </w:p>
        </w:tc>
        <w:tc>
          <w:tcPr>
            <w:tcW w:w="45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1E5D8B1">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B681DA6">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516E78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17BF3F">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DDF35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2.市场交易与冷链监管：对接交易市场数据，监测价格变化；监控冷链车辆温湿度。</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98885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6D53A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255EF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615F12">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C2584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3.产业大数据分析服务：分析产量趋势，为渔民和市场提供供需信息。</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A97AC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E15B9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bl>
    <w:p w14:paraId="37996FC4">
      <w:pPr>
        <w:numPr>
          <w:ilvl w:val="0"/>
          <w:numId w:val="6"/>
        </w:numPr>
        <w:bidi w:val="0"/>
        <w:rPr>
          <w:rFonts w:hint="eastAsia"/>
          <w:color w:val="000000" w:themeColor="text1"/>
          <w:highlight w:val="none"/>
          <w14:textFill>
            <w14:solidFill>
              <w14:schemeClr w14:val="tx1"/>
            </w14:solidFill>
          </w14:textFill>
        </w:rPr>
      </w:pPr>
      <w:r>
        <w:rPr>
          <w:rFonts w:hint="eastAsia" w:ascii="仿宋" w:hAnsi="仿宋" w:eastAsia="仿宋" w:cs="仿宋"/>
          <w:b/>
          <w:bCs/>
          <w:color w:val="000000" w:themeColor="text1"/>
          <w:sz w:val="28"/>
          <w:szCs w:val="28"/>
          <w:highlight w:val="none"/>
          <w14:textFill>
            <w14:solidFill>
              <w14:schemeClr w14:val="tx1"/>
            </w14:solidFill>
          </w14:textFill>
        </w:rPr>
        <w:t>应急管理指挥系统</w:t>
      </w:r>
    </w:p>
    <w:tbl>
      <w:tblPr>
        <w:tblStyle w:val="4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66"/>
        <w:gridCol w:w="6158"/>
        <w:gridCol w:w="905"/>
        <w:gridCol w:w="939"/>
      </w:tblGrid>
      <w:tr w14:paraId="4E710D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0" w:hRule="atLeast"/>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A80548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九、应急管理指挥系统</w:t>
            </w:r>
            <w:r>
              <w:rPr>
                <w:rFonts w:hint="default" w:ascii="Times New Roman" w:hAnsi="Times New Roman" w:eastAsia="仿宋" w:cs="Times New Roman"/>
                <w:b/>
                <w:bCs/>
                <w:i w:val="0"/>
                <w:iCs w:val="0"/>
                <w:color w:val="000000" w:themeColor="text1"/>
                <w:kern w:val="0"/>
                <w:sz w:val="20"/>
                <w:szCs w:val="20"/>
                <w:highlight w:val="none"/>
                <w:u w:val="none"/>
                <w:lang w:val="en-US" w:eastAsia="zh-CN" w:bidi="ar"/>
                <w14:textFill>
                  <w14:solidFill>
                    <w14:schemeClr w14:val="tx1"/>
                  </w14:solidFill>
                </w14:textFill>
              </w:rPr>
              <w:t>​</w:t>
            </w:r>
          </w:p>
        </w:tc>
      </w:tr>
      <w:tr w14:paraId="57ACBC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39" w:hRule="atLeast"/>
        </w:trPr>
        <w:tc>
          <w:tcPr>
            <w:tcW w:w="9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88B9FF">
            <w:pPr>
              <w:keepNext w:val="0"/>
              <w:keepLines w:val="0"/>
              <w:widowControl/>
              <w:suppressLineNumbers w:val="0"/>
              <w:jc w:val="left"/>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5361E9">
            <w:pPr>
              <w:keepNext w:val="0"/>
              <w:keepLines w:val="0"/>
              <w:widowControl/>
              <w:suppressLineNumbers w:val="0"/>
              <w:jc w:val="left"/>
              <w:textAlignment w:val="cente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4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820E05">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单位</w:t>
            </w:r>
          </w:p>
        </w:tc>
        <w:tc>
          <w:tcPr>
            <w:tcW w:w="4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B11323">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数量</w:t>
            </w:r>
          </w:p>
        </w:tc>
      </w:tr>
      <w:tr w14:paraId="26597A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60" w:hRule="atLeast"/>
        </w:trPr>
        <w:tc>
          <w:tcPr>
            <w:tcW w:w="98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E3BA76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融合通信与指挥调度模块</w:t>
            </w: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D5EB7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多网融合通信枢纽：开发或采购核心融合通信平台，深度适配并整合政务专网、运营商公网、PDT数字集群、卫星通信、自组网等多种网络制式，实现语音、视频、数据在异构网络间的无缝漫游与智能路由，确保在公网中断等极端情况下关键指令的可靠传达。</w:t>
            </w:r>
          </w:p>
        </w:tc>
        <w:tc>
          <w:tcPr>
            <w:tcW w:w="45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4B5A032">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76F3B03">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56AA251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0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F6950D">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4F2AB3">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2.一体化指挥调度台：定制开发集GIS地图、视频监控、资源态势、通讯录、即时消息于一体的指挥席位软件。支持基于地图的“圈选呼叫”、“轨迹跟踪”，以及跨系统的指令一键下发与执行反馈闭环。</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CAAE4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49FFE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E8808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0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440DC5">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A1CF7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智能会商与协同：建立支持多种终端（移动单兵、无人机、车载终端、固定会议室）快速接入的融合会商环境，支持多方音视频交互、屏幕共享、电子白板协同标绘，并实现会商过程全程记录与关键信息结构化提取。</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49317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85EAD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5C95A7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60" w:hRule="atLeast"/>
        </w:trPr>
        <w:tc>
          <w:tcPr>
            <w:tcW w:w="98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7032120">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风险监测预警“一张图”模块</w:t>
            </w: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DB74D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全风险因子感知网络：构建标准化数据接入网关，实时汇聚并治理气象、海洋、水文、地质灾害监测点、重点危化企业重大危险源监控、城市生命线（燃气、供水）传感器等超过15类异构风险监测数据，在统一时空基准下进行融合展示与关联分析。</w:t>
            </w:r>
          </w:p>
        </w:tc>
        <w:tc>
          <w:tcPr>
            <w:tcW w:w="45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F3DCAD9">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1BD63D6">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6FB4F4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0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B25461">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6671E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预警模型与研判引擎：集成或研发专业级预测模型，如基于数值天气预报的暴雨内涝淹没模型、海岸带风暴潮漫滩模型、山洪地质灾害风险评价模型，实现对重点灾害风险的定量化、精细化预警，自动生成风险研判报告。</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885E4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83695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5BA963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6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52E216">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B02D5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分级靶向精准发布：建立基于GIS地理围栏的预警信息发布引擎，可根据预警级别和影响范围，通过应急广播、政务短信、手机APP推送、社会媒体等渠道，自动、精准触达受影响区域的特定人员（如社区负责人、学校安全员、渔船船主），并跟踪确认率。</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C23EA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15EB2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F26BB6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60" w:hRule="atLeast"/>
        </w:trPr>
        <w:tc>
          <w:tcPr>
            <w:tcW w:w="98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494C08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数字孪生与预案推演模块</w:t>
            </w: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D83A3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高保真应急数字孪生基座：基于城市信息模型（CIM），融合重点区域倾斜摄影、BIM、地下管线等数据，构建毫米级至米级精度的三维虚拟城市。针对化工园区、水库、港口等重点防护对象，进行物理级精细化建模，支撑灾害过程的精确模拟。</w:t>
            </w:r>
          </w:p>
        </w:tc>
        <w:tc>
          <w:tcPr>
            <w:tcW w:w="45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9CA36C6">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80038FF">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45149EB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46FFC5">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046FE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2.灾害模拟推演：在三维城市信息模型（CIM）底图上，模拟洪水淹没、危化品扩散、地震破坏等灾害场景，直观展示影响范围、疏散路径、资源需求。</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A05B6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EDD93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C778EB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B1AAD6">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6F69F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3.智能方案生成：接报突发事件后，系统根据事件类型、地点、级别，自动匹配预案，并结合实时交通、人口热力图，智能生成辅助救援方案和物资调配方案。</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C1F46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5D148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389857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9CCCD6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应急资源保障与救援模块</w:t>
            </w: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55E32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1.资源数字化管理：建立救援队伍、专家、物资、装备、医疗等资源的电子档案，实现位置、数量、状态的动态管理。</w:t>
            </w:r>
          </w:p>
        </w:tc>
        <w:tc>
          <w:tcPr>
            <w:tcW w:w="45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EC4C51C">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D1891F0">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22D6F46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3A6B45">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06633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2.智能匹配与调度：根据灾情需求，自动匹配并推荐最近、最合适的应急资源，优化调度路径。</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BAD41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9E07F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CCD65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ADEEFC">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6D655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3.救援过程跟踪：对救援队伍、物资运输车辆进行全程GPS追踪，实时掌握救援进度，确保物资精准投送。</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E1F8A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C5D1F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bl>
    <w:p w14:paraId="5AC30A17">
      <w:pPr>
        <w:numPr>
          <w:ilvl w:val="0"/>
          <w:numId w:val="6"/>
        </w:numPr>
        <w:bidi w:val="0"/>
        <w:ind w:left="0" w:leftChars="0" w:firstLine="0" w:firstLineChars="0"/>
        <w:rPr>
          <w:rFonts w:hint="eastAsia" w:ascii="仿宋" w:hAnsi="仿宋" w:eastAsia="仿宋" w:cs="仿宋"/>
          <w:b/>
          <w:bCs/>
          <w:color w:val="000000" w:themeColor="text1"/>
          <w:sz w:val="28"/>
          <w:szCs w:val="28"/>
          <w:highlight w:val="none"/>
          <w14:textFill>
            <w14:solidFill>
              <w14:schemeClr w14:val="tx1"/>
            </w14:solidFill>
          </w14:textFill>
        </w:rPr>
      </w:pPr>
      <w:r>
        <w:rPr>
          <w:rFonts w:hint="eastAsia" w:ascii="仿宋" w:hAnsi="仿宋" w:eastAsia="仿宋" w:cs="仿宋"/>
          <w:b/>
          <w:bCs/>
          <w:color w:val="000000" w:themeColor="text1"/>
          <w:sz w:val="28"/>
          <w:szCs w:val="28"/>
          <w:highlight w:val="none"/>
          <w14:textFill>
            <w14:solidFill>
              <w14:schemeClr w14:val="tx1"/>
            </w14:solidFill>
          </w14:textFill>
        </w:rPr>
        <w:t>河湖长制平台</w:t>
      </w:r>
    </w:p>
    <w:tbl>
      <w:tblPr>
        <w:tblStyle w:val="4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64"/>
        <w:gridCol w:w="6172"/>
        <w:gridCol w:w="905"/>
        <w:gridCol w:w="927"/>
      </w:tblGrid>
      <w:tr w14:paraId="002095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DE823A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十、河湖长制平台</w:t>
            </w:r>
            <w:r>
              <w:rPr>
                <w:rFonts w:hint="default" w:ascii="Times New Roman" w:hAnsi="Times New Roman" w:eastAsia="仿宋" w:cs="Times New Roman"/>
                <w:b/>
                <w:bCs/>
                <w:i w:val="0"/>
                <w:iCs w:val="0"/>
                <w:color w:val="000000" w:themeColor="text1"/>
                <w:kern w:val="0"/>
                <w:sz w:val="20"/>
                <w:szCs w:val="20"/>
                <w:highlight w:val="none"/>
                <w:u w:val="none"/>
                <w:lang w:val="en-US" w:eastAsia="zh-CN" w:bidi="ar"/>
                <w14:textFill>
                  <w14:solidFill>
                    <w14:schemeClr w14:val="tx1"/>
                  </w14:solidFill>
                </w14:textFill>
              </w:rPr>
              <w:t>​</w:t>
            </w:r>
          </w:p>
        </w:tc>
      </w:tr>
      <w:tr w14:paraId="74C498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8" w:hRule="atLeast"/>
        </w:trPr>
        <w:tc>
          <w:tcPr>
            <w:tcW w:w="9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88D830">
            <w:pPr>
              <w:keepNext w:val="0"/>
              <w:keepLines w:val="0"/>
              <w:widowControl/>
              <w:suppressLineNumbers w:val="0"/>
              <w:jc w:val="left"/>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3C16F4">
            <w:pPr>
              <w:keepNext w:val="0"/>
              <w:keepLines w:val="0"/>
              <w:widowControl/>
              <w:suppressLineNumbers w:val="0"/>
              <w:jc w:val="left"/>
              <w:textAlignment w:val="cente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4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56427D">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单位</w:t>
            </w: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79FE27">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数量</w:t>
            </w:r>
          </w:p>
        </w:tc>
      </w:tr>
      <w:tr w14:paraId="1A5383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67314B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河湖资源“一张图”模块</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78D8B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1.水系空间数据库：整合河道、水库、湖泊、水源地、排污口、取水口等基础信息，形成矢量化的河湖“健康档案”。</w:t>
            </w:r>
          </w:p>
        </w:tc>
        <w:tc>
          <w:tcPr>
            <w:tcW w:w="45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8D5B3BB">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94C1F7C">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706CE0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2A0D51">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2145C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2.立体化监测感知：接入水质自动站、视频监控、无人机巡河数据，在图上实时展示水质类别、水位流量、水面保洁状况等。</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64A80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F9A41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0AC88A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1A4C02">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79D62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3.问题可视化标注：将巡河发现的问题、群众举报的点位在图上精准落位，用不同颜色图标区分问题类型和处理状态。</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41DB4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4EFB7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02864C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84F531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巡河履职与闭环管理模块</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AFA185">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1.移动巡河APP：河长通过APP记录巡河轨迹、上报问题（图文并茂）、查看交办任务，实现巡河过程留痕。</w:t>
            </w:r>
          </w:p>
        </w:tc>
        <w:tc>
          <w:tcPr>
            <w:tcW w:w="45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E6114C2">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292B104">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1BC295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4DAD6D">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C6B9D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2.智能任务分办：系统根据问题类型和职责分工，自动分办至相关乡镇、部门，全程跟踪处理进度，超期自动督办。</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A7711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94869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9832F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19FB84">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7BF07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3.履职考核评估：自动统计各级河长巡河频次、里程、问题上报与处理率，生成履职考核报告。</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36EBE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4C8E0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031B5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E7A66E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水质水环境分析模块</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C7CE53">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1.水质评价与预警：自动计算水质综合指数，对水质超标、断面的水质类别变化进行预警，分析污染成因。</w:t>
            </w:r>
          </w:p>
        </w:tc>
        <w:tc>
          <w:tcPr>
            <w:tcW w:w="45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14B82C7">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91384E8">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1DEFE7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2892A8">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24ADF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2.水环境容量分析：结合水文数据，分析重点河湖的水环境容量，为排污总量控制提供依据。</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60992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304C5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17B490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2B3F76">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8F11D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3.溯源分析：结合排污口、雨洪管网数据，对水质异常断面进行上游溯源，辅助锁定污染来源。</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5F733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F08FC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7849A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C48C39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公众参与与社会监督模块</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C3A7D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1.“绿水币”积分激励：开发公众小程序，鼓励市民举报河湖问题，根据有效举报给予积分奖励，形成良性互动。</w:t>
            </w:r>
          </w:p>
        </w:tc>
        <w:tc>
          <w:tcPr>
            <w:tcW w:w="45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E3CA0F6">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83E0FE1">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333253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CD2795">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7CE4F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2.信息公开发布：公示河长名单、政策法规、水质状况、重点项目进展，保障公众知情权。</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E6B88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B8B68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448BE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D42B52">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22ABC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3.满意度调查：对已处理问题的整改效果进行公众满意度回访，形成社会监督闭环。</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889EC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C6235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bl>
    <w:p w14:paraId="5998A4D0">
      <w:pPr>
        <w:keepNext w:val="0"/>
        <w:keepLines w:val="0"/>
        <w:widowControl/>
        <w:numPr>
          <w:ilvl w:val="0"/>
          <w:numId w:val="0"/>
        </w:numPr>
        <w:suppressLineNumbers w:val="0"/>
        <w:spacing w:before="0" w:beforeAutospacing="0" w:after="0" w:afterAutospacing="0" w:line="240" w:lineRule="auto"/>
        <w:ind w:left="0" w:leftChars="0" w:right="0" w:rightChars="0" w:firstLine="0" w:firstLineChars="0"/>
        <w:jc w:val="both"/>
        <w:outlineLvl w:val="1"/>
        <w:rPr>
          <w:rFonts w:hint="eastAsia"/>
          <w:color w:val="000000" w:themeColor="text1"/>
          <w:highlight w:val="none"/>
          <w:lang w:val="en-US" w:eastAsia="zh-CN"/>
          <w14:textFill>
            <w14:solidFill>
              <w14:schemeClr w14:val="tx1"/>
            </w14:solidFill>
          </w14:textFill>
        </w:rPr>
      </w:pPr>
      <w:r>
        <w:rPr>
          <w:rFonts w:hint="eastAsia" w:ascii="仿宋" w:hAnsi="仿宋" w:eastAsia="仿宋" w:cs="仿宋"/>
          <w:b/>
          <w:bCs/>
          <w:i w:val="0"/>
          <w:strike w:val="0"/>
          <w:color w:val="000000" w:themeColor="text1"/>
          <w:kern w:val="0"/>
          <w:sz w:val="28"/>
          <w:szCs w:val="16"/>
          <w:highlight w:val="none"/>
          <w:lang w:val="en-US" w:eastAsia="zh-CN" w:bidi="ar"/>
          <w14:textFill>
            <w14:solidFill>
              <w14:schemeClr w14:val="tx1"/>
            </w14:solidFill>
          </w14:textFill>
        </w:rPr>
        <w:t>（二）</w:t>
      </w:r>
      <w:r>
        <w:rPr>
          <w:rFonts w:hint="eastAsia" w:ascii="仿宋" w:hAnsi="仿宋" w:eastAsia="仿宋" w:cs="仿宋"/>
          <w:b/>
          <w:bCs/>
          <w:i w:val="0"/>
          <w:strike w:val="0"/>
          <w:color w:val="000000" w:themeColor="text1"/>
          <w:kern w:val="0"/>
          <w:sz w:val="28"/>
          <w:szCs w:val="16"/>
          <w:highlight w:val="none"/>
          <w:u w:val="none"/>
          <w:lang w:val="en-US" w:eastAsia="zh-CN" w:bidi="ar"/>
          <w14:textFill>
            <w14:solidFill>
              <w14:schemeClr w14:val="tx1"/>
            </w14:solidFill>
          </w14:textFill>
        </w:rPr>
        <w:t>精准服务领域</w:t>
      </w:r>
    </w:p>
    <w:p w14:paraId="68DFAD6E">
      <w:pPr>
        <w:bidi w:val="0"/>
        <w:rPr>
          <w:rFonts w:hint="eastAsia" w:ascii="仿宋" w:hAnsi="仿宋" w:eastAsia="仿宋" w:cs="仿宋"/>
          <w:b/>
          <w:bCs/>
          <w:color w:val="000000" w:themeColor="text1"/>
          <w:sz w:val="28"/>
          <w:szCs w:val="28"/>
          <w:highlight w:val="none"/>
          <w14:textFill>
            <w14:solidFill>
              <w14:schemeClr w14:val="tx1"/>
            </w14:solidFill>
          </w14:textFill>
        </w:rPr>
      </w:pPr>
      <w:r>
        <w:rPr>
          <w:rFonts w:hint="eastAsia" w:ascii="仿宋" w:hAnsi="仿宋" w:eastAsia="仿宋" w:cs="仿宋"/>
          <w:b/>
          <w:bCs/>
          <w:color w:val="000000" w:themeColor="text1"/>
          <w:sz w:val="28"/>
          <w:szCs w:val="28"/>
          <w:highlight w:val="none"/>
          <w14:textFill>
            <w14:solidFill>
              <w14:schemeClr w14:val="tx1"/>
            </w14:solidFill>
          </w14:textFill>
        </w:rPr>
        <w:t>1.综合执法监管平台</w:t>
      </w:r>
    </w:p>
    <w:tbl>
      <w:tblPr>
        <w:tblStyle w:val="4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64"/>
        <w:gridCol w:w="6172"/>
        <w:gridCol w:w="947"/>
        <w:gridCol w:w="885"/>
      </w:tblGrid>
      <w:tr w14:paraId="58AD66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847CCF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十一、综合执法监管平台</w:t>
            </w:r>
            <w:r>
              <w:rPr>
                <w:rFonts w:hint="default" w:ascii="Times New Roman" w:hAnsi="Times New Roman" w:eastAsia="仿宋" w:cs="Times New Roman"/>
                <w:b/>
                <w:bCs/>
                <w:i w:val="0"/>
                <w:iCs w:val="0"/>
                <w:color w:val="000000" w:themeColor="text1"/>
                <w:kern w:val="0"/>
                <w:sz w:val="20"/>
                <w:szCs w:val="20"/>
                <w:highlight w:val="none"/>
                <w:u w:val="none"/>
                <w:lang w:val="en-US" w:eastAsia="zh-CN" w:bidi="ar"/>
                <w14:textFill>
                  <w14:solidFill>
                    <w14:schemeClr w14:val="tx1"/>
                  </w14:solidFill>
                </w14:textFill>
              </w:rPr>
              <w:t>​</w:t>
            </w:r>
          </w:p>
        </w:tc>
      </w:tr>
      <w:tr w14:paraId="68170E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4" w:hRule="atLeast"/>
        </w:trPr>
        <w:tc>
          <w:tcPr>
            <w:tcW w:w="9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3BE93D">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A70A6A">
            <w:pPr>
              <w:keepNext w:val="0"/>
              <w:keepLines w:val="0"/>
              <w:widowControl/>
              <w:suppressLineNumbers w:val="0"/>
              <w:jc w:val="center"/>
              <w:textAlignment w:val="cente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4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1277D9">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单位</w:t>
            </w:r>
          </w:p>
        </w:tc>
        <w:tc>
          <w:tcPr>
            <w:tcW w:w="4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3912DD">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数量</w:t>
            </w:r>
          </w:p>
        </w:tc>
      </w:tr>
      <w:tr w14:paraId="47D135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C13AFA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智慧办案系统</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B81E63">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1.全过程网上办案：实现从立案、调查、取证、告知、决定、执行、结案的全流程线上流转，生成标准电子卷宗。</w:t>
            </w:r>
          </w:p>
        </w:tc>
        <w:tc>
          <w:tcPr>
            <w:tcW w:w="47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CB76B09">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9AFA8E0">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4CCC759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196B8B">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B9C50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2.电子签章与文书生成：集成电子签章，自动调用法律条文库，智能生成处罚决定书等法律文书，规范执法行为。</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14913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1C7F0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580890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A8FD87">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E3A24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3.自由裁量权智能辅助：内置自由裁量基准，根据违法情节自动计算处罚幅度区间，减少人为干预，促进公平公正。</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FE7F3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3E5B2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ABE4B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43699C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移动执法终端APP</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19031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1.现场执法作业：支持现场检查、取证、笔录制作、文书打印、信息查询（相对人信息、法律法规），提升执法效率。</w:t>
            </w:r>
          </w:p>
        </w:tc>
        <w:tc>
          <w:tcPr>
            <w:tcW w:w="47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FDE4722">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286DE82">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63BEE8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A6985B">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DEDA4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2.实时联动指挥：与指挥中心实时音视频通话，接收指令、上报情况，实现前后方协同。</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DD2FD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D2206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969D1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7277A5">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A77D0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3.电子罚没款缴纳：集成支付接口，支持当事人通过扫码等方式现场缴纳罚款，实现罚款直接上缴国库。</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6E22D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4264E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3ADCFB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E72DED3">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“双随机、一公开”监管模块</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F42D25">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1.一单两库管理：动态管理检查事项清单、检查对象库和执法检查人员库。</w:t>
            </w:r>
          </w:p>
        </w:tc>
        <w:tc>
          <w:tcPr>
            <w:tcW w:w="47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06F10AA">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423F3E4">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6E39A5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0CF49D">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C1CBE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2.智能随机摇号：按设定规则（如区域、行业、风险等级）随机抽取检查对象和执法人员，自动派发检查任务。</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5FE2C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A78C4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E1149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F1CE3C">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149A4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3.检查结果公开：检查结果通过政府网站等渠道向社会公开，实现阳光执法，接受社会监督。</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D28F0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A2DEB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5B7B89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19BFA8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信用协同与数据分析模块</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58272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1.信用信息归集：将行政处罚、红黑名单等信息归集至市场主体信用档案。</w:t>
            </w:r>
          </w:p>
        </w:tc>
        <w:tc>
          <w:tcPr>
            <w:tcW w:w="47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5D7DAB7">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40559BA">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5F1B2B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734DA2">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C4E0E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2.信用分类监管：根据信用等级实施差异化监管措施，对信用良好者减少检查频次，对失信者加大检查力度。</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8F122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826CE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D5889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75FB49">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4B13C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3.执法大数据分析：对案件类型、高发区域、时间段等进行多维度分析，为精准执法和决策提供数据支持。</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17202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318E7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bl>
    <w:p w14:paraId="626758C3">
      <w:pPr>
        <w:numPr>
          <w:ilvl w:val="0"/>
          <w:numId w:val="0"/>
        </w:numPr>
        <w:bidi w:val="0"/>
        <w:rPr>
          <w:rFonts w:hint="eastAsia" w:ascii="仿宋" w:hAnsi="仿宋" w:eastAsia="仿宋" w:cs="仿宋"/>
          <w:b/>
          <w:bCs/>
          <w:color w:val="000000" w:themeColor="text1"/>
          <w:sz w:val="28"/>
          <w:szCs w:val="28"/>
          <w:highlight w:val="none"/>
          <w14:textFill>
            <w14:solidFill>
              <w14:schemeClr w14:val="tx1"/>
            </w14:solidFill>
          </w14:textFill>
        </w:rPr>
      </w:pPr>
      <w:r>
        <w:rPr>
          <w:rFonts w:hint="eastAsia" w:ascii="仿宋" w:hAnsi="仿宋" w:eastAsia="仿宋" w:cs="仿宋"/>
          <w:b/>
          <w:bCs/>
          <w:color w:val="000000" w:themeColor="text1"/>
          <w:kern w:val="2"/>
          <w:sz w:val="28"/>
          <w:szCs w:val="28"/>
          <w:highlight w:val="none"/>
          <w:lang w:val="en-US" w:eastAsia="zh-CN" w:bidi="ar-SA"/>
          <w14:textFill>
            <w14:solidFill>
              <w14:schemeClr w14:val="tx1"/>
            </w14:solidFill>
          </w14:textFill>
        </w:rPr>
        <w:t>2.</w:t>
      </w:r>
      <w:r>
        <w:rPr>
          <w:rFonts w:hint="eastAsia" w:ascii="仿宋" w:hAnsi="仿宋" w:eastAsia="仿宋" w:cs="仿宋"/>
          <w:b/>
          <w:bCs/>
          <w:color w:val="000000" w:themeColor="text1"/>
          <w:sz w:val="28"/>
          <w:szCs w:val="28"/>
          <w:highlight w:val="none"/>
          <w14:textFill>
            <w14:solidFill>
              <w14:schemeClr w14:val="tx1"/>
            </w14:solidFill>
          </w14:textFill>
        </w:rPr>
        <w:t>医保信用监管系统</w:t>
      </w:r>
    </w:p>
    <w:tbl>
      <w:tblPr>
        <w:tblStyle w:val="4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62"/>
        <w:gridCol w:w="6178"/>
        <w:gridCol w:w="917"/>
        <w:gridCol w:w="911"/>
      </w:tblGrid>
      <w:tr w14:paraId="6123A46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0" w:hRule="atLeast"/>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76B8D5A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十二、医保信用监管系统</w:t>
            </w:r>
            <w:r>
              <w:rPr>
                <w:rFonts w:hint="default" w:ascii="Times New Roman" w:hAnsi="Times New Roman" w:eastAsia="仿宋" w:cs="Times New Roman"/>
                <w:b/>
                <w:bCs/>
                <w:i w:val="0"/>
                <w:iCs w:val="0"/>
                <w:color w:val="000000" w:themeColor="text1"/>
                <w:kern w:val="0"/>
                <w:sz w:val="20"/>
                <w:szCs w:val="20"/>
                <w:highlight w:val="none"/>
                <w:u w:val="none"/>
                <w:lang w:val="en-US" w:eastAsia="zh-CN" w:bidi="ar"/>
                <w14:textFill>
                  <w14:solidFill>
                    <w14:schemeClr w14:val="tx1"/>
                  </w14:solidFill>
                </w14:textFill>
              </w:rPr>
              <w:t>​</w:t>
            </w:r>
          </w:p>
        </w:tc>
      </w:tr>
      <w:tr w14:paraId="623B3C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6" w:hRule="atLeast"/>
        </w:trPr>
        <w:tc>
          <w:tcPr>
            <w:tcW w:w="9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785A98">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309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D8AE74">
            <w:pPr>
              <w:keepNext w:val="0"/>
              <w:keepLines w:val="0"/>
              <w:widowControl/>
              <w:suppressLineNumbers w:val="0"/>
              <w:jc w:val="center"/>
              <w:textAlignment w:val="cente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4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56DFFD">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单位</w:t>
            </w:r>
          </w:p>
        </w:tc>
        <w:tc>
          <w:tcPr>
            <w:tcW w:w="4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335EF1">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数量</w:t>
            </w:r>
          </w:p>
        </w:tc>
      </w:tr>
      <w:tr w14:paraId="343AE0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3CAF6F0">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医保信用评价模型与指标体系模块</w:t>
            </w:r>
          </w:p>
        </w:tc>
        <w:tc>
          <w:tcPr>
            <w:tcW w:w="309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63A28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1.多主体信用档案库：为定点医疗机构、零售药店、医保医师、参保人员分别建立动态信用档案，全面记录基础信息、履约行为、奖惩记录等。</w:t>
            </w:r>
          </w:p>
        </w:tc>
        <w:tc>
          <w:tcPr>
            <w:tcW w:w="46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CBA5704">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5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1B13DCD">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31F3A2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00" w:hRule="atLeast"/>
        </w:trPr>
        <w:tc>
          <w:tcPr>
            <w:tcW w:w="98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989F1F">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E5B16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2.科学信用评价模型：构建涵盖履约合规性、服务规范性、基金安全性、社会评价等多维度的信用评价指标体系，并建立定量与定性相结合的信用评分数学模型，实现信用等级的自动评定与动态更新。</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E5D6FF">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F323C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8CD8F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97156B">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3F240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3.信用数据挖掘与画像：基于历史结算、稽查、投诉数据，运用大数据技术挖掘异常行为模式，为每个信用主体生成精准的“信用画像”，识别潜在风险点。</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AC9E4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EB8B2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7D0D06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37DA1E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智能监控与大数据风控模块</w:t>
            </w:r>
          </w:p>
        </w:tc>
        <w:tc>
          <w:tcPr>
            <w:tcW w:w="309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1E4CF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1.AI智能审单：基于医学规则库和机器学习算法，对医疗费用结算数据进行实时扫描，自动识别疑似欺诈骗保行为，如分解住院、挂床住院、虚构医疗服务、超标准收费等。</w:t>
            </w:r>
          </w:p>
        </w:tc>
        <w:tc>
          <w:tcPr>
            <w:tcW w:w="46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59CD31C">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5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6534FFD">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0B76D0A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2ABFC6">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EE670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2.就医行为轨迹分析：分析参保人就医轨迹，精准识别“医托”、冒名就医、超量开药等异常行为网络。</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B42E1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3BD3E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408742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6FD29E">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CE4E1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3.实时预警与拦截：对高风险交易实现事中实时预警和事后快速筛查，将预警信息推送至稽查人员，对极高风险行为设置基金支付拦截规则。</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14F5E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60B60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40CFC4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59BE8F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信用评价结果应用与联动奖惩模块</w:t>
            </w:r>
          </w:p>
        </w:tc>
        <w:tc>
          <w:tcPr>
            <w:tcW w:w="309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104A5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1.信用分级分类监管：根据信用等级对定点医药机构实施差异化监管措施，如对信用优良者减少检查频次，对失信者列为重点监控对象。</w:t>
            </w:r>
          </w:p>
        </w:tc>
        <w:tc>
          <w:tcPr>
            <w:tcW w:w="46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7CFFC79">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5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B9B4D30">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186B73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4047D6">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C58F3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2.联动奖惩与信息公开：建立与发改、市场监管、卫健等部门的信用信息共享机制，实施联合奖惩。依法依规向社会公开信用评价结果，发挥社会监督作用。</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04C2C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6270E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3B6F8D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BE2D04">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6790A5">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3.信用修复与异议处理：提供线上信用修复申请、异议申诉渠道，并配套规范的处理流程，保障主体权益。</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9541E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5641A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bl>
    <w:p w14:paraId="67E07E42">
      <w:pPr>
        <w:numPr>
          <w:ilvl w:val="0"/>
          <w:numId w:val="0"/>
        </w:numPr>
        <w:bidi w:val="0"/>
        <w:ind w:left="0" w:leftChars="0" w:firstLine="0" w:firstLineChars="0"/>
        <w:rPr>
          <w:rFonts w:hint="eastAsia" w:ascii="仿宋" w:hAnsi="仿宋" w:eastAsia="仿宋" w:cs="仿宋"/>
          <w:b/>
          <w:bCs/>
          <w:color w:val="000000" w:themeColor="text1"/>
          <w:sz w:val="28"/>
          <w:szCs w:val="28"/>
          <w:highlight w:val="none"/>
          <w14:textFill>
            <w14:solidFill>
              <w14:schemeClr w14:val="tx1"/>
            </w14:solidFill>
          </w14:textFill>
        </w:rPr>
      </w:pPr>
      <w:r>
        <w:rPr>
          <w:rFonts w:hint="eastAsia" w:ascii="仿宋" w:hAnsi="仿宋" w:eastAsia="仿宋" w:cs="仿宋"/>
          <w:b/>
          <w:bCs/>
          <w:color w:val="000000" w:themeColor="text1"/>
          <w:kern w:val="2"/>
          <w:sz w:val="28"/>
          <w:szCs w:val="28"/>
          <w:highlight w:val="none"/>
          <w:lang w:val="en-US" w:eastAsia="zh-CN" w:bidi="ar-SA"/>
          <w14:textFill>
            <w14:solidFill>
              <w14:schemeClr w14:val="tx1"/>
            </w14:solidFill>
          </w14:textFill>
        </w:rPr>
        <w:t>3.</w:t>
      </w:r>
      <w:r>
        <w:rPr>
          <w:rFonts w:hint="eastAsia" w:ascii="仿宋" w:hAnsi="仿宋" w:eastAsia="仿宋" w:cs="仿宋"/>
          <w:b/>
          <w:bCs/>
          <w:color w:val="000000" w:themeColor="text1"/>
          <w:sz w:val="28"/>
          <w:szCs w:val="28"/>
          <w:highlight w:val="none"/>
          <w14:textFill>
            <w14:solidFill>
              <w14:schemeClr w14:val="tx1"/>
            </w14:solidFill>
          </w14:textFill>
        </w:rPr>
        <w:t>资产管理系统</w:t>
      </w:r>
    </w:p>
    <w:tbl>
      <w:tblPr>
        <w:tblStyle w:val="4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64"/>
        <w:gridCol w:w="6172"/>
        <w:gridCol w:w="947"/>
        <w:gridCol w:w="885"/>
      </w:tblGrid>
      <w:tr w14:paraId="3C84F0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1" w:hRule="atLeast"/>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73CFE5C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十三、资产管理系统</w:t>
            </w:r>
            <w:r>
              <w:rPr>
                <w:rFonts w:hint="default" w:ascii="Times New Roman" w:hAnsi="Times New Roman" w:eastAsia="仿宋" w:cs="Times New Roman"/>
                <w:b/>
                <w:bCs/>
                <w:i w:val="0"/>
                <w:iCs w:val="0"/>
                <w:color w:val="000000" w:themeColor="text1"/>
                <w:kern w:val="0"/>
                <w:sz w:val="20"/>
                <w:szCs w:val="20"/>
                <w:highlight w:val="none"/>
                <w:u w:val="none"/>
                <w:lang w:val="en-US" w:eastAsia="zh-CN" w:bidi="ar"/>
                <w14:textFill>
                  <w14:solidFill>
                    <w14:schemeClr w14:val="tx1"/>
                  </w14:solidFill>
                </w14:textFill>
              </w:rPr>
              <w:t>​</w:t>
            </w:r>
          </w:p>
        </w:tc>
      </w:tr>
      <w:tr w14:paraId="3B6C95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1" w:hRule="atLeast"/>
        </w:trPr>
        <w:tc>
          <w:tcPr>
            <w:tcW w:w="9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9F6AAF">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700043">
            <w:pPr>
              <w:keepNext w:val="0"/>
              <w:keepLines w:val="0"/>
              <w:widowControl/>
              <w:suppressLineNumbers w:val="0"/>
              <w:jc w:val="center"/>
              <w:textAlignment w:val="cente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4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94C6D8">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单位</w:t>
            </w:r>
          </w:p>
        </w:tc>
        <w:tc>
          <w:tcPr>
            <w:tcW w:w="4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059AF4">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数量</w:t>
            </w:r>
          </w:p>
        </w:tc>
      </w:tr>
      <w:tr w14:paraId="25EC0F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3B62FD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资产全生命周期管理模块</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38D29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1.资产卡片与电子身份：为每项固定资产（房屋、设备、车辆等）建立唯一电子身份证（二维码/RFID），记录名称、规格、价值、位置、图片等全量信息。</w:t>
            </w:r>
          </w:p>
        </w:tc>
        <w:tc>
          <w:tcPr>
            <w:tcW w:w="47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C50E0CA">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6D70EF5">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41F563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C01034">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4799F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2.业务流程线上化：实现资产申购、入库、领用、调拨、维修、盘点、报废处置的全流程线上审批与流转，处处留痕，责任到人。</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C5811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180A6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21D46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CE09A9">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84108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3.智能盘点：支持通过PDA扫描二维码或RFID批量盘点，自动生成盘盈、盘亏报告，极大提升盘点效率和准确性。</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6CCF4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9AF0C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C0BD5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8903E9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资产GIS一张图与空间管理模块</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723675">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1.资产可视化落图：将房产、土地、大型设备等重要资产在GIS地图上精准定位，实现资产分布、使用状态、闲置情况一图统览。</w:t>
            </w:r>
          </w:p>
        </w:tc>
        <w:tc>
          <w:tcPr>
            <w:tcW w:w="47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8C118A8">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819F643">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129191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8AAB88">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AC1F8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2.空间资源管理：对办公用房、经营性房产等进行图形化管理和统计分析，动态掌握空间使用率，为优化配置提供依据。</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936C7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2F048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7BB94E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0F1BA5">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00EBC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3.资产导航与定位：快速查询定位资产所在楼栋、楼层、房间，方便资产查找与现场核查。</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2D44F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B21D4F">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51D302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62E681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资产预算绩效与共享调剂模块</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51D785">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1.资产配置预算联动：资产申购与部门预算挂钩，对新购资产进行存量比对与必要性审核，从源头控制盲目购置。</w:t>
            </w:r>
          </w:p>
        </w:tc>
        <w:tc>
          <w:tcPr>
            <w:tcW w:w="47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62FD64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ABCB202">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0D03405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F53DE0">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EEDF1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2.资产绩效评价：建立资产使用效益评价模型，对资产使用率、完好率、贡献度等进行量化考核，生成绩效报告。</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A05A2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6C5FB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7E21F1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579235">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AA36E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3.公物仓与共享调剂：建立虚拟“公物仓”，对闲置、报废可再利用的资产进行登记、发布，支持部门间在线调剂申请，盘活存量资产。</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B5342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92FAD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bl>
    <w:p w14:paraId="555DDBED">
      <w:pPr>
        <w:keepNext w:val="0"/>
        <w:keepLines w:val="0"/>
        <w:widowControl/>
        <w:numPr>
          <w:ilvl w:val="0"/>
          <w:numId w:val="0"/>
        </w:numPr>
        <w:suppressLineNumbers w:val="0"/>
        <w:spacing w:before="0" w:beforeAutospacing="0" w:after="0" w:afterAutospacing="0" w:line="240" w:lineRule="auto"/>
        <w:ind w:left="0" w:leftChars="0" w:right="0" w:rightChars="0" w:firstLine="0" w:firstLineChars="0"/>
        <w:jc w:val="both"/>
        <w:outlineLvl w:val="1"/>
        <w:rPr>
          <w:rFonts w:hint="eastAsia" w:ascii="仿宋" w:hAnsi="仿宋" w:eastAsia="仿宋" w:cs="仿宋"/>
          <w:b/>
          <w:bCs/>
          <w:i w:val="0"/>
          <w:strike w:val="0"/>
          <w:color w:val="000000" w:themeColor="text1"/>
          <w:kern w:val="0"/>
          <w:sz w:val="28"/>
          <w:szCs w:val="16"/>
          <w:highlight w:val="none"/>
          <w:u w:val="none"/>
          <w:lang w:val="en-US" w:eastAsia="zh-CN" w:bidi="ar"/>
          <w14:textFill>
            <w14:solidFill>
              <w14:schemeClr w14:val="tx1"/>
            </w14:solidFill>
          </w14:textFill>
        </w:rPr>
      </w:pPr>
      <w:r>
        <w:rPr>
          <w:rFonts w:hint="eastAsia" w:ascii="仿宋" w:hAnsi="仿宋" w:eastAsia="仿宋" w:cs="仿宋"/>
          <w:b/>
          <w:bCs/>
          <w:i w:val="0"/>
          <w:strike w:val="0"/>
          <w:color w:val="000000" w:themeColor="text1"/>
          <w:kern w:val="0"/>
          <w:sz w:val="28"/>
          <w:szCs w:val="16"/>
          <w:highlight w:val="none"/>
          <w:lang w:val="en-US" w:eastAsia="zh-CN" w:bidi="ar"/>
          <w14:textFill>
            <w14:solidFill>
              <w14:schemeClr w14:val="tx1"/>
            </w14:solidFill>
          </w14:textFill>
        </w:rPr>
        <w:t>（三）</w:t>
      </w:r>
      <w:r>
        <w:rPr>
          <w:rFonts w:hint="eastAsia" w:ascii="仿宋" w:hAnsi="仿宋" w:eastAsia="仿宋" w:cs="仿宋"/>
          <w:b/>
          <w:bCs/>
          <w:i w:val="0"/>
          <w:strike w:val="0"/>
          <w:color w:val="000000" w:themeColor="text1"/>
          <w:kern w:val="0"/>
          <w:sz w:val="28"/>
          <w:szCs w:val="16"/>
          <w:highlight w:val="none"/>
          <w:u w:val="none"/>
          <w:lang w:val="en-US" w:eastAsia="zh-CN" w:bidi="ar"/>
          <w14:textFill>
            <w14:solidFill>
              <w14:schemeClr w14:val="tx1"/>
            </w14:solidFill>
          </w14:textFill>
        </w:rPr>
        <w:t>产业经济领域</w:t>
      </w:r>
    </w:p>
    <w:p w14:paraId="176D0213">
      <w:pPr>
        <w:bidi w:val="0"/>
        <w:rPr>
          <w:rFonts w:hint="eastAsia" w:ascii="仿宋" w:hAnsi="仿宋" w:eastAsia="仿宋" w:cs="仿宋"/>
          <w:b/>
          <w:bCs/>
          <w:color w:val="000000" w:themeColor="text1"/>
          <w:sz w:val="28"/>
          <w:szCs w:val="28"/>
          <w:highlight w:val="none"/>
          <w:lang w:val="en-US" w:eastAsia="zh-CN"/>
          <w14:textFill>
            <w14:solidFill>
              <w14:schemeClr w14:val="tx1"/>
            </w14:solidFill>
          </w14:textFill>
        </w:rPr>
      </w:pPr>
      <w:r>
        <w:rPr>
          <w:rFonts w:hint="eastAsia" w:ascii="仿宋" w:hAnsi="仿宋" w:eastAsia="仿宋" w:cs="仿宋"/>
          <w:b/>
          <w:bCs/>
          <w:color w:val="000000" w:themeColor="text1"/>
          <w:sz w:val="28"/>
          <w:szCs w:val="28"/>
          <w:highlight w:val="none"/>
          <w14:textFill>
            <w14:solidFill>
              <w14:schemeClr w14:val="tx1"/>
            </w14:solidFill>
          </w14:textFill>
        </w:rPr>
        <w:t>1.国企在线安全管理信息化平台</w:t>
      </w:r>
      <w:r>
        <w:rPr>
          <w:rFonts w:hint="eastAsia" w:ascii="仿宋" w:hAnsi="仿宋" w:eastAsia="仿宋" w:cs="仿宋"/>
          <w:b/>
          <w:bCs/>
          <w:color w:val="000000" w:themeColor="text1"/>
          <w:sz w:val="28"/>
          <w:szCs w:val="28"/>
          <w:highlight w:val="none"/>
          <w:lang w:val="en-US" w:eastAsia="zh-CN"/>
          <w14:textFill>
            <w14:solidFill>
              <w14:schemeClr w14:val="tx1"/>
            </w14:solidFill>
          </w14:textFill>
        </w:rPr>
        <w:t xml:space="preserve"> </w:t>
      </w:r>
    </w:p>
    <w:tbl>
      <w:tblPr>
        <w:tblStyle w:val="47"/>
        <w:tblW w:w="0" w:type="auto"/>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558"/>
        <w:gridCol w:w="7286"/>
        <w:gridCol w:w="513"/>
        <w:gridCol w:w="513"/>
      </w:tblGrid>
      <w:tr w14:paraId="5DA8CE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4C0F0F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十四、国企在线安全管理信息化平台</w:t>
            </w:r>
            <w:r>
              <w:rPr>
                <w:rFonts w:hint="default" w:ascii="Times New Roman" w:hAnsi="Times New Roman" w:eastAsia="仿宋" w:cs="Times New Roman"/>
                <w:b/>
                <w:bCs/>
                <w:i w:val="0"/>
                <w:iCs w:val="0"/>
                <w:color w:val="000000" w:themeColor="text1"/>
                <w:kern w:val="0"/>
                <w:sz w:val="20"/>
                <w:szCs w:val="20"/>
                <w:highlight w:val="none"/>
                <w:u w:val="none"/>
                <w:lang w:val="en-US" w:eastAsia="zh-CN" w:bidi="ar"/>
                <w14:textFill>
                  <w14:solidFill>
                    <w14:schemeClr w14:val="tx1"/>
                  </w14:solidFill>
                </w14:textFill>
              </w:rPr>
              <w:t>​</w:t>
            </w:r>
          </w:p>
        </w:tc>
      </w:tr>
      <w:tr w14:paraId="1D7B06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C456F8">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F57EC7">
            <w:pPr>
              <w:keepNext w:val="0"/>
              <w:keepLines w:val="0"/>
              <w:widowControl/>
              <w:suppressLineNumbers w:val="0"/>
              <w:jc w:val="center"/>
              <w:textAlignment w:val="cente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3DABA74">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单位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465D298">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数量</w:t>
            </w:r>
          </w:p>
        </w:tc>
      </w:tr>
      <w:tr w14:paraId="14210F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FBFE275">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安全风险分级管控与预警模块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D58D09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1.风险点“一张图”：基于GIS地图，对重大危险源、高风险工艺装置、有限空间等风险点进行标识，并用“红橙黄蓝”四色图展示风险等级。</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F69F6CD">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4CB6209">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715A3F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46A16B">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8CF0BA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2.动态风险评估：结合实时监测数据（如温度、压力、气体浓度）、设备状态、巡检结果，动态计算风险等级，实现风险早期预警。</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7C849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C138D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B99F4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DC83CF">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62DC2F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3.风险管控措施清单：为每个风险点明确管控措施、责任部门和责任人，确保措施落地。</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58231F">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C79FE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E6A58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8643A63">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隐患排查治理闭环管理模块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52871A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1.隐患排查任务推送：系统定期生成排查任务，并通过APP推送至具体责任人，支持日常、专项、季节性等多种排查计划。</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6D70E06">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38F0BBA">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495C23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6E500B">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5BF4F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2.移动巡检与AI识别：巡检人员通过APP执行巡检，可拍照、录像上报隐患，并可利用AI图像识别自动识别常见安全隐患（如消防通道堵塞、安全帽未佩戴）。</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F8A18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9512A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358B0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BD859F">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AF1D0C5">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3.整改闭环跟踪：隐患上报后，系统自动生成整改任务，明确整改时限，并对整改过程进行跟踪、督办，直至销号，形成PDCA闭环。</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5A60A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529AF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BDF8F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8171433">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应急管理与指挥联动模块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33BE19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1.应急预案数字化：将文本预案转化为结构化的电子预案，明确应急流程、资源、人员，支持一键启动。</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68F624F">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FD75B28">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1315CF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FEA627">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341573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2.应急资源管理：管理应急物资、装备、救援队伍信息，并在地图上显示分布，方便应急调度。</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B14FC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E37BB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876EA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B7A844">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036C25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3.在线模拟演练与指挥：支持在三维模型或地图上进行桌面推演，事故发生时可通过系统进行人员疏散通知、应急资源调度和协同指挥。</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86C34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F5BB2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bl>
    <w:p w14:paraId="7936982C">
      <w:pPr>
        <w:numPr>
          <w:ilvl w:val="0"/>
          <w:numId w:val="0"/>
        </w:numPr>
        <w:bidi w:val="0"/>
        <w:rPr>
          <w:rFonts w:hint="eastAsia" w:ascii="仿宋" w:hAnsi="仿宋" w:eastAsia="仿宋" w:cs="仿宋"/>
          <w:color w:val="000000" w:themeColor="text1"/>
          <w:sz w:val="28"/>
          <w:szCs w:val="28"/>
          <w:highlight w:val="none"/>
          <w:lang w:val="en-US" w:eastAsia="zh-CN"/>
          <w14:textFill>
            <w14:solidFill>
              <w14:schemeClr w14:val="tx1"/>
            </w14:solidFill>
          </w14:textFill>
        </w:rPr>
      </w:pPr>
      <w:r>
        <w:rPr>
          <w:rFonts w:hint="eastAsia" w:ascii="仿宋" w:hAnsi="仿宋" w:eastAsia="仿宋" w:cs="仿宋"/>
          <w:color w:val="000000" w:themeColor="text1"/>
          <w:kern w:val="2"/>
          <w:sz w:val="28"/>
          <w:szCs w:val="28"/>
          <w:highlight w:val="none"/>
          <w:lang w:val="en-US" w:eastAsia="zh-CN" w:bidi="ar-SA"/>
          <w14:textFill>
            <w14:solidFill>
              <w14:schemeClr w14:val="tx1"/>
            </w14:solidFill>
          </w14:textFill>
        </w:rPr>
        <w:t>2.</w:t>
      </w:r>
      <w:r>
        <w:rPr>
          <w:rFonts w:hint="eastAsia" w:ascii="仿宋" w:hAnsi="仿宋" w:eastAsia="仿宋" w:cs="仿宋"/>
          <w:b/>
          <w:bCs/>
          <w:color w:val="000000" w:themeColor="text1"/>
          <w:sz w:val="28"/>
          <w:szCs w:val="28"/>
          <w:highlight w:val="none"/>
          <w:lang w:val="en-US" w:eastAsia="zh-CN"/>
          <w14:textFill>
            <w14:solidFill>
              <w14:schemeClr w14:val="tx1"/>
            </w14:solidFill>
          </w14:textFill>
        </w:rPr>
        <w:t>智慧招商平台</w:t>
      </w:r>
    </w:p>
    <w:tbl>
      <w:tblPr>
        <w:tblStyle w:val="4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68"/>
        <w:gridCol w:w="6182"/>
        <w:gridCol w:w="947"/>
        <w:gridCol w:w="871"/>
      </w:tblGrid>
      <w:tr w14:paraId="791A9F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281996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十五、智慧招商平台</w:t>
            </w:r>
            <w:r>
              <w:rPr>
                <w:rFonts w:hint="default" w:ascii="Times New Roman" w:hAnsi="Times New Roman" w:eastAsia="仿宋" w:cs="Times New Roman"/>
                <w:b/>
                <w:bCs/>
                <w:i w:val="0"/>
                <w:iCs w:val="0"/>
                <w:color w:val="000000" w:themeColor="text1"/>
                <w:kern w:val="0"/>
                <w:sz w:val="20"/>
                <w:szCs w:val="20"/>
                <w:highlight w:val="none"/>
                <w:u w:val="none"/>
                <w:lang w:val="en-US" w:eastAsia="zh-CN" w:bidi="ar"/>
                <w14:textFill>
                  <w14:solidFill>
                    <w14:schemeClr w14:val="tx1"/>
                  </w14:solidFill>
                </w14:textFill>
              </w:rPr>
              <w:t>​</w:t>
            </w:r>
          </w:p>
        </w:tc>
      </w:tr>
      <w:tr w14:paraId="1A959B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9" w:hRule="atLeast"/>
        </w:trPr>
        <w:tc>
          <w:tcPr>
            <w:tcW w:w="9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83062F">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270255">
            <w:pPr>
              <w:keepNext w:val="0"/>
              <w:keepLines w:val="0"/>
              <w:widowControl/>
              <w:suppressLineNumbers w:val="0"/>
              <w:jc w:val="center"/>
              <w:textAlignment w:val="cente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4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272A4E">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单位</w:t>
            </w:r>
          </w:p>
        </w:tc>
        <w:tc>
          <w:tcPr>
            <w:tcW w:w="4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DE221F">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数量</w:t>
            </w:r>
          </w:p>
        </w:tc>
      </w:tr>
      <w:tr w14:paraId="4B740C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DC3313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招商资源智能挖掘与目标企业匹配模块</w:t>
            </w: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C0D0F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1.全球企业投资大数据分析：通过网络爬虫和第三方数据，获取重点产业领域龙头企业的投资动态、扩张计划、技术布局等信息，构建目标企业库。</w:t>
            </w:r>
          </w:p>
        </w:tc>
        <w:tc>
          <w:tcPr>
            <w:tcW w:w="47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08AAE38">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06F0210">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18006E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0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EF00FD">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6B729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2.多维度精准匹配引擎：建立匹配算法模型，从产业契合度、市场半径、要素成本（土地、人才、能源）、产业链配套、政策优惠等多个维度，为荣成的招商方向与目标企业进行匹配度打分和智能推荐。</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60DE3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C6B55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335936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C69386">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EFCE6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3.企业全景画像：生成目标企业的全景画像，包括实力分析、投资偏好、关键联系人、竞争对手分析等，为招商人员提供精准“敲门砖”。</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56C30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3E267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23A33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EB8211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项目管理与协同服务模块</w:t>
            </w: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C47FC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1.项目库与流程跟踪：对招商项目进行全生命周期管理，从项目信息录入、意向洽谈、签约落地到开工建设，全程跟踪记录，生成项目推进甘特图。</w:t>
            </w:r>
          </w:p>
        </w:tc>
        <w:tc>
          <w:tcPr>
            <w:tcW w:w="47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0DBFEA3">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ACCDBFD">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06C08B3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2406E8">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DE0A95">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2.协同办公与知识库：为招商团队提供共享日历、任务分配、在线文档协作工具，并建立招商政策、载体信息、推介材料等知识库，提升团队效率。</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16525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19500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AC281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FFDB9D">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92F36A">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3.决策支持驾驶舱：为领导提供招商全景图，实时展示在谈项目、签约项目、到位资金、产业分布等关键指标，辅助招商决策。</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ACC94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4CA85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4280B1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775823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可视化招商推介与载体管理模块</w:t>
            </w: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E50973">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1.投资热力图：基于GIS地图，可视化展示荣成的产业布局、可用地块、闲置厂房、楼宇、重点园区、优惠政策等信息，一目了然。</w:t>
            </w:r>
          </w:p>
        </w:tc>
        <w:tc>
          <w:tcPr>
            <w:tcW w:w="47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0D1017F">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2A9587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353E64C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DF4CAA">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4237F0">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2.云上推介与VR实景看地：制作重点园区和载体的VR全景视频，投资者可在线720度实景考察投资环境，打破时空限制。</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EB48F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72BEA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5E8D51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593818">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D0F4F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3.载体智能匹配：输入企业对面积、层高、配套等需求，系统可自动匹配并推荐符合条件的可用载体。</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DCB37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81D94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bl>
    <w:p w14:paraId="6D4F1E9A">
      <w:pPr>
        <w:numPr>
          <w:ilvl w:val="0"/>
          <w:numId w:val="0"/>
        </w:numPr>
        <w:bidi w:val="0"/>
        <w:ind w:left="0" w:leftChars="0" w:firstLine="0" w:firstLineChars="0"/>
        <w:rPr>
          <w:rFonts w:hint="eastAsia" w:ascii="仿宋" w:hAnsi="仿宋" w:eastAsia="仿宋" w:cs="仿宋"/>
          <w:b/>
          <w:bCs/>
          <w:color w:val="000000" w:themeColor="text1"/>
          <w:sz w:val="28"/>
          <w:szCs w:val="28"/>
          <w:highlight w:val="none"/>
          <w:lang w:val="en-US" w:eastAsia="zh-CN"/>
          <w14:textFill>
            <w14:solidFill>
              <w14:schemeClr w14:val="tx1"/>
            </w14:solidFill>
          </w14:textFill>
        </w:rPr>
      </w:pPr>
      <w:r>
        <w:rPr>
          <w:rFonts w:hint="eastAsia" w:ascii="仿宋" w:hAnsi="仿宋" w:eastAsia="仿宋" w:cs="仿宋"/>
          <w:b/>
          <w:bCs/>
          <w:color w:val="000000" w:themeColor="text1"/>
          <w:kern w:val="2"/>
          <w:sz w:val="28"/>
          <w:szCs w:val="28"/>
          <w:highlight w:val="none"/>
          <w:lang w:val="en-US" w:eastAsia="zh-CN" w:bidi="ar-SA"/>
          <w14:textFill>
            <w14:solidFill>
              <w14:schemeClr w14:val="tx1"/>
            </w14:solidFill>
          </w14:textFill>
        </w:rPr>
        <w:t>3.</w:t>
      </w:r>
      <w:r>
        <w:rPr>
          <w:rFonts w:hint="eastAsia" w:ascii="仿宋" w:hAnsi="仿宋" w:eastAsia="仿宋" w:cs="仿宋"/>
          <w:b/>
          <w:bCs/>
          <w:color w:val="000000" w:themeColor="text1"/>
          <w:sz w:val="28"/>
          <w:szCs w:val="28"/>
          <w:highlight w:val="none"/>
          <w:lang w:val="en-US" w:eastAsia="zh-CN"/>
          <w14:textFill>
            <w14:solidFill>
              <w14:schemeClr w14:val="tx1"/>
            </w14:solidFill>
          </w14:textFill>
        </w:rPr>
        <w:t>企业一体化服务平台</w:t>
      </w:r>
    </w:p>
    <w:tbl>
      <w:tblPr>
        <w:tblStyle w:val="4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68"/>
        <w:gridCol w:w="6194"/>
        <w:gridCol w:w="935"/>
        <w:gridCol w:w="871"/>
      </w:tblGrid>
      <w:tr w14:paraId="5AD4406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3A3B68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十六、企业一体化服务平台</w:t>
            </w:r>
            <w:r>
              <w:rPr>
                <w:rFonts w:hint="default" w:ascii="Times New Roman" w:hAnsi="Times New Roman" w:eastAsia="仿宋" w:cs="Times New Roman"/>
                <w:b/>
                <w:bCs/>
                <w:i w:val="0"/>
                <w:iCs w:val="0"/>
                <w:color w:val="000000" w:themeColor="text1"/>
                <w:kern w:val="0"/>
                <w:sz w:val="20"/>
                <w:szCs w:val="20"/>
                <w:highlight w:val="none"/>
                <w:u w:val="none"/>
                <w:lang w:val="en-US" w:eastAsia="zh-CN" w:bidi="ar"/>
                <w14:textFill>
                  <w14:solidFill>
                    <w14:schemeClr w14:val="tx1"/>
                  </w14:solidFill>
                </w14:textFill>
              </w:rPr>
              <w:t>​</w:t>
            </w:r>
          </w:p>
        </w:tc>
      </w:tr>
      <w:tr w14:paraId="67F40B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6" w:hRule="atLeast"/>
        </w:trPr>
        <w:tc>
          <w:tcPr>
            <w:tcW w:w="9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B0811A">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31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93E9A9">
            <w:pPr>
              <w:keepNext w:val="0"/>
              <w:keepLines w:val="0"/>
              <w:widowControl/>
              <w:suppressLineNumbers w:val="0"/>
              <w:jc w:val="center"/>
              <w:textAlignment w:val="cente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4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482690">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单位</w:t>
            </w:r>
          </w:p>
        </w:tc>
        <w:tc>
          <w:tcPr>
            <w:tcW w:w="4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6885C8">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数量</w:t>
            </w:r>
          </w:p>
        </w:tc>
      </w:tr>
      <w:tr w14:paraId="027669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835144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惠企政策精准服务模块</w:t>
            </w:r>
          </w:p>
        </w:tc>
        <w:tc>
          <w:tcPr>
            <w:tcW w:w="31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AAC91A">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1.政策数字库与智能标签：全面归集国家、省、市、区各级涉企政策原文，利用自然语言处理（NLP）技术对政策进行拆解、打标，形成结构化“政策知识图谱”。</w:t>
            </w:r>
          </w:p>
        </w:tc>
        <w:tc>
          <w:tcPr>
            <w:tcW w:w="46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7944996">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A58382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010150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A2CF3E">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A8B6B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2.企业画像与智能匹配：建立企业画像系统（规模、行业、资质、研发投入等），通过算法将企业画像与政策标签进行自动匹配，实现“政策找企业”的精准推送。</w:t>
            </w: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87BF0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DB3CD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4A5D50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2573BF">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C7CD2A">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3.免申即享与线上兑付：对于认定类政策，通过数据共享自动校验企业资质，符合条件的企业无需申报即可直接享受政策红利，并支持扶持资金线上兑付，直达企业。</w:t>
            </w: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E2662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65C75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52D99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CDE76B3">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涉企服务一网通办模块</w:t>
            </w:r>
          </w:p>
        </w:tc>
        <w:tc>
          <w:tcPr>
            <w:tcW w:w="31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900E4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1.统一服务门户：打造面向企业的统一办事入口，整合分散在各部门的涉企服务事项，实现单点登录、一次认证、全网通办。</w:t>
            </w:r>
          </w:p>
        </w:tc>
        <w:tc>
          <w:tcPr>
            <w:tcW w:w="46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60F0AD5">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9F4CC9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18A731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0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CC7E40">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BF99B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2.一件事一次办：围绕企业全生命周期（开办、运营、变更、注销等），将多个关联的单项事整合为“一件事”，提供主题式、套餐式服务，实现一次告知、一表申请、一套材料、一窗（端）受理、一网办理。</w:t>
            </w: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8407C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5BCB4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58EC1E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45149F">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CEF49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3.智慧导办与帮代办：提供智能问答机器人，精准解答办事疑问；对复杂事项或有意愿的企业，提供线上、线下结合的帮办代办服务。</w:t>
            </w: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574B5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212D4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053D2D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94A4C0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企业诉求闭环办理模块</w:t>
            </w:r>
          </w:p>
        </w:tc>
        <w:tc>
          <w:tcPr>
            <w:tcW w:w="31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9EFC3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1.统一诉求受理池：整合热线、网站、公众号等全渠道诉求，建立统一受理、按责转办、限时办结、统一督办、评价反馈的全流程闭环管理机制。</w:t>
            </w:r>
          </w:p>
        </w:tc>
        <w:tc>
          <w:tcPr>
            <w:tcW w:w="46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A264BF3">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CD07406">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02B89D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B71C98">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A4C99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2.疑难问题会商与提级管理：对职责不清、涉及多部门的复杂问题，建立线上会商机制，支持提级管理，由营商办或上级领导协调督办。</w:t>
            </w: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1580C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8590E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A752E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4C59DC">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F151C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3.政企互动与满意度测评：建立企业专属网页或空间，主动推送办理进度，并可对部门服务进行“好差评”，评价结果纳入绩效考核。</w:t>
            </w: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1A095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F7EF4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bl>
    <w:p w14:paraId="52130D07">
      <w:pPr>
        <w:numPr>
          <w:ilvl w:val="0"/>
          <w:numId w:val="0"/>
        </w:numPr>
        <w:bidi w:val="0"/>
        <w:ind w:left="0" w:leftChars="0" w:firstLine="0" w:firstLineChars="0"/>
        <w:rPr>
          <w:rFonts w:hint="eastAsia" w:ascii="仿宋" w:hAnsi="仿宋" w:eastAsia="仿宋" w:cs="仿宋"/>
          <w:b/>
          <w:bCs/>
          <w:color w:val="000000" w:themeColor="text1"/>
          <w:sz w:val="28"/>
          <w:szCs w:val="28"/>
          <w:highlight w:val="none"/>
          <w:lang w:val="en-US" w:eastAsia="zh-CN"/>
          <w14:textFill>
            <w14:solidFill>
              <w14:schemeClr w14:val="tx1"/>
            </w14:solidFill>
          </w14:textFill>
        </w:rPr>
      </w:pPr>
      <w:r>
        <w:rPr>
          <w:rFonts w:hint="eastAsia" w:ascii="仿宋" w:hAnsi="仿宋" w:eastAsia="仿宋" w:cs="仿宋"/>
          <w:b/>
          <w:bCs/>
          <w:color w:val="000000" w:themeColor="text1"/>
          <w:kern w:val="2"/>
          <w:sz w:val="28"/>
          <w:szCs w:val="28"/>
          <w:highlight w:val="none"/>
          <w:lang w:val="en-US" w:eastAsia="zh-CN" w:bidi="ar-SA"/>
          <w14:textFill>
            <w14:solidFill>
              <w14:schemeClr w14:val="tx1"/>
            </w14:solidFill>
          </w14:textFill>
        </w:rPr>
        <w:t>4.</w:t>
      </w:r>
      <w:r>
        <w:rPr>
          <w:rFonts w:hint="eastAsia" w:ascii="仿宋" w:hAnsi="仿宋" w:eastAsia="仿宋" w:cs="仿宋"/>
          <w:b/>
          <w:bCs/>
          <w:color w:val="000000" w:themeColor="text1"/>
          <w:sz w:val="28"/>
          <w:szCs w:val="28"/>
          <w:highlight w:val="none"/>
          <w:lang w:val="en-US" w:eastAsia="zh-CN"/>
          <w14:textFill>
            <w14:solidFill>
              <w14:schemeClr w14:val="tx1"/>
            </w14:solidFill>
          </w14:textFill>
        </w:rPr>
        <w:t>荣成市企业经济和人员信息管理平台</w:t>
      </w:r>
    </w:p>
    <w:tbl>
      <w:tblPr>
        <w:tblStyle w:val="4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64"/>
        <w:gridCol w:w="6158"/>
        <w:gridCol w:w="947"/>
        <w:gridCol w:w="899"/>
      </w:tblGrid>
      <w:tr w14:paraId="7D8918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AACC1F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十七、荣成市企业经济和人员信息管理平台</w:t>
            </w:r>
            <w:r>
              <w:rPr>
                <w:rFonts w:hint="default" w:ascii="Times New Roman" w:hAnsi="Times New Roman" w:eastAsia="仿宋" w:cs="Times New Roman"/>
                <w:b/>
                <w:bCs/>
                <w:i w:val="0"/>
                <w:iCs w:val="0"/>
                <w:color w:val="000000" w:themeColor="text1"/>
                <w:kern w:val="0"/>
                <w:sz w:val="20"/>
                <w:szCs w:val="20"/>
                <w:highlight w:val="none"/>
                <w:u w:val="none"/>
                <w:lang w:val="en-US" w:eastAsia="zh-CN" w:bidi="ar"/>
                <w14:textFill>
                  <w14:solidFill>
                    <w14:schemeClr w14:val="tx1"/>
                  </w14:solidFill>
                </w14:textFill>
              </w:rPr>
              <w:t>​</w:t>
            </w:r>
          </w:p>
        </w:tc>
      </w:tr>
      <w:tr w14:paraId="0CC524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8" w:hRule="atLeast"/>
        </w:trPr>
        <w:tc>
          <w:tcPr>
            <w:tcW w:w="9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5F84CC">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D7C4E6">
            <w:pPr>
              <w:keepNext w:val="0"/>
              <w:keepLines w:val="0"/>
              <w:widowControl/>
              <w:suppressLineNumbers w:val="0"/>
              <w:jc w:val="center"/>
              <w:textAlignment w:val="cente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4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549A4A">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单位</w:t>
            </w:r>
          </w:p>
        </w:tc>
        <w:tc>
          <w:tcPr>
            <w:tcW w:w="4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818CB0">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数量</w:t>
            </w:r>
          </w:p>
        </w:tc>
      </w:tr>
      <w:tr w14:paraId="6464CB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C288CC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经济数据监测与决策支持模块</w:t>
            </w: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CA6E00">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1.经济运行监测仪表盘：动态汇聚工业用电量、税收、货运量、银行贷款等高频数据，构建区域经济活跃度指数，实时感知宏观经济态势。</w:t>
            </w:r>
          </w:p>
        </w:tc>
        <w:tc>
          <w:tcPr>
            <w:tcW w:w="47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8EE0432">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CBE2BC1">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0F7306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E5852C">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412A2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2.产业地图与产业链分析：可视化展示重点产业的空间布局、企业分布、产值规模，分析产业链上下游关联和薄弱环节，为“补链、强链、延链”提供决策依据。</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5E1C7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6C02E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0661B6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B08C17">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2B720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3.企业发展预测与预警：利用机器学习模型，对企业经营异常（如利润持续下滑、用工大幅减少）进行早期预警，为精准帮扶和风险防范提供信号。</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F3A66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3BDCB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43D65F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37261B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企业全景画像与精准服务模块</w:t>
            </w: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59DEC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1.企业综合档案库：融合工商、税务、社保、用水用电等超30个维度数据，为每个企业生成包含基本信息、经营状况、创新能力、信用水平、风险信息的“全景画像”。</w:t>
            </w:r>
          </w:p>
        </w:tc>
        <w:tc>
          <w:tcPr>
            <w:tcW w:w="47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5A9FC62">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C031C87">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7BA713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F4356F">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F66F30">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2.分类分级管理与靶向服务：根据画像结果对企业进行科学分类（如规上/规下、龙头/小微、行业类型）和信用分级，为不同类别企业提供差异化、精准化的政策和服务。</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921E7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E37C4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7D9253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DF6E33">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4CCA9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3.数据比对与核验服务：为其他业务系统（如政策兑现、项目申报）提供权威的企业数据核验接口，确保政策享受主体资格的真实准确。</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80864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F05DA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344582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8509CF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人才与用工态势分析模块</w:t>
            </w: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06679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1.人才资源一张图：汇聚社保参保、学历、职称、技能等级等数据，动态掌握全市人才数量、结构、行业分布、流动情况。</w:t>
            </w:r>
          </w:p>
        </w:tc>
        <w:tc>
          <w:tcPr>
            <w:tcW w:w="47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A10798B">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4B7B781">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3A1DAE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A5B7FC">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2A861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2.用工供需智能分析：对接招聘网站和重点企业用工数据，分析就业市场供需矛盾、紧缺工种，为人才引进和职业技能培训提供导向。</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CF67D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229F9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3D9C6C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51E906">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221E4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3.人才流动预警与挽留：对核心技术人员、高层次人才的异常流动进行预警，并辅助分析流动原因，为制定人才挽留政策提供参考。</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74099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93E7A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bl>
    <w:p w14:paraId="0A4D9791">
      <w:pPr>
        <w:numPr>
          <w:ilvl w:val="0"/>
          <w:numId w:val="0"/>
        </w:numPr>
        <w:bidi w:val="0"/>
        <w:ind w:left="0" w:leftChars="0" w:firstLine="0" w:firstLineChars="0"/>
        <w:rPr>
          <w:rFonts w:hint="eastAsia" w:ascii="仿宋" w:hAnsi="仿宋" w:eastAsia="仿宋" w:cs="仿宋"/>
          <w:b/>
          <w:bCs/>
          <w:color w:val="000000" w:themeColor="text1"/>
          <w:sz w:val="28"/>
          <w:szCs w:val="28"/>
          <w:highlight w:val="none"/>
          <w:lang w:val="en-US" w:eastAsia="zh-CN"/>
          <w14:textFill>
            <w14:solidFill>
              <w14:schemeClr w14:val="tx1"/>
            </w14:solidFill>
          </w14:textFill>
        </w:rPr>
      </w:pPr>
      <w:r>
        <w:rPr>
          <w:rFonts w:hint="eastAsia" w:ascii="仿宋" w:hAnsi="仿宋" w:eastAsia="仿宋" w:cs="仿宋"/>
          <w:b/>
          <w:bCs/>
          <w:color w:val="000000" w:themeColor="text1"/>
          <w:kern w:val="2"/>
          <w:sz w:val="28"/>
          <w:szCs w:val="28"/>
          <w:highlight w:val="none"/>
          <w:lang w:val="en-US" w:eastAsia="zh-CN" w:bidi="ar-SA"/>
          <w14:textFill>
            <w14:solidFill>
              <w14:schemeClr w14:val="tx1"/>
            </w14:solidFill>
          </w14:textFill>
        </w:rPr>
        <w:t>5.</w:t>
      </w:r>
      <w:r>
        <w:rPr>
          <w:rFonts w:hint="eastAsia" w:ascii="仿宋" w:hAnsi="仿宋" w:eastAsia="仿宋" w:cs="仿宋"/>
          <w:b/>
          <w:bCs/>
          <w:color w:val="000000" w:themeColor="text1"/>
          <w:sz w:val="28"/>
          <w:szCs w:val="28"/>
          <w:highlight w:val="none"/>
          <w:lang w:val="en-US" w:eastAsia="zh-CN"/>
          <w14:textFill>
            <w14:solidFill>
              <w14:schemeClr w14:val="tx1"/>
            </w14:solidFill>
          </w14:textFill>
        </w:rPr>
        <w:t>荣成市数字荣成融合提升项目</w:t>
      </w:r>
    </w:p>
    <w:tbl>
      <w:tblPr>
        <w:tblStyle w:val="4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62"/>
        <w:gridCol w:w="6150"/>
        <w:gridCol w:w="959"/>
        <w:gridCol w:w="897"/>
      </w:tblGrid>
      <w:tr w14:paraId="0944501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3849AB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十八、荣成市数字荣成融合提升项目</w:t>
            </w:r>
            <w:r>
              <w:rPr>
                <w:rFonts w:hint="default" w:ascii="Times New Roman" w:hAnsi="Times New Roman" w:eastAsia="仿宋" w:cs="Times New Roman"/>
                <w:b/>
                <w:bCs/>
                <w:i w:val="0"/>
                <w:iCs w:val="0"/>
                <w:color w:val="000000" w:themeColor="text1"/>
                <w:kern w:val="0"/>
                <w:sz w:val="20"/>
                <w:szCs w:val="20"/>
                <w:highlight w:val="none"/>
                <w:u w:val="none"/>
                <w:lang w:val="en-US" w:eastAsia="zh-CN" w:bidi="ar"/>
                <w14:textFill>
                  <w14:solidFill>
                    <w14:schemeClr w14:val="tx1"/>
                  </w14:solidFill>
                </w14:textFill>
              </w:rPr>
              <w:t>​</w:t>
            </w:r>
          </w:p>
        </w:tc>
      </w:tr>
      <w:tr w14:paraId="15862C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1" w:hRule="atLeast"/>
        </w:trPr>
        <w:tc>
          <w:tcPr>
            <w:tcW w:w="9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49D633">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30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BA130F">
            <w:pPr>
              <w:keepNext w:val="0"/>
              <w:keepLines w:val="0"/>
              <w:widowControl/>
              <w:suppressLineNumbers w:val="0"/>
              <w:jc w:val="center"/>
              <w:textAlignment w:val="cente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4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92F3B5">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单位</w:t>
            </w:r>
          </w:p>
        </w:tc>
        <w:tc>
          <w:tcPr>
            <w:tcW w:w="4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920222">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数量</w:t>
            </w:r>
          </w:p>
        </w:tc>
      </w:tr>
      <w:tr w14:paraId="7E4021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E272A3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城市信息模型基础平台</w:t>
            </w:r>
          </w:p>
        </w:tc>
        <w:tc>
          <w:tcPr>
            <w:tcW w:w="30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5AB06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1.统一的数字底板：集成基础地理信息、遥感影像、倾斜摄影实景三维模型、BIM模型、地下管线等，构建覆盖地上下、室内外、历史现状未来的一体化城市信息模型。</w:t>
            </w:r>
          </w:p>
        </w:tc>
        <w:tc>
          <w:tcPr>
            <w:tcW w:w="48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0DF29FA">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FAF4012">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762712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905B2F">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AB5B1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2.全要素数字化表达：将城市部件（道路、桥梁、建筑、市政设施）和社会经济要素（人口、企业、事件）在CIM底板上进行空间化定位和关联，实现“数字孪生城市”。</w:t>
            </w:r>
          </w:p>
        </w:tc>
        <w:tc>
          <w:tcPr>
            <w:tcW w:w="4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C65C4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163CB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77FAED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2502DD">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EFC7C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3.模拟仿真与空间分析：提供日照分析、可视域分析、淹没分析、应急疏散模拟等通用空间分析工具，为规划、建设、管理提供量化决策支持。</w:t>
            </w:r>
          </w:p>
        </w:tc>
        <w:tc>
          <w:tcPr>
            <w:tcW w:w="4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24AD2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38D39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091AD1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CA9227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数据中台与共性能力支撑</w:t>
            </w:r>
          </w:p>
        </w:tc>
        <w:tc>
          <w:tcPr>
            <w:tcW w:w="30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FED890">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1.数据资源体系治理：建立完善的数据采集、清洗、融合、质量管理体系，形成标准统一、质量可靠的主题数据库（人口、法人、信用、电子证照等）。</w:t>
            </w:r>
          </w:p>
        </w:tc>
        <w:tc>
          <w:tcPr>
            <w:tcW w:w="48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EA158F8">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CCB7E96">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2F98FF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C43C42">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0C4FF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2.共性服务能力中心：将身份认证、电子签章、消息推送、GIS服务、AI算法（如OCR、NLP）等封装成标准API，供所有上层应用快速调用，避免重复建设。</w:t>
            </w:r>
          </w:p>
        </w:tc>
        <w:tc>
          <w:tcPr>
            <w:tcW w:w="4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98135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F5200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24DE9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6CFE4F">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610AA5">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3.数据共享与开放门户：面向政府部门提供安全可控的数据共享交换服务，面向社会公众在脱敏脱密后提供数据开放服务，促进数据要素流通。</w:t>
            </w:r>
          </w:p>
        </w:tc>
        <w:tc>
          <w:tcPr>
            <w:tcW w:w="4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187D7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F5E8D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bl>
    <w:p w14:paraId="189454D3">
      <w:pPr>
        <w:keepNext w:val="0"/>
        <w:keepLines w:val="0"/>
        <w:widowControl/>
        <w:suppressLineNumbers w:val="0"/>
        <w:spacing w:before="0" w:beforeAutospacing="0" w:after="0" w:afterAutospacing="0" w:line="240" w:lineRule="auto"/>
        <w:ind w:left="0" w:leftChars="0" w:right="0" w:rightChars="0"/>
        <w:jc w:val="both"/>
        <w:outlineLvl w:val="1"/>
        <w:rPr>
          <w:rFonts w:hint="eastAsia" w:ascii="仿宋" w:hAnsi="仿宋" w:eastAsia="仿宋" w:cs="仿宋"/>
          <w:b/>
          <w:bCs/>
          <w:i w:val="0"/>
          <w:strike w:val="0"/>
          <w:color w:val="000000" w:themeColor="text1"/>
          <w:kern w:val="0"/>
          <w:sz w:val="28"/>
          <w:szCs w:val="16"/>
          <w:highlight w:val="none"/>
          <w:u w:val="none"/>
          <w:lang w:val="en-US" w:eastAsia="zh-CN" w:bidi="ar"/>
          <w14:textFill>
            <w14:solidFill>
              <w14:schemeClr w14:val="tx1"/>
            </w14:solidFill>
          </w14:textFill>
        </w:rPr>
      </w:pPr>
      <w:r>
        <w:rPr>
          <w:rFonts w:hint="eastAsia" w:ascii="仿宋" w:hAnsi="仿宋" w:eastAsia="仿宋" w:cs="仿宋"/>
          <w:b/>
          <w:bCs/>
          <w:i w:val="0"/>
          <w:strike w:val="0"/>
          <w:color w:val="000000" w:themeColor="text1"/>
          <w:kern w:val="0"/>
          <w:sz w:val="28"/>
          <w:szCs w:val="16"/>
          <w:highlight w:val="none"/>
          <w:u w:val="none"/>
          <w:lang w:val="en-US" w:eastAsia="zh-CN" w:bidi="ar"/>
          <w14:textFill>
            <w14:solidFill>
              <w14:schemeClr w14:val="tx1"/>
            </w14:solidFill>
          </w14:textFill>
        </w:rPr>
        <w:t>（四）民生服务领域</w:t>
      </w:r>
    </w:p>
    <w:p w14:paraId="5473B145">
      <w:pPr>
        <w:keepNext w:val="0"/>
        <w:keepLines w:val="0"/>
        <w:widowControl/>
        <w:numPr>
          <w:ilvl w:val="0"/>
          <w:numId w:val="0"/>
        </w:numPr>
        <w:suppressLineNumbers w:val="0"/>
        <w:spacing w:before="0" w:beforeAutospacing="0" w:after="120" w:afterAutospacing="0" w:line="360" w:lineRule="auto"/>
        <w:ind w:leftChars="-200" w:right="0" w:rightChars="0" w:firstLine="562" w:firstLineChars="200"/>
        <w:jc w:val="both"/>
        <w:rPr>
          <w:rFonts w:hint="eastAsia" w:ascii="仿宋" w:hAnsi="仿宋" w:eastAsia="仿宋" w:cs="仿宋"/>
          <w:b/>
          <w:bCs/>
          <w:i w:val="0"/>
          <w:strike w:val="0"/>
          <w:color w:val="000000" w:themeColor="text1"/>
          <w:kern w:val="2"/>
          <w:sz w:val="28"/>
          <w:szCs w:val="28"/>
          <w:highlight w:val="none"/>
          <w:u w:val="none"/>
          <w:lang w:val="en-US" w:eastAsia="zh-CN" w:bidi="ar-SA"/>
          <w14:textFill>
            <w14:solidFill>
              <w14:schemeClr w14:val="tx1"/>
            </w14:solidFill>
          </w14:textFill>
        </w:rPr>
      </w:pPr>
      <w:r>
        <w:rPr>
          <w:rFonts w:hint="eastAsia" w:ascii="仿宋" w:hAnsi="仿宋" w:eastAsia="仿宋" w:cs="仿宋"/>
          <w:b/>
          <w:bCs/>
          <w:i w:val="0"/>
          <w:strike w:val="0"/>
          <w:color w:val="000000" w:themeColor="text1"/>
          <w:kern w:val="2"/>
          <w:sz w:val="28"/>
          <w:szCs w:val="28"/>
          <w:highlight w:val="none"/>
          <w:u w:val="none"/>
          <w:lang w:val="en-US" w:eastAsia="zh-CN" w:bidi="ar-SA"/>
          <w14:textFill>
            <w14:solidFill>
              <w14:schemeClr w14:val="tx1"/>
            </w14:solidFill>
          </w14:textFill>
        </w:rPr>
        <w:t>1.社区智慧治理与主动服务平台</w:t>
      </w:r>
    </w:p>
    <w:p w14:paraId="40D0584B">
      <w:pPr>
        <w:ind w:firstLine="560" w:firstLineChars="200"/>
        <w:rPr>
          <w:rFonts w:hint="default" w:ascii="仿宋" w:hAnsi="仿宋" w:eastAsia="仿宋" w:cs="仿宋"/>
          <w:b/>
          <w:bCs/>
          <w:i w:val="0"/>
          <w:strike w:val="0"/>
          <w:color w:val="000000" w:themeColor="text1"/>
          <w:kern w:val="2"/>
          <w:sz w:val="28"/>
          <w:szCs w:val="28"/>
          <w:highlight w:val="none"/>
          <w:u w:val="none"/>
          <w:lang w:val="en-US" w:eastAsia="zh-CN" w:bidi="ar-SA"/>
          <w14:textFill>
            <w14:solidFill>
              <w14:schemeClr w14:val="tx1"/>
            </w14:solidFill>
          </w14:textFill>
        </w:rPr>
      </w:pPr>
      <w:r>
        <w:rPr>
          <w:rFonts w:hint="eastAsia" w:ascii="仿宋" w:hAnsi="仿宋" w:eastAsia="仿宋" w:cs="仿宋"/>
          <w:b w:val="0"/>
          <w:bCs w:val="0"/>
          <w:i w:val="0"/>
          <w:strike w:val="0"/>
          <w:color w:val="000000" w:themeColor="text1"/>
          <w:kern w:val="2"/>
          <w:sz w:val="28"/>
          <w:szCs w:val="28"/>
          <w:highlight w:val="none"/>
          <w:u w:val="none"/>
          <w:lang w:val="en-US" w:eastAsia="zh-CN" w:bidi="ar-SA"/>
          <w14:textFill>
            <w14:solidFill>
              <w14:schemeClr w14:val="tx1"/>
            </w14:solidFill>
          </w14:textFill>
        </w:rPr>
        <w:t>拟在</w:t>
      </w:r>
      <w:r>
        <w:rPr>
          <w:rFonts w:hint="eastAsia" w:ascii="仿宋" w:hAnsi="仿宋" w:eastAsia="仿宋" w:cs="仿宋"/>
          <w:b w:val="0"/>
          <w:bCs w:val="0"/>
          <w:i w:val="0"/>
          <w:iCs w:val="0"/>
          <w:caps w:val="0"/>
          <w:color w:val="000000" w:themeColor="text1"/>
          <w:spacing w:val="0"/>
          <w:sz w:val="28"/>
          <w:szCs w:val="28"/>
          <w:highlight w:val="none"/>
          <w:shd w:val="clear" w:color="auto" w:fill="FFFFFF"/>
          <w14:textFill>
            <w14:solidFill>
              <w14:schemeClr w14:val="tx1"/>
            </w14:solidFill>
          </w14:textFill>
        </w:rPr>
        <w:t>‌</w:t>
      </w:r>
      <w:r>
        <w:rPr>
          <w:rStyle w:val="50"/>
          <w:rFonts w:hint="eastAsia" w:ascii="仿宋" w:hAnsi="仿宋" w:eastAsia="仿宋" w:cs="仿宋"/>
          <w:b w:val="0"/>
          <w:bCs w:val="0"/>
          <w:i w:val="0"/>
          <w:iCs w:val="0"/>
          <w:caps w:val="0"/>
          <w:color w:val="000000" w:themeColor="text1"/>
          <w:spacing w:val="0"/>
          <w:sz w:val="28"/>
          <w:szCs w:val="28"/>
          <w:highlight w:val="none"/>
          <w14:textFill>
            <w14:solidFill>
              <w14:schemeClr w14:val="tx1"/>
            </w14:solidFill>
          </w14:textFill>
        </w:rPr>
        <w:t>崖头街道</w:t>
      </w:r>
      <w:r>
        <w:rPr>
          <w:rFonts w:hint="eastAsia" w:ascii="仿宋" w:hAnsi="仿宋" w:eastAsia="仿宋" w:cs="仿宋"/>
          <w:b w:val="0"/>
          <w:bCs w:val="0"/>
          <w:i w:val="0"/>
          <w:iCs w:val="0"/>
          <w:caps w:val="0"/>
          <w:color w:val="000000" w:themeColor="text1"/>
          <w:spacing w:val="0"/>
          <w:sz w:val="28"/>
          <w:szCs w:val="28"/>
          <w:highlight w:val="none"/>
          <w:shd w:val="clear" w:color="auto" w:fill="FFFFFF"/>
          <w14:textFill>
            <w14:solidFill>
              <w14:schemeClr w14:val="tx1"/>
            </w14:solidFill>
          </w14:textFill>
        </w:rPr>
        <w:t>：‌</w:t>
      </w:r>
      <w:r>
        <w:rPr>
          <w:rStyle w:val="50"/>
          <w:rFonts w:hint="eastAsia" w:ascii="仿宋" w:hAnsi="仿宋" w:eastAsia="仿宋" w:cs="仿宋"/>
          <w:b w:val="0"/>
          <w:bCs w:val="0"/>
          <w:i w:val="0"/>
          <w:iCs w:val="0"/>
          <w:caps w:val="0"/>
          <w:color w:val="000000" w:themeColor="text1"/>
          <w:spacing w:val="0"/>
          <w:sz w:val="28"/>
          <w:szCs w:val="28"/>
          <w:highlight w:val="none"/>
          <w14:textFill>
            <w14:solidFill>
              <w14:schemeClr w14:val="tx1"/>
            </w14:solidFill>
          </w14:textFill>
        </w:rPr>
        <w:t>花园社区、河西社区、青山社区、华侨社区、荣盛社区、府新社区、三环社区、玉兰社区、康平社区、南山社区、新庄社区、马家庄社区、蒲头社区、西龙家社区、台上刘家社区、亚飞社区、得润社区</w:t>
      </w:r>
      <w:r>
        <w:rPr>
          <w:rStyle w:val="50"/>
          <w:rFonts w:hint="eastAsia" w:ascii="仿宋" w:hAnsi="仿宋" w:eastAsia="仿宋" w:cs="仿宋"/>
          <w:b w:val="0"/>
          <w:bCs w:val="0"/>
          <w:i w:val="0"/>
          <w:iCs w:val="0"/>
          <w:caps w:val="0"/>
          <w:color w:val="000000" w:themeColor="text1"/>
          <w:spacing w:val="0"/>
          <w:sz w:val="28"/>
          <w:szCs w:val="28"/>
          <w:highlight w:val="none"/>
          <w:lang w:val="en-US" w:eastAsia="zh-CN"/>
          <w14:textFill>
            <w14:solidFill>
              <w14:schemeClr w14:val="tx1"/>
            </w14:solidFill>
          </w14:textFill>
        </w:rPr>
        <w:t>落地社区智慧治理与主动服务平台建设。</w:t>
      </w:r>
    </w:p>
    <w:tbl>
      <w:tblPr>
        <w:tblStyle w:val="4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64"/>
        <w:gridCol w:w="6172"/>
        <w:gridCol w:w="947"/>
        <w:gridCol w:w="885"/>
      </w:tblGrid>
      <w:tr w14:paraId="11D01E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60" w:hRule="atLeast"/>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3FF2FD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十九、社区智慧治理与主动服务平台</w:t>
            </w:r>
            <w:r>
              <w:rPr>
                <w:rFonts w:hint="default" w:ascii="Times New Roman" w:hAnsi="Times New Roman" w:eastAsia="仿宋" w:cs="Times New Roman"/>
                <w:i w:val="0"/>
                <w:iCs w:val="0"/>
                <w:color w:val="000000" w:themeColor="text1"/>
                <w:kern w:val="0"/>
                <w:sz w:val="20"/>
                <w:szCs w:val="20"/>
                <w:highlight w:val="none"/>
                <w:u w:val="none"/>
                <w:lang w:val="en-US" w:eastAsia="zh-CN" w:bidi="ar"/>
                <w14:textFill>
                  <w14:solidFill>
                    <w14:schemeClr w14:val="tx1"/>
                  </w14:solidFill>
                </w14:textFill>
              </w:rPr>
              <w:t>​</w:t>
            </w:r>
          </w:p>
        </w:tc>
      </w:tr>
      <w:tr w14:paraId="37F4D0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4" w:hRule="atLeast"/>
        </w:trPr>
        <w:tc>
          <w:tcPr>
            <w:tcW w:w="9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5975E4">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AB2177">
            <w:pPr>
              <w:keepNext w:val="0"/>
              <w:keepLines w:val="0"/>
              <w:widowControl/>
              <w:suppressLineNumbers w:val="0"/>
              <w:jc w:val="center"/>
              <w:textAlignment w:val="cente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4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A18BD5">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单位</w:t>
            </w:r>
          </w:p>
        </w:tc>
        <w:tc>
          <w:tcPr>
            <w:tcW w:w="4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BFA267">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数量</w:t>
            </w:r>
          </w:p>
        </w:tc>
      </w:tr>
      <w:tr w14:paraId="228FE1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8259A9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统一工作门户与身份认证平台</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DC1D1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1.统一门户集成：建立社区工作人员统一工作台，整合各子系统，实现单点登录（SSO）和内容聚合。</w:t>
            </w:r>
          </w:p>
        </w:tc>
        <w:tc>
          <w:tcPr>
            <w:tcW w:w="47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AEE7C2B">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B8274CF">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2A486A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B163E4">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DBA45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2.统一用户与授权中心：实现组织架构、人员、角色的集中管理，提供功能级、数据级精细化权限控制。</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11822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D8BE5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4979AC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9752E4">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48248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3.内部通讯录与应用中心：提供组织人员查询和各类应用入口集成管理。</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9E195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BCF2A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7E5AFD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4D1CBF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网格化综合管理指挥调度系统</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0C4CB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1.GIS“一张图”指挥舱：在二维/三维地图上实现单元网格划分、人、房、企、事、物等要素落图展示，集成视频监控、人员定位。</w:t>
            </w:r>
          </w:p>
        </w:tc>
        <w:tc>
          <w:tcPr>
            <w:tcW w:w="47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73BC2F4">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E76D951">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094C0C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AD71AC">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56DCC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2.智能工单闭环管理：实现从事件上报（多渠道）、立案、派发、处置、核查、结案、评价的全流程线上化、可视化跟踪与督办。</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38D2D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DB717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377A6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F19A67">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A1518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3.指挥调度与协同通讯：基于地图进行可视化调度，支持与网格员APP的音视频通讯、群组通知、应急指挥。</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C4140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22D3FF">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2B9BB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813463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大数据分析与决策支持平台</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8A2E0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1.主题数据库建设：构建标准化的“人、地、事、物、组织”社区主题数据库，完成多源数据清洗、融合。</w:t>
            </w:r>
          </w:p>
        </w:tc>
        <w:tc>
          <w:tcPr>
            <w:tcW w:w="47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1557BD0">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22169A5">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740605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198AFB">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E48E3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2.智能分析模型与算法：集成人口结构分析、事件态势分析、特殊人群（如孤寡老人）识别、民生诉求热点分析等模型。</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72D5C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7B769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795883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C1BC63">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EB292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3.可视化决策驾驶舱：为领导提供多维度、可视化的数据报表和统计图表，支撑精准决策。</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A7A87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354F5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6B384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4E3485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公众服务与互动平台（APP/小程序）</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86932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1.“随手拍”事件上报：居民通过APP上报问题，图文并茂，可跟踪处理进度和进行满意度评价。</w:t>
            </w:r>
          </w:p>
        </w:tc>
        <w:tc>
          <w:tcPr>
            <w:tcW w:w="47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EC9591B">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4F6D92A">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2CF0AD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5746A9">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8406F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2.便民服务：集成物业报修、政务办事查询、志愿者活动、社区通知、邻里交流等功能。</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69080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6F9C1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7B2BD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F128D5">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54D94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3.个人中心：居民档案查询、我的积分、我的投诉建议管理等。</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E6CA8F">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70A70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bl>
    <w:p w14:paraId="60017A20">
      <w:pPr>
        <w:keepNext w:val="0"/>
        <w:keepLines w:val="0"/>
        <w:widowControl/>
        <w:numPr>
          <w:ilvl w:val="0"/>
          <w:numId w:val="0"/>
        </w:numPr>
        <w:suppressLineNumbers w:val="0"/>
        <w:spacing w:before="0" w:beforeAutospacing="0" w:after="120" w:afterAutospacing="0" w:line="360" w:lineRule="auto"/>
        <w:ind w:right="0" w:rightChars="0"/>
        <w:jc w:val="both"/>
        <w:rPr>
          <w:rFonts w:hint="eastAsia" w:ascii="仿宋" w:hAnsi="仿宋" w:eastAsia="仿宋" w:cs="仿宋"/>
          <w:b/>
          <w:bCs/>
          <w:i w:val="0"/>
          <w:strike w:val="0"/>
          <w:color w:val="000000" w:themeColor="text1"/>
          <w:kern w:val="2"/>
          <w:sz w:val="28"/>
          <w:szCs w:val="28"/>
          <w:highlight w:val="none"/>
          <w:u w:val="none"/>
          <w:lang w:val="en-US" w:eastAsia="zh-CN" w:bidi="ar-SA"/>
          <w14:textFill>
            <w14:solidFill>
              <w14:schemeClr w14:val="tx1"/>
            </w14:solidFill>
          </w14:textFill>
        </w:rPr>
      </w:pPr>
      <w:r>
        <w:rPr>
          <w:rFonts w:hint="eastAsia" w:ascii="仿宋" w:hAnsi="仿宋" w:eastAsia="仿宋" w:cs="仿宋"/>
          <w:b/>
          <w:bCs/>
          <w:i w:val="0"/>
          <w:strike w:val="0"/>
          <w:color w:val="000000" w:themeColor="text1"/>
          <w:kern w:val="2"/>
          <w:sz w:val="28"/>
          <w:szCs w:val="28"/>
          <w:highlight w:val="none"/>
          <w:lang w:val="en-US" w:eastAsia="zh-CN" w:bidi="ar-SA"/>
          <w14:textFill>
            <w14:solidFill>
              <w14:schemeClr w14:val="tx1"/>
            </w14:solidFill>
          </w14:textFill>
        </w:rPr>
        <w:t>2.</w:t>
      </w:r>
      <w:r>
        <w:rPr>
          <w:rFonts w:hint="eastAsia" w:ascii="仿宋" w:hAnsi="仿宋" w:eastAsia="仿宋" w:cs="仿宋"/>
          <w:b/>
          <w:bCs/>
          <w:i w:val="0"/>
          <w:strike w:val="0"/>
          <w:color w:val="000000" w:themeColor="text1"/>
          <w:kern w:val="2"/>
          <w:sz w:val="28"/>
          <w:szCs w:val="28"/>
          <w:highlight w:val="none"/>
          <w:u w:val="none"/>
          <w:lang w:val="en-US" w:eastAsia="zh-CN" w:bidi="ar-SA"/>
          <w14:textFill>
            <w14:solidFill>
              <w14:schemeClr w14:val="tx1"/>
            </w14:solidFill>
          </w14:textFill>
        </w:rPr>
        <w:t>智慧停车与交通诱导平台</w:t>
      </w:r>
    </w:p>
    <w:p w14:paraId="60A8068A">
      <w:pPr>
        <w:keepNext w:val="0"/>
        <w:keepLines w:val="0"/>
        <w:widowControl/>
        <w:numPr>
          <w:ilvl w:val="0"/>
          <w:numId w:val="0"/>
        </w:numPr>
        <w:suppressLineNumbers w:val="0"/>
        <w:spacing w:before="0" w:beforeAutospacing="0" w:after="120" w:afterAutospacing="0" w:line="360" w:lineRule="auto"/>
        <w:ind w:right="0" w:rightChars="0" w:firstLine="560" w:firstLineChars="200"/>
        <w:jc w:val="both"/>
        <w:rPr>
          <w:rFonts w:hint="default" w:ascii="仿宋" w:hAnsi="仿宋" w:eastAsia="仿宋" w:cs="仿宋"/>
          <w:b/>
          <w:bCs/>
          <w:i w:val="0"/>
          <w:strike w:val="0"/>
          <w:color w:val="000000" w:themeColor="text1"/>
          <w:kern w:val="2"/>
          <w:sz w:val="28"/>
          <w:szCs w:val="28"/>
          <w:highlight w:val="none"/>
          <w:u w:val="none"/>
          <w:lang w:val="en-US" w:eastAsia="zh-CN" w:bidi="ar-SA"/>
          <w14:textFill>
            <w14:solidFill>
              <w14:schemeClr w14:val="tx1"/>
            </w14:solidFill>
          </w14:textFill>
        </w:rPr>
      </w:pPr>
      <w:r>
        <w:rPr>
          <w:rFonts w:hint="eastAsia" w:ascii="仿宋" w:hAnsi="仿宋" w:eastAsia="仿宋" w:cs="仿宋"/>
          <w:color w:val="000000" w:themeColor="text1"/>
          <w:kern w:val="2"/>
          <w:sz w:val="28"/>
          <w:szCs w:val="28"/>
          <w:highlight w:val="none"/>
          <w:lang w:val="en-US" w:eastAsia="zh-CN" w:bidi="ar-SA"/>
          <w14:textFill>
            <w14:solidFill>
              <w14:schemeClr w14:val="tx1"/>
            </w14:solidFill>
          </w14:textFill>
        </w:rPr>
        <w:t>拟在樱花湖体育公园、蜊江港、荣成高铁站、</w:t>
      </w:r>
      <w:r>
        <w:rPr>
          <w:rFonts w:hint="eastAsia" w:ascii="仿宋" w:hAnsi="仿宋" w:eastAsia="仿宋" w:cs="仿宋"/>
          <w:color w:val="000000" w:themeColor="text1"/>
          <w:sz w:val="28"/>
          <w:szCs w:val="28"/>
          <w:highlight w:val="none"/>
          <w:lang w:val="en-US" w:eastAsia="zh-CN"/>
          <w14:textFill>
            <w14:solidFill>
              <w14:schemeClr w14:val="tx1"/>
            </w14:solidFill>
          </w14:textFill>
        </w:rPr>
        <w:t>吉兴商场北侧、</w:t>
      </w:r>
      <w:r>
        <w:rPr>
          <w:rFonts w:hint="eastAsia" w:ascii="仿宋" w:hAnsi="仿宋" w:eastAsia="仿宋" w:cs="仿宋"/>
          <w:color w:val="000000" w:themeColor="text1"/>
          <w:kern w:val="2"/>
          <w:sz w:val="28"/>
          <w:szCs w:val="28"/>
          <w:highlight w:val="none"/>
          <w:lang w:val="en-US" w:eastAsia="zh-CN" w:bidi="ar-SA"/>
          <w14:textFill>
            <w14:solidFill>
              <w14:schemeClr w14:val="tx1"/>
            </w14:solidFill>
          </w14:textFill>
        </w:rPr>
        <w:t>蜊江小学东侧、</w:t>
      </w:r>
      <w:r>
        <w:rPr>
          <w:rFonts w:hint="eastAsia" w:ascii="仿宋" w:hAnsi="仿宋" w:eastAsia="仿宋" w:cs="仿宋"/>
          <w:color w:val="000000" w:themeColor="text1"/>
          <w:sz w:val="28"/>
          <w:szCs w:val="28"/>
          <w:highlight w:val="none"/>
          <w:lang w:val="en-US" w:eastAsia="zh-CN"/>
          <w14:textFill>
            <w14:solidFill>
              <w14:schemeClr w14:val="tx1"/>
            </w14:solidFill>
          </w14:textFill>
        </w:rPr>
        <w:t>博隆金街夜市、荣成市体育场、荣成市车管所停车场、中韩边贸城停车场、</w:t>
      </w:r>
      <w:r>
        <w:rPr>
          <w:rFonts w:hint="eastAsia" w:ascii="仿宋" w:hAnsi="仿宋" w:eastAsia="仿宋" w:cs="仿宋"/>
          <w:color w:val="000000" w:themeColor="text1"/>
          <w:kern w:val="2"/>
          <w:sz w:val="28"/>
          <w:szCs w:val="28"/>
          <w:highlight w:val="none"/>
          <w:lang w:val="en-US" w:eastAsia="zh-CN" w:bidi="ar-SA"/>
          <w14:textFill>
            <w14:solidFill>
              <w14:schemeClr w14:val="tx1"/>
            </w14:solidFill>
          </w14:textFill>
        </w:rPr>
        <w:t>市政府家家悦北侧十大区域停车场，落地智慧停车与交通诱导平台建设。</w:t>
      </w:r>
    </w:p>
    <w:tbl>
      <w:tblPr>
        <w:tblStyle w:val="4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64"/>
        <w:gridCol w:w="6172"/>
        <w:gridCol w:w="947"/>
        <w:gridCol w:w="885"/>
      </w:tblGrid>
      <w:tr w14:paraId="2461B1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BDF9AB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二十、智慧停车与交通诱导平台</w:t>
            </w:r>
            <w:r>
              <w:rPr>
                <w:rFonts w:hint="default" w:ascii="Times New Roman" w:hAnsi="Times New Roman" w:eastAsia="仿宋" w:cs="Times New Roman"/>
                <w:i w:val="0"/>
                <w:iCs w:val="0"/>
                <w:color w:val="000000" w:themeColor="text1"/>
                <w:kern w:val="0"/>
                <w:sz w:val="20"/>
                <w:szCs w:val="20"/>
                <w:highlight w:val="none"/>
                <w:u w:val="none"/>
                <w:lang w:val="en-US" w:eastAsia="zh-CN" w:bidi="ar"/>
                <w14:textFill>
                  <w14:solidFill>
                    <w14:schemeClr w14:val="tx1"/>
                  </w14:solidFill>
                </w14:textFill>
              </w:rPr>
              <w:t>​</w:t>
            </w:r>
          </w:p>
        </w:tc>
      </w:tr>
      <w:tr w14:paraId="20BDC7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34" w:hRule="atLeast"/>
        </w:trPr>
        <w:tc>
          <w:tcPr>
            <w:tcW w:w="9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B122C7">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E4495D">
            <w:pPr>
              <w:keepNext w:val="0"/>
              <w:keepLines w:val="0"/>
              <w:widowControl/>
              <w:suppressLineNumbers w:val="0"/>
              <w:jc w:val="center"/>
              <w:textAlignment w:val="cente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4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34804E">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单位</w:t>
            </w:r>
          </w:p>
        </w:tc>
        <w:tc>
          <w:tcPr>
            <w:tcW w:w="4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21C3B9">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数量</w:t>
            </w:r>
          </w:p>
        </w:tc>
      </w:tr>
      <w:tr w14:paraId="1B4BD6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6E5579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智能停车管理子系统</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61B65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1.出入口无人值守系统：集成车牌识别、费显屏、道闸，支持视频识别、无感支付、扫码支付、中央缴费等多种方式。</w:t>
            </w:r>
          </w:p>
        </w:tc>
        <w:tc>
          <w:tcPr>
            <w:tcW w:w="47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AC1E5CF">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B010C52">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74EE16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3C2E1B">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53FB4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2.停车场联网管理：对全市路内泊位和公共停车场进行联网，实现车位状态、收费数据实时上传。</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84776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4315B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DA4945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46A499">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4CFB90">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3.运营监管中心：提供财务对账、异常事件监管、设备状态监控等功能。</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9C585F">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817CA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B119E8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4F86E2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城市级停车诱导与预约子系统</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BE600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1.数据汇聚与处理引擎：实时汇聚全市停车位数据，进行空闲车位预测和状态发布。</w:t>
            </w:r>
          </w:p>
        </w:tc>
        <w:tc>
          <w:tcPr>
            <w:tcW w:w="47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6465D0F">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E246950">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4DDC6CA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240E49">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E2071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2.多级诱导信息发布：通过交通诱导屏、APP、小程序向车主发布周边停车场位置、空余车位数、收费标准等信息。</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55B89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DC3A4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439837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DCC0C5">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2797F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3.车位预约功能：支持车主对特定场库的车位进行提前预约和锁定。</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6FE77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1CE53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DB1D87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6B3985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市民服务与大数据分析子系统</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3B4EF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1.“荣成停车”APP/小程序：为市民提供车位查询、导航、支付、充值、发票开具、投诉建议等一站式服务。</w:t>
            </w:r>
          </w:p>
        </w:tc>
        <w:tc>
          <w:tcPr>
            <w:tcW w:w="47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AECDDBD">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2ECD423">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19489FC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46EC1E">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32EA6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2.停车大数据分析：分析停车热点区域、周转率、高峰时段，为城市规划、交通管理、价格调控提供数据支持。</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DE894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4A81A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bl>
    <w:p w14:paraId="258371FB">
      <w:pPr>
        <w:numPr>
          <w:ilvl w:val="0"/>
          <w:numId w:val="0"/>
        </w:numPr>
        <w:ind w:leftChars="0"/>
        <w:rPr>
          <w:rFonts w:hint="eastAsia" w:ascii="仿宋" w:hAnsi="仿宋" w:eastAsia="仿宋" w:cs="仿宋"/>
          <w:b/>
          <w:bCs/>
          <w:color w:val="000000" w:themeColor="text1"/>
          <w:sz w:val="28"/>
          <w:szCs w:val="28"/>
          <w:highlight w:val="none"/>
          <w14:textFill>
            <w14:solidFill>
              <w14:schemeClr w14:val="tx1"/>
            </w14:solidFill>
          </w14:textFill>
        </w:rPr>
      </w:pPr>
      <w:r>
        <w:rPr>
          <w:rFonts w:hint="eastAsia" w:ascii="仿宋" w:hAnsi="仿宋" w:eastAsia="仿宋" w:cs="仿宋"/>
          <w:b/>
          <w:bCs/>
          <w:color w:val="000000" w:themeColor="text1"/>
          <w:sz w:val="28"/>
          <w:szCs w:val="28"/>
          <w:highlight w:val="none"/>
          <w:lang w:val="en-US" w:eastAsia="zh-CN"/>
          <w14:textFill>
            <w14:solidFill>
              <w14:schemeClr w14:val="tx1"/>
            </w14:solidFill>
          </w14:textFill>
        </w:rPr>
        <w:t>3.</w:t>
      </w:r>
      <w:r>
        <w:rPr>
          <w:rFonts w:hint="eastAsia" w:ascii="仿宋" w:hAnsi="仿宋" w:eastAsia="仿宋" w:cs="仿宋"/>
          <w:b/>
          <w:bCs/>
          <w:color w:val="000000" w:themeColor="text1"/>
          <w:sz w:val="28"/>
          <w:szCs w:val="28"/>
          <w:highlight w:val="none"/>
          <w14:textFill>
            <w14:solidFill>
              <w14:schemeClr w14:val="tx1"/>
            </w14:solidFill>
          </w14:textFill>
        </w:rPr>
        <w:t>智慧康养关怀平台</w:t>
      </w:r>
    </w:p>
    <w:tbl>
      <w:tblPr>
        <w:tblStyle w:val="4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64"/>
        <w:gridCol w:w="6158"/>
        <w:gridCol w:w="975"/>
        <w:gridCol w:w="871"/>
      </w:tblGrid>
      <w:tr w14:paraId="6042BE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5040BE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二十一、智慧康养关怀平台</w:t>
            </w:r>
            <w:r>
              <w:rPr>
                <w:rFonts w:hint="default" w:ascii="Times New Roman" w:hAnsi="Times New Roman" w:eastAsia="仿宋" w:cs="Times New Roman"/>
                <w:i w:val="0"/>
                <w:iCs w:val="0"/>
                <w:color w:val="000000" w:themeColor="text1"/>
                <w:kern w:val="0"/>
                <w:sz w:val="20"/>
                <w:szCs w:val="20"/>
                <w:highlight w:val="none"/>
                <w:u w:val="none"/>
                <w:lang w:val="en-US" w:eastAsia="zh-CN" w:bidi="ar"/>
                <w14:textFill>
                  <w14:solidFill>
                    <w14:schemeClr w14:val="tx1"/>
                  </w14:solidFill>
                </w14:textFill>
              </w:rPr>
              <w:t>​</w:t>
            </w:r>
          </w:p>
        </w:tc>
      </w:tr>
      <w:tr w14:paraId="62F299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9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DDB4E6">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43FF5F">
            <w:pPr>
              <w:keepNext w:val="0"/>
              <w:keepLines w:val="0"/>
              <w:widowControl/>
              <w:suppressLineNumbers w:val="0"/>
              <w:jc w:val="center"/>
              <w:textAlignment w:val="cente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4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B51813">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单位</w:t>
            </w:r>
          </w:p>
        </w:tc>
        <w:tc>
          <w:tcPr>
            <w:tcW w:w="4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F7FCD7">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数量</w:t>
            </w:r>
          </w:p>
        </w:tc>
      </w:tr>
      <w:tr w14:paraId="23A371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C21DA75">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养老基础信息与资源管理系统</w:t>
            </w: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905F9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老年人一体化档案：依托人工智能大数据、智能识别、算法分析技术，搭建全维度、动态化、智能化老年人口专属数据库，替代传统静态档案录入、存储模式，实现老年人档案的智能采集、自动更新、精准画像、动态研判全流程AI赋能管理，覆盖辖区内所有老年人群体。</w:t>
            </w:r>
          </w:p>
        </w:tc>
        <w:tc>
          <w:tcPr>
            <w:tcW w:w="48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6CB77E8">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A2B12A6">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2EE831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D536D6">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764700">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养老资源管理：基于AI人工智能审核、智能评级、大数据风控、智能调度算法，构建养老服务全资源数字化、智能化管理体系，实现养老机构、社区养老驿站、养老服务商、从业人员四大核心资源的智能资质审核、动态星级评定、服务质量监管、资源智能调度、风险自动预警，解决传统人工管理效率低、评级不客观、监管有盲区、资源匹配不均衡等问题。</w:t>
            </w:r>
          </w:p>
        </w:tc>
        <w:tc>
          <w:tcPr>
            <w:tcW w:w="4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A2D3B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02B35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04B962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C522F6">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095480">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3.补贴发放管理：实现高龄津贴、养老补贴的线上申请、审核、发放与监管。</w:t>
            </w:r>
          </w:p>
        </w:tc>
        <w:tc>
          <w:tcPr>
            <w:tcW w:w="4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F6035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43CE7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3BB79A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8A0C37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居家社区养老服务子系统</w:t>
            </w: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84DC9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服务呼叫与调度：系统支持老人通过一键通、电话、APP等多渠道发起服务呼叫，依托AI语音识别、用户画像及智能调度算法，自动识别服务诉求并划分工单优先级。平台结合服务人员位置、技能、星级、在岗状态等多维数据，智能匹配最优服务人员完成精准派单，针对高龄、失能、独居老人紧急场景自动升级优先响应机制，有效提升养老服务响应效率与服务精准度。</w:t>
            </w:r>
          </w:p>
        </w:tc>
        <w:tc>
          <w:tcPr>
            <w:tcW w:w="48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86AAF18">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396F302">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153E12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2"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457A68">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FDC17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服务过程监管：依托AI影像识别、行为分析与大数据技术，实现养老服务接单、上门、执行、评价全流程留痕、可视可溯源。系统可智能识别虚假打卡、服务缺项、服务不规范等违规行为并自动预警，同时通过AI智能回访采集用户评价，自动生成服务质量分析数据，形成智能化服务监管与考核闭环。</w:t>
            </w:r>
          </w:p>
        </w:tc>
        <w:tc>
          <w:tcPr>
            <w:tcW w:w="4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CE9A6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09227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000B35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ABEBF3">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32FF3A">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养老商城”：AI智慧养老商城整合家政、送餐、康复护理等各类社会化养老服务资源，实现服务线上浏览、预约、下单、评价全流程便民操作。基于AI用户画像与智能推荐算法，结合老人身体状况、服务习惯、健康情况精准推送个性化服务，同时依托AI动态审核监管入驻服务商与从业人员，助力规范养老服务市场，精准补齐区域养老服务资源缺口。</w:t>
            </w:r>
          </w:p>
        </w:tc>
        <w:tc>
          <w:tcPr>
            <w:tcW w:w="4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460CE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1B3A3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7DE4E2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50978A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智能养老物联网与健康管理子系统</w:t>
            </w: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8C4303">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1.智能设备接入与管理：接入智能手环、跌倒检测、烟感报警、水浸传感器等设备，数据实时上传平台。</w:t>
            </w:r>
          </w:p>
        </w:tc>
        <w:tc>
          <w:tcPr>
            <w:tcW w:w="48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8592B15">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F72242A">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2CC048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45D26E">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6E846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2.健康监测与预警：对老人心率、血压、位置、行为异常等进行自动监测和风险预警，通知家属或社区人员。</w:t>
            </w:r>
          </w:p>
        </w:tc>
        <w:tc>
          <w:tcPr>
            <w:tcW w:w="4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A8265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F5673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FD59D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160393">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BDB64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3.健康数据追踪：记录并可视化展示老人的健康趋势，提供健康建议。</w:t>
            </w:r>
          </w:p>
        </w:tc>
        <w:tc>
          <w:tcPr>
            <w:tcW w:w="4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3C761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0DE62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AC232E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B34A753">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3.4机构养老管理与医养结合子系统</w:t>
            </w: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22F970">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1.机构内部管理为养老院提供入住管理、餐饮管理、护理计划、药品管理等信息化服务。</w:t>
            </w:r>
          </w:p>
        </w:tc>
        <w:tc>
          <w:tcPr>
            <w:tcW w:w="48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31E4BA5">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D981A89">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1AFC5A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2D3E65">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75D16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2.医养结合服务：与医疗健康平台对接，实现线上问诊、慢病管理、双向转诊、用药提醒等功能。</w:t>
            </w:r>
          </w:p>
        </w:tc>
        <w:tc>
          <w:tcPr>
            <w:tcW w:w="4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2169D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D284C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bl>
    <w:p w14:paraId="7EC7A85E">
      <w:pPr>
        <w:numPr>
          <w:ilvl w:val="0"/>
          <w:numId w:val="0"/>
        </w:numPr>
        <w:ind w:left="0" w:leftChars="0" w:firstLine="0" w:firstLineChars="0"/>
        <w:rPr>
          <w:rFonts w:hint="eastAsia" w:ascii="仿宋" w:hAnsi="仿宋" w:eastAsia="仿宋" w:cs="仿宋"/>
          <w:b/>
          <w:bCs/>
          <w:color w:val="000000" w:themeColor="text1"/>
          <w:sz w:val="28"/>
          <w:szCs w:val="28"/>
          <w:highlight w:val="none"/>
          <w14:textFill>
            <w14:solidFill>
              <w14:schemeClr w14:val="tx1"/>
            </w14:solidFill>
          </w14:textFill>
        </w:rPr>
      </w:pPr>
      <w:r>
        <w:rPr>
          <w:rFonts w:hint="eastAsia" w:ascii="仿宋" w:hAnsi="仿宋" w:eastAsia="仿宋" w:cs="仿宋"/>
          <w:b/>
          <w:bCs/>
          <w:color w:val="000000" w:themeColor="text1"/>
          <w:kern w:val="2"/>
          <w:sz w:val="28"/>
          <w:szCs w:val="28"/>
          <w:highlight w:val="none"/>
          <w:lang w:val="en-US" w:eastAsia="zh-CN" w:bidi="ar-SA"/>
          <w14:textFill>
            <w14:solidFill>
              <w14:schemeClr w14:val="tx1"/>
            </w14:solidFill>
          </w14:textFill>
        </w:rPr>
        <w:t>4.</w:t>
      </w:r>
      <w:r>
        <w:rPr>
          <w:rFonts w:hint="eastAsia" w:ascii="仿宋" w:hAnsi="仿宋" w:eastAsia="仿宋" w:cs="仿宋"/>
          <w:b/>
          <w:bCs/>
          <w:color w:val="000000" w:themeColor="text1"/>
          <w:sz w:val="28"/>
          <w:szCs w:val="28"/>
          <w:highlight w:val="none"/>
          <w14:textFill>
            <w14:solidFill>
              <w14:schemeClr w14:val="tx1"/>
            </w14:solidFill>
          </w14:textFill>
        </w:rPr>
        <w:t>医疗健康数据智能服务平台</w:t>
      </w:r>
    </w:p>
    <w:tbl>
      <w:tblPr>
        <w:tblStyle w:val="47"/>
        <w:tblW w:w="4999"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66"/>
        <w:gridCol w:w="6171"/>
        <w:gridCol w:w="975"/>
        <w:gridCol w:w="854"/>
      </w:tblGrid>
      <w:tr w14:paraId="5482EED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0" w:hRule="atLeast"/>
        </w:trPr>
        <w:tc>
          <w:tcPr>
            <w:tcW w:w="4081"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7EB3796">
            <w:pPr>
              <w:keepNext w:val="0"/>
              <w:keepLines w:val="0"/>
              <w:widowControl/>
              <w:suppressLineNumbers w:val="0"/>
              <w:jc w:val="center"/>
              <w:textAlignment w:val="center"/>
              <w:rPr>
                <w:rFonts w:ascii="仿宋" w:hAnsi="仿宋" w:eastAsia="仿宋" w:cs="仿宋"/>
                <w:b/>
                <w:bCs/>
                <w:i w:val="0"/>
                <w:iCs w:val="0"/>
                <w:color w:val="000000" w:themeColor="text1"/>
                <w:sz w:val="20"/>
                <w:szCs w:val="20"/>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二十二、医疗健康数据智能服务平台</w:t>
            </w:r>
          </w:p>
        </w:tc>
        <w:tc>
          <w:tcPr>
            <w:tcW w:w="4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1FC61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14CFE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05BFE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3" w:hRule="atLeast"/>
        </w:trPr>
        <w:tc>
          <w:tcPr>
            <w:tcW w:w="9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C78249">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30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181B40">
            <w:pPr>
              <w:keepNext w:val="0"/>
              <w:keepLines w:val="0"/>
              <w:widowControl/>
              <w:suppressLineNumbers w:val="0"/>
              <w:jc w:val="center"/>
              <w:textAlignment w:val="cente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4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093171">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单位</w:t>
            </w:r>
          </w:p>
        </w:tc>
        <w:tc>
          <w:tcPr>
            <w:tcW w:w="4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EB3EA0">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数量</w:t>
            </w:r>
          </w:p>
        </w:tc>
      </w:tr>
      <w:tr w14:paraId="3B02E0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09" w:hRule="atLeast"/>
        </w:trPr>
        <w:tc>
          <w:tcPr>
            <w:tcW w:w="98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D9C7A06">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区域健康信息数据中心</w:t>
            </w:r>
          </w:p>
        </w:tc>
        <w:tc>
          <w:tcPr>
            <w:tcW w:w="30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8C407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1.数据集成与治理平台：对接全市4家市级医院、26家卫生院等机构的HIS、LIS、PACS等系统，完成数据抽取、清洗、标准化和融合。</w:t>
            </w:r>
          </w:p>
        </w:tc>
        <w:tc>
          <w:tcPr>
            <w:tcW w:w="48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53B23F8">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2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630106F">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75219E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333C7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ACA043">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2.四大基础库建设：构建全员人口信息库、电子病历库、电子健康档案库、基础资源库。</w:t>
            </w:r>
          </w:p>
        </w:tc>
        <w:tc>
          <w:tcPr>
            <w:tcW w:w="4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4046B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9468B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A6973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E6A34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23DC70">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3.主数据管理：统一患者、医护人员、机构等主数据，解决信息孤岛问题。</w:t>
            </w:r>
          </w:p>
        </w:tc>
        <w:tc>
          <w:tcPr>
            <w:tcW w:w="4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00371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92BE7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691B81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4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A1235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880FE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4.提供海量数据处理能力。​</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•Hadoop通用平台：构建包含HDFS、Hive、HBase等组件的稳定大数据存储与计算环境。</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•调度管理与ETL引擎：部署可视化作业调度、监控及ETL工具，实现复杂数据加工流程的自动化管理。</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•行式数据库与数据治理：配备高性能行式数据库集群，并建立覆盖元数据、数据质量的全生命周期数据治理体系。</w:t>
            </w:r>
          </w:p>
        </w:tc>
        <w:tc>
          <w:tcPr>
            <w:tcW w:w="4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C1552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F65E6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77E542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B28693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惠民便民服务应用体系</w:t>
            </w:r>
          </w:p>
        </w:tc>
        <w:tc>
          <w:tcPr>
            <w:tcW w:w="30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77A14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1.“健康荣成”统一门户：为居民提供一站式预约挂号、诊间支付、报告查询、家医签约、健康档案查询等服务。</w:t>
            </w:r>
          </w:p>
        </w:tc>
        <w:tc>
          <w:tcPr>
            <w:tcW w:w="48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DC63A6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2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FD054E9">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29AF3B8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9CD71A">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391A9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2.分级诊疗与远程医疗：支撑基层医疗机构向上级医院发起会诊、转诊，开展远程影像、远程心电诊断。</w:t>
            </w:r>
          </w:p>
        </w:tc>
        <w:tc>
          <w:tcPr>
            <w:tcW w:w="4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80C19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BAB6F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51D5FA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5BDAE5">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3F786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3.统一支付对账平台：整合各类支付渠道，实现医疗场景下的统一支付与财务对账。</w:t>
            </w:r>
          </w:p>
        </w:tc>
        <w:tc>
          <w:tcPr>
            <w:tcW w:w="4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2E4B1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1A8BB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4AD50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CA92BA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医共体协同与智慧公卫应用体系</w:t>
            </w:r>
          </w:p>
        </w:tc>
        <w:tc>
          <w:tcPr>
            <w:tcW w:w="30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82D0A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1.医共体业务协同：实现检查检验结果互认、双向转诊、资源调配、协同诊疗，提升区域医疗效率。</w:t>
            </w:r>
          </w:p>
        </w:tc>
        <w:tc>
          <w:tcPr>
            <w:tcW w:w="48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956C8F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2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AAE6AE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1590D4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7CDE45">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3629B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2.智慧公卫与慢病管理：基于健康档案，对传染病、慢性病患者进行智能筛查、建档、随访和健康干预。</w:t>
            </w:r>
          </w:p>
        </w:tc>
        <w:tc>
          <w:tcPr>
            <w:tcW w:w="4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0649B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BE64C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95A92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419C0B">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0B253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3.综合监管与决策支持：为卫健部门提供医疗质量、费用、资源使用等情况的实时监管和决策分析看板。</w:t>
            </w:r>
          </w:p>
        </w:tc>
        <w:tc>
          <w:tcPr>
            <w:tcW w:w="4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68565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B9AB1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280A5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64F54E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数据智能与互联互通平台</w:t>
            </w:r>
          </w:p>
        </w:tc>
        <w:tc>
          <w:tcPr>
            <w:tcW w:w="30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4A1D7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1.医疗AI能力平台：集成临床辅助决策（CDSS）、病案首页质控、合理用药监测等AI应用，提升医疗质量。</w:t>
            </w:r>
          </w:p>
        </w:tc>
        <w:tc>
          <w:tcPr>
            <w:tcW w:w="48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B097D8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2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533A92C">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069699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F1A4EC">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F4582F">
            <w:pPr>
              <w:keepNext w:val="0"/>
              <w:keepLines w:val="0"/>
              <w:widowControl/>
              <w:suppressLineNumbers w:val="0"/>
              <w:ind w:left="200" w:hanging="200" w:hangingChars="10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2.信息标                                                  准化与互联互通成熟度测评：遵循国家医疗健康信息标准，确保平台通过国家四级甲等及以上测评。</w:t>
            </w:r>
          </w:p>
        </w:tc>
        <w:tc>
          <w:tcPr>
            <w:tcW w:w="4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7BCB8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1531B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329A65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BA3E9B">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EB5A0A">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3.平台运维与安全体系：保障平台的高可用性、数据安全和患者隐私保护。</w:t>
            </w:r>
          </w:p>
        </w:tc>
        <w:tc>
          <w:tcPr>
            <w:tcW w:w="4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7D95C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524BE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bookmarkEnd w:id="15"/>
      <w:bookmarkEnd w:id="16"/>
    </w:tbl>
    <w:p w14:paraId="7B98A16A">
      <w:pPr>
        <w:keepNext w:val="0"/>
        <w:keepLines w:val="0"/>
        <w:widowControl/>
        <w:suppressLineNumbers w:val="0"/>
        <w:jc w:val="left"/>
        <w:rPr>
          <w:rFonts w:hint="eastAsia" w:ascii="仿宋" w:hAnsi="仿宋" w:eastAsia="仿宋"/>
          <w:b/>
          <w:color w:val="000000" w:themeColor="text1"/>
          <w:sz w:val="28"/>
          <w:szCs w:val="28"/>
          <w:highlight w:val="none"/>
          <w:lang w:val="en-US" w:eastAsia="zh-CN"/>
          <w14:textFill>
            <w14:solidFill>
              <w14:schemeClr w14:val="tx1"/>
            </w14:solidFill>
          </w14:textFill>
        </w:rPr>
      </w:pPr>
      <w:r>
        <w:rPr>
          <w:rFonts w:ascii="仿宋" w:hAnsi="仿宋" w:eastAsia="仿宋" w:cs="仿宋"/>
          <w:color w:val="000000" w:themeColor="text1"/>
          <w:kern w:val="0"/>
          <w:sz w:val="24"/>
          <w:szCs w:val="24"/>
          <w:highlight w:val="none"/>
          <w:lang w:val="en-US" w:eastAsia="zh-CN" w:bidi="ar"/>
          <w14:textFill>
            <w14:solidFill>
              <w14:schemeClr w14:val="tx1"/>
            </w14:solidFill>
          </w14:textFill>
        </w:rPr>
        <w:t>注：技术规格、要求、参数和标准仅系说明并非进行限制，</w:t>
      </w:r>
      <w:r>
        <w:rPr>
          <w:rFonts w:hint="eastAsia" w:ascii="仿宋" w:hAnsi="仿宋" w:eastAsia="仿宋" w:cs="仿宋"/>
          <w:color w:val="000000" w:themeColor="text1"/>
          <w:kern w:val="0"/>
          <w:sz w:val="24"/>
          <w:szCs w:val="24"/>
          <w:highlight w:val="none"/>
          <w:lang w:val="en-US" w:eastAsia="zh-CN" w:bidi="ar"/>
          <w14:textFill>
            <w14:solidFill>
              <w14:schemeClr w14:val="tx1"/>
            </w14:solidFill>
          </w14:textFill>
        </w:rPr>
        <w:t>投标人</w:t>
      </w:r>
      <w:r>
        <w:rPr>
          <w:rFonts w:ascii="仿宋" w:hAnsi="仿宋" w:eastAsia="仿宋" w:cs="仿宋"/>
          <w:color w:val="000000" w:themeColor="text1"/>
          <w:kern w:val="0"/>
          <w:sz w:val="24"/>
          <w:szCs w:val="24"/>
          <w:highlight w:val="none"/>
          <w:lang w:val="en-US" w:eastAsia="zh-CN" w:bidi="ar"/>
          <w14:textFill>
            <w14:solidFill>
              <w14:schemeClr w14:val="tx1"/>
            </w14:solidFill>
          </w14:textFill>
        </w:rPr>
        <w:t>可提出替代的技术规格、要求、参数</w:t>
      </w:r>
      <w:r>
        <w:rPr>
          <w:rFonts w:hint="eastAsia" w:ascii="仿宋" w:hAnsi="仿宋" w:eastAsia="仿宋" w:cs="仿宋"/>
          <w:color w:val="000000" w:themeColor="text1"/>
          <w:kern w:val="0"/>
          <w:sz w:val="24"/>
          <w:szCs w:val="24"/>
          <w:highlight w:val="none"/>
          <w:lang w:val="en-US" w:eastAsia="zh-CN" w:bidi="ar"/>
          <w14:textFill>
            <w14:solidFill>
              <w14:schemeClr w14:val="tx1"/>
            </w14:solidFill>
          </w14:textFill>
        </w:rPr>
        <w:t>和标准，并在技术文件中详细说明，但该替代应不低于采购文件的规定和要求。</w:t>
      </w:r>
    </w:p>
    <w:p w14:paraId="71B7B5FD">
      <w:pPr>
        <w:spacing w:line="560" w:lineRule="exact"/>
        <w:ind w:firstLine="562" w:firstLineChars="200"/>
        <w:rPr>
          <w:rFonts w:hint="eastAsia" w:ascii="仿宋_GB2312" w:hAnsi="宋体" w:eastAsia="仿宋_GB2312" w:cs="Times New Roman"/>
          <w:bCs/>
          <w:color w:val="000000" w:themeColor="text1"/>
          <w:sz w:val="30"/>
          <w:szCs w:val="30"/>
          <w:highlight w:val="none"/>
          <w:lang w:val="en-US" w:eastAsia="zh-CN"/>
          <w14:textFill>
            <w14:solidFill>
              <w14:schemeClr w14:val="tx1"/>
            </w14:solidFill>
          </w14:textFill>
        </w:rPr>
      </w:pPr>
      <w:r>
        <w:rPr>
          <w:rFonts w:hint="eastAsia" w:ascii="仿宋" w:hAnsi="仿宋" w:eastAsia="仿宋"/>
          <w:b/>
          <w:color w:val="000000" w:themeColor="text1"/>
          <w:sz w:val="28"/>
          <w:szCs w:val="28"/>
          <w:highlight w:val="none"/>
          <w:lang w:val="en-US" w:eastAsia="zh-CN"/>
          <w14:textFill>
            <w14:solidFill>
              <w14:schemeClr w14:val="tx1"/>
            </w14:solidFill>
          </w14:textFill>
        </w:rPr>
        <w:t>四</w:t>
      </w:r>
      <w:r>
        <w:rPr>
          <w:rFonts w:hint="eastAsia" w:ascii="仿宋" w:hAnsi="仿宋" w:eastAsia="仿宋"/>
          <w:b/>
          <w:color w:val="000000" w:themeColor="text1"/>
          <w:sz w:val="28"/>
          <w:szCs w:val="28"/>
          <w:highlight w:val="none"/>
          <w14:textFill>
            <w14:solidFill>
              <w14:schemeClr w14:val="tx1"/>
            </w14:solidFill>
          </w14:textFill>
        </w:rPr>
        <w:t>、付款方式：</w:t>
      </w:r>
      <w:bookmarkStart w:id="17" w:name="OLE_LINK45"/>
      <w:bookmarkStart w:id="18" w:name="OLE_LINK46"/>
      <w:r>
        <w:rPr>
          <w:rFonts w:hint="eastAsia" w:ascii="仿宋_GB2312" w:hAnsi="宋体" w:eastAsia="仿宋_GB2312" w:cs="Times New Roman"/>
          <w:bCs/>
          <w:color w:val="000000" w:themeColor="text1"/>
          <w:sz w:val="30"/>
          <w:szCs w:val="30"/>
          <w:highlight w:val="none"/>
          <w:lang w:val="en-US" w:eastAsia="zh-CN"/>
          <w14:textFill>
            <w14:solidFill>
              <w14:schemeClr w14:val="tx1"/>
            </w14:solidFill>
          </w14:textFill>
        </w:rPr>
        <w:t>采购人根据项目实施进度付款。</w:t>
      </w:r>
    </w:p>
    <w:p w14:paraId="218040F2">
      <w:pPr>
        <w:widowControl/>
        <w:adjustRightInd w:val="0"/>
        <w:snapToGrid w:val="0"/>
        <w:spacing w:line="560" w:lineRule="exact"/>
        <w:ind w:firstLine="562" w:firstLineChars="200"/>
        <w:jc w:val="left"/>
        <w:rPr>
          <w:rFonts w:ascii="仿宋_GB2312" w:hAnsi="宋体" w:eastAsia="仿宋_GB2312"/>
          <w:bCs/>
          <w:color w:val="000000" w:themeColor="text1"/>
          <w:sz w:val="30"/>
          <w:szCs w:val="30"/>
          <w:highlight w:val="none"/>
          <w14:textFill>
            <w14:solidFill>
              <w14:schemeClr w14:val="tx1"/>
            </w14:solidFill>
          </w14:textFill>
        </w:rPr>
      </w:pPr>
      <w:r>
        <w:rPr>
          <w:rFonts w:hint="eastAsia" w:ascii="仿宋" w:hAnsi="仿宋" w:eastAsia="仿宋"/>
          <w:b/>
          <w:color w:val="000000" w:themeColor="text1"/>
          <w:sz w:val="28"/>
          <w:szCs w:val="28"/>
          <w:highlight w:val="none"/>
          <w:lang w:val="en-US" w:eastAsia="zh-CN"/>
          <w14:textFill>
            <w14:solidFill>
              <w14:schemeClr w14:val="tx1"/>
            </w14:solidFill>
          </w14:textFill>
        </w:rPr>
        <w:t>五</w:t>
      </w:r>
      <w:r>
        <w:rPr>
          <w:rFonts w:hint="eastAsia" w:ascii="仿宋" w:hAnsi="仿宋" w:eastAsia="仿宋"/>
          <w:b/>
          <w:color w:val="000000" w:themeColor="text1"/>
          <w:sz w:val="28"/>
          <w:szCs w:val="28"/>
          <w:highlight w:val="none"/>
          <w14:textFill>
            <w14:solidFill>
              <w14:schemeClr w14:val="tx1"/>
            </w14:solidFill>
          </w14:textFill>
        </w:rPr>
        <w:t>、交付期：</w:t>
      </w:r>
      <w:r>
        <w:rPr>
          <w:rFonts w:hint="eastAsia" w:ascii="仿宋" w:hAnsi="仿宋" w:eastAsia="仿宋"/>
          <w:b/>
          <w:color w:val="000000" w:themeColor="text1"/>
          <w:sz w:val="28"/>
          <w:szCs w:val="28"/>
          <w:highlight w:val="none"/>
          <w:lang w:val="en-US" w:eastAsia="zh-CN"/>
          <w14:textFill>
            <w14:solidFill>
              <w14:schemeClr w14:val="tx1"/>
            </w14:solidFill>
          </w14:textFill>
        </w:rPr>
        <w:t>2</w:t>
      </w:r>
      <w:r>
        <w:rPr>
          <w:rFonts w:hint="eastAsia" w:ascii="仿宋_GB2312" w:hAnsi="宋体" w:eastAsia="仿宋_GB2312" w:cs="Times New Roman"/>
          <w:bCs/>
          <w:color w:val="000000" w:themeColor="text1"/>
          <w:sz w:val="30"/>
          <w:szCs w:val="30"/>
          <w:highlight w:val="none"/>
          <w:lang w:val="en-US" w:eastAsia="zh-CN"/>
          <w14:textFill>
            <w14:solidFill>
              <w14:schemeClr w14:val="tx1"/>
            </w14:solidFill>
          </w14:textFill>
        </w:rPr>
        <w:t>028年3</w:t>
      </w:r>
      <w:bookmarkStart w:id="20" w:name="_GoBack"/>
      <w:bookmarkEnd w:id="20"/>
      <w:r>
        <w:rPr>
          <w:rFonts w:hint="eastAsia" w:ascii="仿宋_GB2312" w:hAnsi="宋体" w:eastAsia="仿宋_GB2312" w:cs="Times New Roman"/>
          <w:bCs/>
          <w:color w:val="000000" w:themeColor="text1"/>
          <w:sz w:val="30"/>
          <w:szCs w:val="30"/>
          <w:highlight w:val="none"/>
          <w:lang w:val="en-US" w:eastAsia="zh-CN"/>
          <w14:textFill>
            <w14:solidFill>
              <w14:schemeClr w14:val="tx1"/>
            </w14:solidFill>
          </w14:textFill>
        </w:rPr>
        <w:t>月31日前交付</w:t>
      </w:r>
      <w:r>
        <w:rPr>
          <w:rFonts w:hint="eastAsia" w:ascii="仿宋_GB2312" w:hAnsi="宋体" w:eastAsia="仿宋_GB2312" w:cs="Times New Roman"/>
          <w:bCs/>
          <w:color w:val="000000" w:themeColor="text1"/>
          <w:sz w:val="30"/>
          <w:szCs w:val="30"/>
          <w:highlight w:val="none"/>
          <w14:textFill>
            <w14:solidFill>
              <w14:schemeClr w14:val="tx1"/>
            </w14:solidFill>
          </w14:textFill>
        </w:rPr>
        <w:t>。</w:t>
      </w:r>
    </w:p>
    <w:bookmarkEnd w:id="17"/>
    <w:bookmarkEnd w:id="18"/>
    <w:p w14:paraId="009DA718">
      <w:pPr>
        <w:widowControl/>
        <w:adjustRightInd w:val="0"/>
        <w:snapToGrid w:val="0"/>
        <w:spacing w:line="560" w:lineRule="exact"/>
        <w:ind w:firstLine="562" w:firstLineChars="200"/>
        <w:jc w:val="left"/>
        <w:rPr>
          <w:rFonts w:ascii="仿宋_GB2312" w:hAnsi="宋体" w:eastAsia="仿宋_GB2312"/>
          <w:bCs/>
          <w:color w:val="000000" w:themeColor="text1"/>
          <w:sz w:val="30"/>
          <w:szCs w:val="30"/>
          <w:highlight w:val="none"/>
          <w14:textFill>
            <w14:solidFill>
              <w14:schemeClr w14:val="tx1"/>
            </w14:solidFill>
          </w14:textFill>
        </w:rPr>
      </w:pPr>
      <w:r>
        <w:rPr>
          <w:rFonts w:hint="eastAsia" w:ascii="仿宋" w:hAnsi="仿宋" w:eastAsia="仿宋"/>
          <w:b/>
          <w:color w:val="000000" w:themeColor="text1"/>
          <w:sz w:val="28"/>
          <w:szCs w:val="28"/>
          <w:highlight w:val="none"/>
          <w:lang w:val="en-US" w:eastAsia="zh-CN"/>
          <w14:textFill>
            <w14:solidFill>
              <w14:schemeClr w14:val="tx1"/>
            </w14:solidFill>
          </w14:textFill>
        </w:rPr>
        <w:t>六</w:t>
      </w:r>
      <w:r>
        <w:rPr>
          <w:rFonts w:hint="eastAsia" w:ascii="仿宋" w:hAnsi="仿宋" w:eastAsia="仿宋"/>
          <w:b/>
          <w:color w:val="000000" w:themeColor="text1"/>
          <w:sz w:val="28"/>
          <w:szCs w:val="28"/>
          <w:highlight w:val="none"/>
          <w14:textFill>
            <w14:solidFill>
              <w14:schemeClr w14:val="tx1"/>
            </w14:solidFill>
          </w14:textFill>
        </w:rPr>
        <w:t>、</w:t>
      </w:r>
      <w:r>
        <w:rPr>
          <w:rFonts w:hint="eastAsia" w:ascii="仿宋" w:hAnsi="仿宋" w:eastAsia="仿宋"/>
          <w:b/>
          <w:color w:val="000000" w:themeColor="text1"/>
          <w:sz w:val="28"/>
          <w:szCs w:val="28"/>
          <w:highlight w:val="none"/>
          <w:lang w:val="en-US" w:eastAsia="zh-CN"/>
          <w14:textFill>
            <w14:solidFill>
              <w14:schemeClr w14:val="tx1"/>
            </w14:solidFill>
          </w14:textFill>
        </w:rPr>
        <w:t>服务期</w:t>
      </w:r>
      <w:r>
        <w:rPr>
          <w:rFonts w:hint="eastAsia" w:ascii="仿宋" w:hAnsi="仿宋" w:eastAsia="仿宋"/>
          <w:b/>
          <w:color w:val="000000" w:themeColor="text1"/>
          <w:sz w:val="28"/>
          <w:szCs w:val="28"/>
          <w:highlight w:val="none"/>
          <w14:textFill>
            <w14:solidFill>
              <w14:schemeClr w14:val="tx1"/>
            </w14:solidFill>
          </w14:textFill>
        </w:rPr>
        <w:t>：</w:t>
      </w:r>
      <w:r>
        <w:rPr>
          <w:rFonts w:hint="eastAsia" w:ascii="仿宋_GB2312" w:hAnsi="宋体" w:eastAsia="仿宋_GB2312"/>
          <w:bCs/>
          <w:color w:val="000000" w:themeColor="text1"/>
          <w:sz w:val="30"/>
          <w:szCs w:val="30"/>
          <w:highlight w:val="none"/>
          <w14:textFill>
            <w14:solidFill>
              <w14:schemeClr w14:val="tx1"/>
            </w14:solidFill>
          </w14:textFill>
        </w:rPr>
        <w:t>自项目验收合格之日起不得低于</w:t>
      </w:r>
      <w:r>
        <w:rPr>
          <w:rFonts w:hint="eastAsia" w:ascii="仿宋_GB2312" w:hAnsi="宋体" w:eastAsia="仿宋_GB2312"/>
          <w:bCs/>
          <w:color w:val="000000" w:themeColor="text1"/>
          <w:sz w:val="30"/>
          <w:szCs w:val="30"/>
          <w:highlight w:val="none"/>
          <w:lang w:val="en-US" w:eastAsia="zh-CN"/>
          <w14:textFill>
            <w14:solidFill>
              <w14:schemeClr w14:val="tx1"/>
            </w14:solidFill>
          </w14:textFill>
        </w:rPr>
        <w:t>一</w:t>
      </w:r>
      <w:r>
        <w:rPr>
          <w:rFonts w:hint="eastAsia" w:ascii="仿宋_GB2312" w:hAnsi="宋体" w:eastAsia="仿宋_GB2312"/>
          <w:bCs/>
          <w:color w:val="000000" w:themeColor="text1"/>
          <w:sz w:val="30"/>
          <w:szCs w:val="30"/>
          <w:highlight w:val="none"/>
          <w14:textFill>
            <w14:solidFill>
              <w14:schemeClr w14:val="tx1"/>
            </w14:solidFill>
          </w14:textFill>
        </w:rPr>
        <w:t>年。</w:t>
      </w:r>
    </w:p>
    <w:p w14:paraId="2796912C">
      <w:pPr>
        <w:widowControl/>
        <w:adjustRightInd w:val="0"/>
        <w:snapToGrid w:val="0"/>
        <w:spacing w:line="560" w:lineRule="exact"/>
        <w:ind w:firstLine="562" w:firstLineChars="200"/>
        <w:jc w:val="left"/>
        <w:rPr>
          <w:rFonts w:ascii="仿宋" w:hAnsi="仿宋" w:eastAsia="仿宋"/>
          <w:b/>
          <w:color w:val="000000" w:themeColor="text1"/>
          <w:sz w:val="28"/>
          <w:szCs w:val="28"/>
          <w:highlight w:val="none"/>
          <w14:textFill>
            <w14:solidFill>
              <w14:schemeClr w14:val="tx1"/>
            </w14:solidFill>
          </w14:textFill>
        </w:rPr>
        <w:sectPr>
          <w:pgSz w:w="11906" w:h="16838"/>
          <w:pgMar w:top="1440" w:right="1077" w:bottom="1440" w:left="1077" w:header="851" w:footer="992" w:gutter="0"/>
          <w:cols w:space="720" w:num="1"/>
          <w:docGrid w:type="lines" w:linePitch="312" w:charSpace="0"/>
        </w:sectPr>
      </w:pPr>
    </w:p>
    <w:p w14:paraId="45139C28">
      <w:pPr>
        <w:pStyle w:val="42"/>
        <w:spacing w:before="0" w:after="0" w:line="360" w:lineRule="auto"/>
        <w:ind w:firstLine="646" w:firstLineChars="201"/>
        <w:rPr>
          <w:rFonts w:ascii="Times New Roman" w:hAnsi="Times New Roman"/>
          <w:color w:val="000000" w:themeColor="text1"/>
          <w:sz w:val="24"/>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第四章 评标文件内容及格式</w:t>
      </w:r>
    </w:p>
    <w:p w14:paraId="56625541">
      <w:pPr>
        <w:spacing w:line="520" w:lineRule="exact"/>
        <w:ind w:left="0" w:leftChars="0" w:firstLine="639" w:firstLineChars="213"/>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bCs/>
          <w:color w:val="000000" w:themeColor="text1"/>
          <w:sz w:val="30"/>
          <w:szCs w:val="30"/>
          <w:highlight w:val="none"/>
          <w14:textFill>
            <w14:solidFill>
              <w14:schemeClr w14:val="tx1"/>
            </w14:solidFill>
          </w14:textFill>
        </w:rPr>
        <w:t>一、</w:t>
      </w:r>
      <w:r>
        <w:rPr>
          <w:rFonts w:hint="eastAsia" w:ascii="仿宋_GB2312" w:hAnsi="宋体" w:eastAsia="仿宋_GB2312"/>
          <w:color w:val="000000" w:themeColor="text1"/>
          <w:sz w:val="30"/>
          <w:szCs w:val="30"/>
          <w:highlight w:val="none"/>
          <w14:textFill>
            <w14:solidFill>
              <w14:schemeClr w14:val="tx1"/>
            </w14:solidFill>
          </w14:textFill>
        </w:rPr>
        <w:t>评标原则</w:t>
      </w:r>
    </w:p>
    <w:p w14:paraId="30970B37">
      <w:pPr>
        <w:tabs>
          <w:tab w:val="left" w:pos="540"/>
        </w:tabs>
        <w:spacing w:line="520" w:lineRule="exact"/>
        <w:ind w:firstLine="441" w:firstLineChars="147"/>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 xml:space="preserve"> “公平、公正、科学、择优”为本次评标的基本原则，评标委员会将按照这一原则的要求，公正、平等地对待各投标人，同时，在评标时恪守以下原则：</w:t>
      </w:r>
    </w:p>
    <w:p w14:paraId="54F0EBC8">
      <w:pPr>
        <w:tabs>
          <w:tab w:val="left" w:pos="540"/>
        </w:tabs>
        <w:spacing w:line="520" w:lineRule="exact"/>
        <w:ind w:firstLine="561" w:firstLineChars="187"/>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bCs/>
          <w:color w:val="000000" w:themeColor="text1"/>
          <w:sz w:val="30"/>
          <w:szCs w:val="30"/>
          <w:highlight w:val="none"/>
          <w14:textFill>
            <w14:solidFill>
              <w14:schemeClr w14:val="tx1"/>
            </w14:solidFill>
          </w14:textFill>
        </w:rPr>
        <w:t>1.</w:t>
      </w:r>
      <w:r>
        <w:rPr>
          <w:rFonts w:hint="eastAsia" w:ascii="仿宋_GB2312" w:hAnsi="宋体" w:eastAsia="仿宋_GB2312"/>
          <w:color w:val="000000" w:themeColor="text1"/>
          <w:sz w:val="30"/>
          <w:szCs w:val="30"/>
          <w:highlight w:val="none"/>
          <w14:textFill>
            <w14:solidFill>
              <w14:schemeClr w14:val="tx1"/>
            </w14:solidFill>
          </w14:textFill>
        </w:rPr>
        <w:t>客观性原则：评标委员会将严格按照招标文件的要求，对投标人的投标文件进行认真评审，评标委员会对投标文件的评审仅依据投标文件本身，而不依靠投标文件以外的任何因素。</w:t>
      </w:r>
    </w:p>
    <w:p w14:paraId="4EDB2CA7">
      <w:pPr>
        <w:tabs>
          <w:tab w:val="left" w:pos="540"/>
        </w:tabs>
        <w:spacing w:line="520" w:lineRule="exact"/>
        <w:ind w:firstLine="561" w:firstLineChars="187"/>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bCs/>
          <w:color w:val="000000" w:themeColor="text1"/>
          <w:sz w:val="30"/>
          <w:szCs w:val="30"/>
          <w:highlight w:val="none"/>
          <w14:textFill>
            <w14:solidFill>
              <w14:schemeClr w14:val="tx1"/>
            </w14:solidFill>
          </w14:textFill>
        </w:rPr>
        <w:t>2.</w:t>
      </w:r>
      <w:r>
        <w:rPr>
          <w:rFonts w:hint="eastAsia" w:ascii="仿宋_GB2312" w:hAnsi="宋体" w:eastAsia="仿宋_GB2312"/>
          <w:color w:val="000000" w:themeColor="text1"/>
          <w:sz w:val="30"/>
          <w:szCs w:val="30"/>
          <w:highlight w:val="none"/>
          <w14:textFill>
            <w14:solidFill>
              <w14:schemeClr w14:val="tx1"/>
            </w14:solidFill>
          </w14:textFill>
        </w:rPr>
        <w:t>统一性原则：评标委员会将按照统一的评标原则和评标方法，采用统一标准进行评标。</w:t>
      </w:r>
    </w:p>
    <w:p w14:paraId="797BAD0F">
      <w:pPr>
        <w:tabs>
          <w:tab w:val="left" w:pos="540"/>
        </w:tabs>
        <w:spacing w:line="520" w:lineRule="exact"/>
        <w:ind w:firstLine="561" w:firstLineChars="187"/>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bCs/>
          <w:color w:val="000000" w:themeColor="text1"/>
          <w:sz w:val="30"/>
          <w:szCs w:val="30"/>
          <w:highlight w:val="none"/>
          <w14:textFill>
            <w14:solidFill>
              <w14:schemeClr w14:val="tx1"/>
            </w14:solidFill>
          </w14:textFill>
        </w:rPr>
        <w:t>3.</w:t>
      </w:r>
      <w:r>
        <w:rPr>
          <w:rFonts w:hint="eastAsia" w:ascii="仿宋_GB2312" w:hAnsi="宋体" w:eastAsia="仿宋_GB2312"/>
          <w:color w:val="000000" w:themeColor="text1"/>
          <w:sz w:val="30"/>
          <w:szCs w:val="30"/>
          <w:highlight w:val="none"/>
          <w14:textFill>
            <w14:solidFill>
              <w14:schemeClr w14:val="tx1"/>
            </w14:solidFill>
          </w14:textFill>
        </w:rPr>
        <w:t>独立性原则：评标工作在评标委员会内部独立进行，不受外界任何因素的干扰和影响。</w:t>
      </w:r>
    </w:p>
    <w:p w14:paraId="2819EFC3">
      <w:pPr>
        <w:tabs>
          <w:tab w:val="left" w:pos="540"/>
        </w:tabs>
        <w:spacing w:line="520" w:lineRule="exact"/>
        <w:ind w:firstLine="561" w:firstLineChars="187"/>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bCs/>
          <w:color w:val="000000" w:themeColor="text1"/>
          <w:sz w:val="30"/>
          <w:szCs w:val="30"/>
          <w:highlight w:val="none"/>
          <w14:textFill>
            <w14:solidFill>
              <w14:schemeClr w14:val="tx1"/>
            </w14:solidFill>
          </w14:textFill>
        </w:rPr>
        <w:t>4.</w:t>
      </w:r>
      <w:r>
        <w:rPr>
          <w:rFonts w:hint="eastAsia" w:ascii="仿宋_GB2312" w:hAnsi="宋体" w:eastAsia="仿宋_GB2312"/>
          <w:color w:val="000000" w:themeColor="text1"/>
          <w:sz w:val="30"/>
          <w:szCs w:val="30"/>
          <w:highlight w:val="none"/>
          <w14:textFill>
            <w14:solidFill>
              <w14:schemeClr w14:val="tx1"/>
            </w14:solidFill>
          </w14:textFill>
        </w:rPr>
        <w:t>保密性原则：评标委员会及熟知情况的有关工作人员必须对每位评委的评标意见和投标人的商业秘密严格保密，不得外泄。</w:t>
      </w:r>
    </w:p>
    <w:p w14:paraId="51606B26">
      <w:pPr>
        <w:tabs>
          <w:tab w:val="left" w:pos="540"/>
        </w:tabs>
        <w:spacing w:line="520" w:lineRule="exact"/>
        <w:ind w:firstLine="561" w:firstLineChars="187"/>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bCs/>
          <w:color w:val="000000" w:themeColor="text1"/>
          <w:sz w:val="30"/>
          <w:szCs w:val="30"/>
          <w:highlight w:val="none"/>
          <w14:textFill>
            <w14:solidFill>
              <w14:schemeClr w14:val="tx1"/>
            </w14:solidFill>
          </w14:textFill>
        </w:rPr>
        <w:t>5.</w:t>
      </w:r>
      <w:r>
        <w:rPr>
          <w:rFonts w:hint="eastAsia" w:ascii="仿宋_GB2312" w:hAnsi="宋体" w:eastAsia="仿宋_GB2312"/>
          <w:color w:val="000000" w:themeColor="text1"/>
          <w:sz w:val="30"/>
          <w:szCs w:val="30"/>
          <w:highlight w:val="none"/>
          <w14:textFill>
            <w14:solidFill>
              <w14:schemeClr w14:val="tx1"/>
            </w14:solidFill>
          </w14:textFill>
        </w:rPr>
        <w:t>综合性原则：评标委员会将综合分析、评审投标人的各项指标，而不以单项指标的优劣评定出中标人。</w:t>
      </w:r>
    </w:p>
    <w:p w14:paraId="0DB771E3">
      <w:pPr>
        <w:tabs>
          <w:tab w:val="left" w:pos="540"/>
          <w:tab w:val="left" w:pos="720"/>
        </w:tabs>
        <w:spacing w:line="520" w:lineRule="exact"/>
        <w:ind w:firstLine="600" w:firstLineChars="200"/>
        <w:rPr>
          <w:rFonts w:ascii="仿宋_GB2312" w:hAnsi="宋体" w:eastAsia="仿宋_GB2312"/>
          <w:bCs/>
          <w:color w:val="000000" w:themeColor="text1"/>
          <w:sz w:val="30"/>
          <w:szCs w:val="30"/>
          <w:highlight w:val="none"/>
          <w14:textFill>
            <w14:solidFill>
              <w14:schemeClr w14:val="tx1"/>
            </w14:solidFill>
          </w14:textFill>
        </w:rPr>
      </w:pPr>
      <w:r>
        <w:rPr>
          <w:rFonts w:hint="eastAsia" w:ascii="仿宋_GB2312" w:hAnsi="宋体" w:eastAsia="仿宋_GB2312"/>
          <w:bCs/>
          <w:color w:val="000000" w:themeColor="text1"/>
          <w:sz w:val="30"/>
          <w:szCs w:val="30"/>
          <w:highlight w:val="none"/>
          <w14:textFill>
            <w14:solidFill>
              <w14:schemeClr w14:val="tx1"/>
            </w14:solidFill>
          </w14:textFill>
        </w:rPr>
        <w:t>二、评标程序</w:t>
      </w:r>
    </w:p>
    <w:p w14:paraId="5EC20D34">
      <w:pPr>
        <w:adjustRightInd w:val="0"/>
        <w:snapToGrid w:val="0"/>
        <w:spacing w:line="520" w:lineRule="exact"/>
        <w:ind w:firstLine="600" w:firstLineChars="200"/>
        <w:rPr>
          <w:rFonts w:ascii="仿宋_GB2312" w:hAnsi="宋体" w:eastAsia="仿宋_GB2312"/>
          <w:bCs/>
          <w:color w:val="000000" w:themeColor="text1"/>
          <w:sz w:val="30"/>
          <w:szCs w:val="30"/>
          <w:highlight w:val="none"/>
          <w14:textFill>
            <w14:solidFill>
              <w14:schemeClr w14:val="tx1"/>
            </w14:solidFill>
          </w14:textFill>
        </w:rPr>
      </w:pPr>
      <w:r>
        <w:rPr>
          <w:rFonts w:hint="eastAsia" w:ascii="仿宋_GB2312" w:hAnsi="宋体" w:eastAsia="仿宋_GB2312"/>
          <w:bCs/>
          <w:color w:val="000000" w:themeColor="text1"/>
          <w:sz w:val="30"/>
          <w:szCs w:val="30"/>
          <w:highlight w:val="none"/>
          <w14:textFill>
            <w14:solidFill>
              <w14:schemeClr w14:val="tx1"/>
            </w14:solidFill>
          </w14:textFill>
        </w:rPr>
        <w:t>1.开标结束后，采购人或者采购代理机构依法对投标人的资格进行审查。</w:t>
      </w:r>
    </w:p>
    <w:p w14:paraId="5595519B">
      <w:pPr>
        <w:adjustRightInd w:val="0"/>
        <w:snapToGrid w:val="0"/>
        <w:spacing w:line="520" w:lineRule="exact"/>
        <w:ind w:firstLine="600" w:firstLineChars="200"/>
        <w:rPr>
          <w:rFonts w:ascii="仿宋_GB2312" w:hAnsi="宋体" w:eastAsia="仿宋_GB2312"/>
          <w:bCs/>
          <w:color w:val="000000" w:themeColor="text1"/>
          <w:sz w:val="30"/>
          <w:szCs w:val="30"/>
          <w:highlight w:val="none"/>
          <w14:textFill>
            <w14:solidFill>
              <w14:schemeClr w14:val="tx1"/>
            </w14:solidFill>
          </w14:textFill>
        </w:rPr>
      </w:pPr>
      <w:r>
        <w:rPr>
          <w:rFonts w:hint="eastAsia" w:ascii="仿宋_GB2312" w:hAnsi="宋体" w:eastAsia="仿宋_GB2312"/>
          <w:bCs/>
          <w:color w:val="000000" w:themeColor="text1"/>
          <w:sz w:val="30"/>
          <w:szCs w:val="30"/>
          <w:highlight w:val="none"/>
          <w14:textFill>
            <w14:solidFill>
              <w14:schemeClr w14:val="tx1"/>
            </w14:solidFill>
          </w14:textFill>
        </w:rPr>
        <w:t>2.评标委员会对符合资格的投标人的投标文件进行符合性审查，以确定其是否满足招标文件的实质性要求。</w:t>
      </w:r>
    </w:p>
    <w:p w14:paraId="74051BE3">
      <w:pPr>
        <w:adjustRightInd w:val="0"/>
        <w:snapToGrid w:val="0"/>
        <w:spacing w:line="520" w:lineRule="exact"/>
        <w:ind w:firstLine="600" w:firstLineChars="200"/>
        <w:rPr>
          <w:rFonts w:ascii="仿宋_GB2312" w:hAnsi="宋体" w:eastAsia="仿宋_GB2312"/>
          <w:b/>
          <w:bCs/>
          <w:color w:val="000000" w:themeColor="text1"/>
          <w:sz w:val="30"/>
          <w:szCs w:val="30"/>
          <w:highlight w:val="none"/>
          <w14:textFill>
            <w14:solidFill>
              <w14:schemeClr w14:val="tx1"/>
            </w14:solidFill>
          </w14:textFill>
        </w:rPr>
      </w:pPr>
      <w:r>
        <w:rPr>
          <w:rFonts w:hint="eastAsia" w:ascii="仿宋_GB2312" w:hAnsi="宋体" w:eastAsia="仿宋_GB2312"/>
          <w:bCs/>
          <w:color w:val="000000" w:themeColor="text1"/>
          <w:sz w:val="30"/>
          <w:szCs w:val="30"/>
          <w:highlight w:val="none"/>
          <w14:textFill>
            <w14:solidFill>
              <w14:schemeClr w14:val="tx1"/>
            </w14:solidFill>
          </w14:textFill>
        </w:rPr>
        <w:t>3.出现下列情形之一的，视为对招标文件未做出实质性响应，按照无效投标处理。</w:t>
      </w:r>
    </w:p>
    <w:p w14:paraId="253E03BA">
      <w:pPr>
        <w:spacing w:line="520" w:lineRule="exact"/>
        <w:ind w:firstLine="600" w:firstLineChars="20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bCs/>
          <w:color w:val="000000" w:themeColor="text1"/>
          <w:sz w:val="30"/>
          <w:szCs w:val="30"/>
          <w:highlight w:val="none"/>
          <w14:textFill>
            <w14:solidFill>
              <w14:schemeClr w14:val="tx1"/>
            </w14:solidFill>
          </w14:textFill>
        </w:rPr>
        <w:t>详见《投标须知前附表》-《实质性条款一览表》中符合性检查条款。</w:t>
      </w:r>
    </w:p>
    <w:p w14:paraId="4C861B53">
      <w:pPr>
        <w:tabs>
          <w:tab w:val="left" w:pos="540"/>
          <w:tab w:val="left" w:pos="720"/>
        </w:tabs>
        <w:spacing w:line="520" w:lineRule="exact"/>
        <w:ind w:firstLine="600" w:firstLineChars="200"/>
        <w:rPr>
          <w:rFonts w:ascii="仿宋_GB2312" w:hAnsi="宋体" w:eastAsia="仿宋_GB2312"/>
          <w:bCs/>
          <w:color w:val="000000" w:themeColor="text1"/>
          <w:sz w:val="30"/>
          <w:szCs w:val="30"/>
          <w:highlight w:val="none"/>
          <w14:textFill>
            <w14:solidFill>
              <w14:schemeClr w14:val="tx1"/>
            </w14:solidFill>
          </w14:textFill>
        </w:rPr>
      </w:pPr>
      <w:r>
        <w:rPr>
          <w:rFonts w:hint="eastAsia" w:ascii="仿宋_GB2312" w:hAnsi="宋体" w:eastAsia="仿宋_GB2312"/>
          <w:bCs/>
          <w:color w:val="000000" w:themeColor="text1"/>
          <w:sz w:val="30"/>
          <w:szCs w:val="30"/>
          <w:highlight w:val="none"/>
          <w14:textFill>
            <w14:solidFill>
              <w14:schemeClr w14:val="tx1"/>
            </w14:solidFill>
          </w14:textFill>
        </w:rPr>
        <w:t>4.属于无效投标的，投标人不能通过修正或撤销投标文件中不符合之处而成为实质性响应的投标，招标公司将通知投标人，并说明无效投标理由；属于有效投标文件的，将进行下一轮次的询标和澄清。</w:t>
      </w:r>
    </w:p>
    <w:p w14:paraId="085C5E8B">
      <w:pPr>
        <w:tabs>
          <w:tab w:val="left" w:pos="540"/>
          <w:tab w:val="left" w:pos="720"/>
        </w:tabs>
        <w:spacing w:line="520" w:lineRule="exact"/>
        <w:ind w:firstLine="600" w:firstLineChars="200"/>
        <w:rPr>
          <w:rFonts w:ascii="仿宋_GB2312" w:hAnsi="宋体" w:eastAsia="仿宋_GB2312"/>
          <w:bCs/>
          <w:color w:val="000000" w:themeColor="text1"/>
          <w:sz w:val="30"/>
          <w:szCs w:val="30"/>
          <w:highlight w:val="none"/>
          <w14:textFill>
            <w14:solidFill>
              <w14:schemeClr w14:val="tx1"/>
            </w14:solidFill>
          </w14:textFill>
        </w:rPr>
      </w:pPr>
      <w:r>
        <w:rPr>
          <w:rFonts w:hint="eastAsia" w:ascii="仿宋_GB2312" w:hAnsi="宋体" w:eastAsia="仿宋_GB2312"/>
          <w:bCs/>
          <w:color w:val="000000" w:themeColor="text1"/>
          <w:sz w:val="30"/>
          <w:szCs w:val="30"/>
          <w:highlight w:val="none"/>
          <w14:textFill>
            <w14:solidFill>
              <w14:schemeClr w14:val="tx1"/>
            </w14:solidFill>
          </w14:textFill>
        </w:rPr>
        <w:t>5.询标和澄清</w:t>
      </w:r>
    </w:p>
    <w:p w14:paraId="0DD8857E">
      <w:pPr>
        <w:tabs>
          <w:tab w:val="left" w:pos="540"/>
          <w:tab w:val="left" w:pos="720"/>
        </w:tabs>
        <w:spacing w:line="520" w:lineRule="exact"/>
        <w:ind w:firstLine="600" w:firstLineChars="200"/>
        <w:rPr>
          <w:rFonts w:ascii="仿宋_GB2312" w:hAnsi="宋体" w:eastAsia="仿宋_GB2312"/>
          <w:bCs/>
          <w:color w:val="000000" w:themeColor="text1"/>
          <w:sz w:val="30"/>
          <w:szCs w:val="30"/>
          <w:highlight w:val="none"/>
          <w14:textFill>
            <w14:solidFill>
              <w14:schemeClr w14:val="tx1"/>
            </w14:solidFill>
          </w14:textFill>
        </w:rPr>
      </w:pPr>
      <w:r>
        <w:rPr>
          <w:rFonts w:hint="eastAsia" w:ascii="仿宋_GB2312" w:hAnsi="宋体" w:eastAsia="仿宋_GB2312"/>
          <w:bCs/>
          <w:color w:val="000000" w:themeColor="text1"/>
          <w:sz w:val="30"/>
          <w:szCs w:val="30"/>
          <w:highlight w:val="none"/>
          <w14:textFill>
            <w14:solidFill>
              <w14:schemeClr w14:val="tx1"/>
            </w14:solidFill>
          </w14:textFill>
        </w:rPr>
        <w:t>(1)对有效投标文件中含义不明确、同类问题前后表述不一致或者有明显文字和计算错误的内容，评标委员会可以书面形式要求投标人在规定的时间内作出必要的澄清、说明或者纠正，投标人应在要求的时间内以书面形式澄清、说明或者补正,并由其法定代表人（依法登记的负责人）或被授权人签字，且不得超出投标文件的范围或者改变投标文件的实质性内容。</w:t>
      </w:r>
    </w:p>
    <w:p w14:paraId="4BDD6442">
      <w:pPr>
        <w:tabs>
          <w:tab w:val="left" w:pos="540"/>
          <w:tab w:val="left" w:pos="720"/>
        </w:tabs>
        <w:spacing w:line="520" w:lineRule="exact"/>
        <w:ind w:firstLine="600" w:firstLineChars="200"/>
        <w:rPr>
          <w:rFonts w:ascii="仿宋_GB2312" w:hAnsi="宋体" w:eastAsia="仿宋_GB2312"/>
          <w:bCs/>
          <w:color w:val="000000" w:themeColor="text1"/>
          <w:sz w:val="30"/>
          <w:szCs w:val="30"/>
          <w:highlight w:val="none"/>
          <w14:textFill>
            <w14:solidFill>
              <w14:schemeClr w14:val="tx1"/>
            </w14:solidFill>
          </w14:textFill>
        </w:rPr>
      </w:pPr>
      <w:r>
        <w:rPr>
          <w:rFonts w:hint="eastAsia" w:ascii="仿宋_GB2312" w:hAnsi="宋体" w:eastAsia="仿宋_GB2312"/>
          <w:bCs/>
          <w:color w:val="000000" w:themeColor="text1"/>
          <w:sz w:val="30"/>
          <w:szCs w:val="30"/>
          <w:highlight w:val="none"/>
          <w14:textFill>
            <w14:solidFill>
              <w14:schemeClr w14:val="tx1"/>
            </w14:solidFill>
          </w14:textFill>
        </w:rPr>
        <w:t>(2)投标人依据评审要求进行澄清、说明或者补正的内容构成投标文件的组成部分。</w:t>
      </w:r>
    </w:p>
    <w:p w14:paraId="4868A087">
      <w:pPr>
        <w:tabs>
          <w:tab w:val="left" w:pos="540"/>
          <w:tab w:val="left" w:pos="720"/>
        </w:tabs>
        <w:spacing w:line="520" w:lineRule="exact"/>
        <w:ind w:firstLine="600" w:firstLineChars="200"/>
        <w:rPr>
          <w:rFonts w:ascii="仿宋_GB2312" w:hAnsi="宋体" w:eastAsia="仿宋_GB2312"/>
          <w:bCs/>
          <w:color w:val="000000" w:themeColor="text1"/>
          <w:sz w:val="30"/>
          <w:szCs w:val="30"/>
          <w:highlight w:val="none"/>
          <w14:textFill>
            <w14:solidFill>
              <w14:schemeClr w14:val="tx1"/>
            </w14:solidFill>
          </w14:textFill>
        </w:rPr>
      </w:pPr>
      <w:r>
        <w:rPr>
          <w:rFonts w:hint="eastAsia" w:ascii="仿宋_GB2312" w:hAnsi="宋体" w:eastAsia="仿宋_GB2312"/>
          <w:bCs/>
          <w:color w:val="000000" w:themeColor="text1"/>
          <w:sz w:val="30"/>
          <w:szCs w:val="30"/>
          <w:highlight w:val="none"/>
          <w14:textFill>
            <w14:solidFill>
              <w14:schemeClr w14:val="tx1"/>
            </w14:solidFill>
          </w14:textFill>
        </w:rPr>
        <w:t>6.比较与评价</w:t>
      </w:r>
    </w:p>
    <w:p w14:paraId="34776DBF">
      <w:pPr>
        <w:tabs>
          <w:tab w:val="left" w:pos="540"/>
          <w:tab w:val="left" w:pos="720"/>
        </w:tabs>
        <w:spacing w:line="520" w:lineRule="exact"/>
        <w:ind w:firstLine="600" w:firstLineChars="200"/>
        <w:rPr>
          <w:rFonts w:ascii="仿宋_GB2312" w:hAnsi="宋体" w:eastAsia="仿宋_GB2312"/>
          <w:bCs/>
          <w:color w:val="000000" w:themeColor="text1"/>
          <w:sz w:val="30"/>
          <w:szCs w:val="30"/>
          <w:highlight w:val="none"/>
          <w14:textFill>
            <w14:solidFill>
              <w14:schemeClr w14:val="tx1"/>
            </w14:solidFill>
          </w14:textFill>
        </w:rPr>
      </w:pPr>
      <w:r>
        <w:rPr>
          <w:rFonts w:hint="eastAsia" w:ascii="仿宋_GB2312" w:hAnsi="宋体" w:eastAsia="仿宋_GB2312"/>
          <w:bCs/>
          <w:color w:val="000000" w:themeColor="text1"/>
          <w:sz w:val="30"/>
          <w:szCs w:val="30"/>
          <w:highlight w:val="none"/>
          <w14:textFill>
            <w14:solidFill>
              <w14:schemeClr w14:val="tx1"/>
            </w14:solidFill>
          </w14:textFill>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技术方面得分高的排前。</w:t>
      </w:r>
    </w:p>
    <w:p w14:paraId="7E7D6707">
      <w:pPr>
        <w:tabs>
          <w:tab w:val="left" w:pos="540"/>
        </w:tabs>
        <w:spacing w:line="520" w:lineRule="exact"/>
        <w:ind w:firstLine="602" w:firstLineChars="200"/>
        <w:rPr>
          <w:rFonts w:ascii="仿宋_GB2312" w:hAnsi="宋体" w:eastAsia="仿宋_GB2312"/>
          <w:bCs/>
          <w:color w:val="000000" w:themeColor="text1"/>
          <w:sz w:val="30"/>
          <w:szCs w:val="30"/>
          <w:highlight w:val="none"/>
          <w14:textFill>
            <w14:solidFill>
              <w14:schemeClr w14:val="tx1"/>
            </w14:solidFill>
          </w14:textFill>
        </w:rPr>
      </w:pPr>
      <w:r>
        <w:rPr>
          <w:rFonts w:ascii="仿宋_GB2312" w:eastAsia="仿宋_GB2312"/>
          <w:b/>
          <w:bCs/>
          <w:color w:val="000000" w:themeColor="text1"/>
          <w:sz w:val="30"/>
          <w:szCs w:val="30"/>
          <w:highlight w:val="none"/>
          <w14:textFill>
            <w14:solidFill>
              <w14:schemeClr w14:val="tx1"/>
            </w14:solidFill>
          </w14:textFill>
        </w:rPr>
        <w:t>7</w:t>
      </w:r>
      <w:r>
        <w:rPr>
          <w:rFonts w:hint="eastAsia" w:ascii="仿宋_GB2312" w:eastAsia="仿宋_GB2312"/>
          <w:b/>
          <w:bCs/>
          <w:color w:val="000000" w:themeColor="text1"/>
          <w:sz w:val="30"/>
          <w:szCs w:val="30"/>
          <w:highlight w:val="none"/>
          <w14:textFill>
            <w14:solidFill>
              <w14:schemeClr w14:val="tx1"/>
            </w14:solidFill>
          </w14:textFill>
        </w:rPr>
        <w:t>.评标方法</w:t>
      </w:r>
    </w:p>
    <w:p w14:paraId="3EA57B21">
      <w:pPr>
        <w:tabs>
          <w:tab w:val="left" w:pos="540"/>
        </w:tabs>
        <w:spacing w:line="520" w:lineRule="exact"/>
        <w:ind w:firstLine="600" w:firstLineChars="200"/>
        <w:rPr>
          <w:rFonts w:ascii="仿宋_GB2312" w:hAnsi="宋体" w:eastAsia="仿宋_GB2312"/>
          <w:bCs/>
          <w:color w:val="000000" w:themeColor="text1"/>
          <w:sz w:val="30"/>
          <w:szCs w:val="30"/>
          <w:highlight w:val="none"/>
          <w14:textFill>
            <w14:solidFill>
              <w14:schemeClr w14:val="tx1"/>
            </w14:solidFill>
          </w14:textFill>
        </w:rPr>
      </w:pPr>
      <w:r>
        <w:rPr>
          <w:rFonts w:hint="eastAsia" w:ascii="仿宋_GB2312" w:hAnsi="宋体" w:eastAsia="仿宋_GB2312"/>
          <w:bCs/>
          <w:color w:val="000000" w:themeColor="text1"/>
          <w:sz w:val="30"/>
          <w:szCs w:val="30"/>
          <w:highlight w:val="none"/>
          <w14:textFill>
            <w14:solidFill>
              <w14:schemeClr w14:val="tx1"/>
            </w14:solidFill>
          </w14:textFill>
        </w:rPr>
        <w:t>(1)评标方法：综合评分法。</w:t>
      </w:r>
    </w:p>
    <w:p w14:paraId="09537B57">
      <w:pPr>
        <w:tabs>
          <w:tab w:val="left" w:pos="540"/>
        </w:tabs>
        <w:spacing w:line="520" w:lineRule="exact"/>
        <w:ind w:firstLine="600" w:firstLineChars="200"/>
        <w:rPr>
          <w:rFonts w:ascii="仿宋_GB2312" w:hAnsi="宋体" w:eastAsia="仿宋_GB2312"/>
          <w:bCs/>
          <w:color w:val="000000" w:themeColor="text1"/>
          <w:sz w:val="30"/>
          <w:szCs w:val="30"/>
          <w:highlight w:val="none"/>
          <w14:textFill>
            <w14:solidFill>
              <w14:schemeClr w14:val="tx1"/>
            </w14:solidFill>
          </w14:textFill>
        </w:rPr>
      </w:pPr>
      <w:r>
        <w:rPr>
          <w:rFonts w:hint="eastAsia" w:ascii="仿宋_GB2312" w:hAnsi="宋体" w:eastAsia="仿宋_GB2312"/>
          <w:bCs/>
          <w:color w:val="000000" w:themeColor="text1"/>
          <w:sz w:val="30"/>
          <w:szCs w:val="30"/>
          <w:highlight w:val="none"/>
          <w14:textFill>
            <w14:solidFill>
              <w14:schemeClr w14:val="tx1"/>
            </w14:solidFill>
          </w14:textFill>
        </w:rPr>
        <w:t>(2)评标细则：</w:t>
      </w:r>
    </w:p>
    <w:tbl>
      <w:tblPr>
        <w:tblStyle w:val="47"/>
        <w:tblW w:w="975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5"/>
        <w:gridCol w:w="738"/>
        <w:gridCol w:w="1134"/>
        <w:gridCol w:w="5256"/>
        <w:gridCol w:w="1026"/>
        <w:gridCol w:w="773"/>
      </w:tblGrid>
      <w:tr w14:paraId="7B05CE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shd w:val="clear" w:color="auto" w:fill="D9D9D9"/>
            <w:vAlign w:val="center"/>
          </w:tcPr>
          <w:p w14:paraId="32700108">
            <w:pPr>
              <w:pStyle w:val="13"/>
              <w:ind w:firstLine="0"/>
              <w:jc w:val="center"/>
              <w:rPr>
                <w:rFonts w:ascii="仿宋_GB2312" w:hAnsi="仿宋" w:eastAsia="仿宋_GB2312"/>
                <w:b/>
                <w:color w:val="000000" w:themeColor="text1"/>
                <w:sz w:val="24"/>
                <w:szCs w:val="24"/>
                <w:highlight w:val="none"/>
                <w14:textFill>
                  <w14:solidFill>
                    <w14:schemeClr w14:val="tx1"/>
                  </w14:solidFill>
                </w14:textFill>
              </w:rPr>
            </w:pPr>
            <w:r>
              <w:rPr>
                <w:rFonts w:hint="eastAsia" w:ascii="仿宋_GB2312" w:hAnsi="仿宋" w:eastAsia="仿宋_GB2312"/>
                <w:b/>
                <w:color w:val="000000" w:themeColor="text1"/>
                <w:sz w:val="24"/>
                <w:szCs w:val="24"/>
                <w:highlight w:val="none"/>
                <w14:textFill>
                  <w14:solidFill>
                    <w14:schemeClr w14:val="tx1"/>
                  </w14:solidFill>
                </w14:textFill>
              </w:rPr>
              <w:t>编号</w:t>
            </w:r>
          </w:p>
        </w:tc>
        <w:tc>
          <w:tcPr>
            <w:tcW w:w="738" w:type="dxa"/>
            <w:shd w:val="clear" w:color="auto" w:fill="D9D9D9"/>
            <w:vAlign w:val="center"/>
          </w:tcPr>
          <w:p w14:paraId="28E270E6">
            <w:pPr>
              <w:pStyle w:val="13"/>
              <w:ind w:firstLine="0"/>
              <w:jc w:val="center"/>
              <w:rPr>
                <w:rFonts w:ascii="仿宋_GB2312" w:hAnsi="仿宋" w:eastAsia="仿宋_GB2312"/>
                <w:b/>
                <w:color w:val="000000" w:themeColor="text1"/>
                <w:sz w:val="24"/>
                <w:szCs w:val="24"/>
                <w:highlight w:val="none"/>
                <w14:textFill>
                  <w14:solidFill>
                    <w14:schemeClr w14:val="tx1"/>
                  </w14:solidFill>
                </w14:textFill>
              </w:rPr>
            </w:pPr>
            <w:r>
              <w:rPr>
                <w:rFonts w:hint="eastAsia" w:ascii="仿宋_GB2312" w:hAnsi="仿宋" w:eastAsia="仿宋_GB2312"/>
                <w:b/>
                <w:color w:val="000000" w:themeColor="text1"/>
                <w:sz w:val="24"/>
                <w:szCs w:val="24"/>
                <w:highlight w:val="none"/>
                <w14:textFill>
                  <w14:solidFill>
                    <w14:schemeClr w14:val="tx1"/>
                  </w14:solidFill>
                </w14:textFill>
              </w:rPr>
              <w:t>类型</w:t>
            </w:r>
          </w:p>
        </w:tc>
        <w:tc>
          <w:tcPr>
            <w:tcW w:w="1134" w:type="dxa"/>
            <w:shd w:val="clear" w:color="auto" w:fill="D9D9D9"/>
            <w:vAlign w:val="center"/>
          </w:tcPr>
          <w:p w14:paraId="1D5674C6">
            <w:pPr>
              <w:pStyle w:val="13"/>
              <w:ind w:firstLine="0"/>
              <w:jc w:val="center"/>
              <w:rPr>
                <w:rFonts w:ascii="仿宋_GB2312" w:hAnsi="仿宋" w:eastAsia="仿宋_GB2312"/>
                <w:b/>
                <w:color w:val="000000" w:themeColor="text1"/>
                <w:sz w:val="24"/>
                <w:szCs w:val="24"/>
                <w:highlight w:val="none"/>
                <w14:textFill>
                  <w14:solidFill>
                    <w14:schemeClr w14:val="tx1"/>
                  </w14:solidFill>
                </w14:textFill>
              </w:rPr>
            </w:pPr>
            <w:r>
              <w:rPr>
                <w:rFonts w:hint="eastAsia" w:ascii="仿宋_GB2312" w:hAnsi="仿宋" w:eastAsia="仿宋_GB2312"/>
                <w:b/>
                <w:color w:val="000000" w:themeColor="text1"/>
                <w:sz w:val="24"/>
                <w:szCs w:val="24"/>
                <w:highlight w:val="none"/>
                <w14:textFill>
                  <w14:solidFill>
                    <w14:schemeClr w14:val="tx1"/>
                  </w14:solidFill>
                </w14:textFill>
              </w:rPr>
              <w:t>评分标题</w:t>
            </w:r>
          </w:p>
        </w:tc>
        <w:tc>
          <w:tcPr>
            <w:tcW w:w="5256" w:type="dxa"/>
            <w:shd w:val="clear" w:color="auto" w:fill="D9D9D9"/>
            <w:vAlign w:val="center"/>
          </w:tcPr>
          <w:p w14:paraId="17218F67">
            <w:pPr>
              <w:pStyle w:val="13"/>
              <w:ind w:firstLine="0"/>
              <w:jc w:val="center"/>
              <w:rPr>
                <w:rFonts w:ascii="仿宋_GB2312" w:hAnsi="仿宋" w:eastAsia="仿宋_GB2312"/>
                <w:b/>
                <w:color w:val="000000" w:themeColor="text1"/>
                <w:sz w:val="24"/>
                <w:szCs w:val="24"/>
                <w:highlight w:val="none"/>
                <w14:textFill>
                  <w14:solidFill>
                    <w14:schemeClr w14:val="tx1"/>
                  </w14:solidFill>
                </w14:textFill>
              </w:rPr>
            </w:pPr>
            <w:r>
              <w:rPr>
                <w:rFonts w:hint="eastAsia" w:ascii="仿宋_GB2312" w:hAnsi="仿宋" w:eastAsia="仿宋_GB2312"/>
                <w:b/>
                <w:color w:val="000000" w:themeColor="text1"/>
                <w:sz w:val="24"/>
                <w:szCs w:val="24"/>
                <w:highlight w:val="none"/>
                <w14:textFill>
                  <w14:solidFill>
                    <w14:schemeClr w14:val="tx1"/>
                  </w14:solidFill>
                </w14:textFill>
              </w:rPr>
              <w:t>评分标准</w:t>
            </w:r>
          </w:p>
        </w:tc>
        <w:tc>
          <w:tcPr>
            <w:tcW w:w="1026" w:type="dxa"/>
            <w:shd w:val="clear" w:color="auto" w:fill="D9D9D9"/>
            <w:vAlign w:val="center"/>
          </w:tcPr>
          <w:p w14:paraId="38F3F11D">
            <w:pPr>
              <w:pStyle w:val="13"/>
              <w:ind w:firstLine="0"/>
              <w:jc w:val="center"/>
              <w:rPr>
                <w:rFonts w:ascii="仿宋_GB2312" w:hAnsi="仿宋" w:eastAsia="仿宋_GB2312"/>
                <w:b/>
                <w:color w:val="000000" w:themeColor="text1"/>
                <w:sz w:val="24"/>
                <w:szCs w:val="24"/>
                <w:highlight w:val="none"/>
                <w14:textFill>
                  <w14:solidFill>
                    <w14:schemeClr w14:val="tx1"/>
                  </w14:solidFill>
                </w14:textFill>
              </w:rPr>
            </w:pPr>
            <w:r>
              <w:rPr>
                <w:rFonts w:hint="eastAsia" w:ascii="仿宋_GB2312" w:hAnsi="仿宋" w:eastAsia="仿宋_GB2312"/>
                <w:b/>
                <w:color w:val="000000" w:themeColor="text1"/>
                <w:sz w:val="24"/>
                <w:szCs w:val="24"/>
                <w:highlight w:val="none"/>
                <w14:textFill>
                  <w14:solidFill>
                    <w14:schemeClr w14:val="tx1"/>
                  </w14:solidFill>
                </w14:textFill>
              </w:rPr>
              <w:t>性质</w:t>
            </w:r>
          </w:p>
        </w:tc>
        <w:tc>
          <w:tcPr>
            <w:tcW w:w="773" w:type="dxa"/>
            <w:shd w:val="clear" w:color="auto" w:fill="D9D9D9"/>
            <w:vAlign w:val="center"/>
          </w:tcPr>
          <w:p w14:paraId="3BD1F381">
            <w:pPr>
              <w:pStyle w:val="13"/>
              <w:ind w:firstLine="0"/>
              <w:jc w:val="center"/>
              <w:rPr>
                <w:rFonts w:ascii="仿宋_GB2312" w:hAnsi="仿宋" w:eastAsia="仿宋_GB2312"/>
                <w:b/>
                <w:color w:val="000000" w:themeColor="text1"/>
                <w:sz w:val="24"/>
                <w:szCs w:val="24"/>
                <w:highlight w:val="none"/>
                <w14:textFill>
                  <w14:solidFill>
                    <w14:schemeClr w14:val="tx1"/>
                  </w14:solidFill>
                </w14:textFill>
              </w:rPr>
            </w:pPr>
            <w:r>
              <w:rPr>
                <w:rFonts w:hint="eastAsia" w:ascii="仿宋_GB2312" w:hAnsi="仿宋" w:eastAsia="仿宋_GB2312"/>
                <w:b/>
                <w:color w:val="000000" w:themeColor="text1"/>
                <w:sz w:val="24"/>
                <w:szCs w:val="24"/>
                <w:highlight w:val="none"/>
                <w14:textFill>
                  <w14:solidFill>
                    <w14:schemeClr w14:val="tx1"/>
                  </w14:solidFill>
                </w14:textFill>
              </w:rPr>
              <w:t>分数</w:t>
            </w:r>
          </w:p>
        </w:tc>
      </w:tr>
      <w:tr w14:paraId="4EFA77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vAlign w:val="center"/>
          </w:tcPr>
          <w:p w14:paraId="0E205407">
            <w:pPr>
              <w:pStyle w:val="13"/>
              <w:ind w:firstLine="0"/>
              <w:jc w:val="center"/>
              <w:rPr>
                <w:rFonts w:ascii="仿宋_GB2312" w:hAnsi="仿宋" w:eastAsia="仿宋_GB2312"/>
                <w:bCs/>
                <w:color w:val="000000" w:themeColor="text1"/>
                <w:sz w:val="24"/>
                <w:szCs w:val="24"/>
                <w:highlight w:val="none"/>
                <w14:textFill>
                  <w14:solidFill>
                    <w14:schemeClr w14:val="tx1"/>
                  </w14:solidFill>
                </w14:textFill>
              </w:rPr>
            </w:pPr>
            <w:r>
              <w:rPr>
                <w:rFonts w:hint="eastAsia" w:ascii="仿宋_GB2312" w:hAnsi="仿宋" w:eastAsia="仿宋_GB2312"/>
                <w:bCs/>
                <w:color w:val="000000" w:themeColor="text1"/>
                <w:sz w:val="24"/>
                <w:szCs w:val="24"/>
                <w:highlight w:val="none"/>
                <w14:textFill>
                  <w14:solidFill>
                    <w14:schemeClr w14:val="tx1"/>
                  </w14:solidFill>
                </w14:textFill>
              </w:rPr>
              <w:t>1</w:t>
            </w:r>
          </w:p>
        </w:tc>
        <w:tc>
          <w:tcPr>
            <w:tcW w:w="738" w:type="dxa"/>
            <w:vAlign w:val="center"/>
          </w:tcPr>
          <w:p w14:paraId="43482A4D">
            <w:pPr>
              <w:pStyle w:val="13"/>
              <w:ind w:firstLine="0"/>
              <w:jc w:val="center"/>
              <w:rPr>
                <w:rFonts w:ascii="仿宋_GB2312" w:hAnsi="仿宋" w:eastAsia="仿宋_GB2312"/>
                <w:bCs/>
                <w:color w:val="000000" w:themeColor="text1"/>
                <w:sz w:val="24"/>
                <w:szCs w:val="24"/>
                <w:highlight w:val="none"/>
                <w14:textFill>
                  <w14:solidFill>
                    <w14:schemeClr w14:val="tx1"/>
                  </w14:solidFill>
                </w14:textFill>
              </w:rPr>
            </w:pPr>
            <w:r>
              <w:rPr>
                <w:rFonts w:hint="eastAsia" w:ascii="仿宋_GB2312" w:hAnsi="仿宋" w:eastAsia="仿宋_GB2312"/>
                <w:bCs/>
                <w:color w:val="000000" w:themeColor="text1"/>
                <w:sz w:val="24"/>
                <w:szCs w:val="24"/>
                <w:highlight w:val="none"/>
                <w14:textFill>
                  <w14:solidFill>
                    <w14:schemeClr w14:val="tx1"/>
                  </w14:solidFill>
                </w14:textFill>
              </w:rPr>
              <w:t>价格</w:t>
            </w:r>
          </w:p>
        </w:tc>
        <w:tc>
          <w:tcPr>
            <w:tcW w:w="1134" w:type="dxa"/>
            <w:vAlign w:val="center"/>
          </w:tcPr>
          <w:p w14:paraId="698A4955">
            <w:pPr>
              <w:pStyle w:val="13"/>
              <w:ind w:firstLine="0"/>
              <w:jc w:val="center"/>
              <w:rPr>
                <w:rFonts w:ascii="仿宋_GB2312" w:hAnsi="仿宋" w:eastAsia="仿宋_GB2312"/>
                <w:bCs/>
                <w:color w:val="000000" w:themeColor="text1"/>
                <w:sz w:val="24"/>
                <w:szCs w:val="24"/>
                <w:highlight w:val="none"/>
                <w14:textFill>
                  <w14:solidFill>
                    <w14:schemeClr w14:val="tx1"/>
                  </w14:solidFill>
                </w14:textFill>
              </w:rPr>
            </w:pPr>
            <w:r>
              <w:rPr>
                <w:rFonts w:hint="eastAsia" w:ascii="仿宋_GB2312" w:hAnsi="仿宋" w:eastAsia="仿宋_GB2312"/>
                <w:bCs/>
                <w:color w:val="000000" w:themeColor="text1"/>
                <w:sz w:val="24"/>
                <w:szCs w:val="24"/>
                <w:highlight w:val="none"/>
                <w14:textFill>
                  <w14:solidFill>
                    <w14:schemeClr w14:val="tx1"/>
                  </w14:solidFill>
                </w14:textFill>
              </w:rPr>
              <w:t>价格分</w:t>
            </w:r>
          </w:p>
        </w:tc>
        <w:tc>
          <w:tcPr>
            <w:tcW w:w="5256" w:type="dxa"/>
            <w:vAlign w:val="center"/>
          </w:tcPr>
          <w:p w14:paraId="4E34A216">
            <w:pPr>
              <w:pStyle w:val="13"/>
              <w:ind w:firstLine="0"/>
              <w:rPr>
                <w:rFonts w:ascii="仿宋_GB2312" w:hAnsi="仿宋" w:eastAsia="仿宋_GB2312"/>
                <w:bCs/>
                <w:color w:val="000000" w:themeColor="text1"/>
                <w:sz w:val="24"/>
                <w:szCs w:val="24"/>
                <w:highlight w:val="none"/>
                <w14:textFill>
                  <w14:solidFill>
                    <w14:schemeClr w14:val="tx1"/>
                  </w14:solidFill>
                </w14:textFill>
              </w:rPr>
            </w:pPr>
            <w:r>
              <w:rPr>
                <w:rFonts w:hint="eastAsia" w:ascii="仿宋_GB2312" w:hAnsi="仿宋" w:eastAsia="仿宋_GB2312"/>
                <w:bCs/>
                <w:color w:val="000000" w:themeColor="text1"/>
                <w:sz w:val="24"/>
                <w:szCs w:val="24"/>
                <w:highlight w:val="none"/>
                <w14:textFill>
                  <w14:solidFill>
                    <w14:schemeClr w14:val="tx1"/>
                  </w14:solidFill>
                </w14:textFill>
              </w:rPr>
              <w:t>满足招标文件要求且投标价格最低的投标报价为评标基准价，其价格分为满分（标准分）。其他投标人的价格分统一按照下列公式计算：投标报价得分=(评标基准价／投标报价)×</w:t>
            </w: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1</w:t>
            </w:r>
            <w:r>
              <w:rPr>
                <w:rFonts w:hint="eastAsia" w:ascii="仿宋_GB2312" w:hAnsi="仿宋" w:eastAsia="仿宋_GB2312"/>
                <w:bCs/>
                <w:color w:val="000000" w:themeColor="text1"/>
                <w:sz w:val="24"/>
                <w:szCs w:val="24"/>
                <w:highlight w:val="none"/>
                <w14:textFill>
                  <w14:solidFill>
                    <w14:schemeClr w14:val="tx1"/>
                  </w14:solidFill>
                </w14:textFill>
              </w:rPr>
              <w:t>0。</w:t>
            </w:r>
          </w:p>
        </w:tc>
        <w:tc>
          <w:tcPr>
            <w:tcW w:w="1026" w:type="dxa"/>
            <w:vAlign w:val="center"/>
          </w:tcPr>
          <w:p w14:paraId="01D80C2C">
            <w:pPr>
              <w:pStyle w:val="13"/>
              <w:ind w:firstLine="0"/>
              <w:jc w:val="center"/>
              <w:rPr>
                <w:rFonts w:ascii="仿宋_GB2312" w:hAnsi="仿宋" w:eastAsia="仿宋_GB2312"/>
                <w:bCs/>
                <w:color w:val="000000" w:themeColor="text1"/>
                <w:sz w:val="24"/>
                <w:szCs w:val="24"/>
                <w:highlight w:val="none"/>
                <w14:textFill>
                  <w14:solidFill>
                    <w14:schemeClr w14:val="tx1"/>
                  </w14:solidFill>
                </w14:textFill>
              </w:rPr>
            </w:pPr>
            <w:r>
              <w:rPr>
                <w:rFonts w:hint="eastAsia" w:ascii="仿宋_GB2312" w:hAnsi="仿宋" w:eastAsia="仿宋_GB2312"/>
                <w:bCs/>
                <w:color w:val="000000" w:themeColor="text1"/>
                <w:sz w:val="24"/>
                <w:szCs w:val="24"/>
                <w:highlight w:val="none"/>
                <w14:textFill>
                  <w14:solidFill>
                    <w14:schemeClr w14:val="tx1"/>
                  </w14:solidFill>
                </w14:textFill>
              </w:rPr>
              <w:t>系统分</w:t>
            </w:r>
          </w:p>
        </w:tc>
        <w:tc>
          <w:tcPr>
            <w:tcW w:w="773" w:type="dxa"/>
            <w:vAlign w:val="center"/>
          </w:tcPr>
          <w:p w14:paraId="59742F6F">
            <w:pPr>
              <w:pStyle w:val="13"/>
              <w:ind w:firstLine="0"/>
              <w:jc w:val="center"/>
              <w:rPr>
                <w:rFonts w:ascii="仿宋_GB2312" w:hAnsi="仿宋" w:eastAsia="仿宋_GB2312"/>
                <w:bCs/>
                <w:color w:val="000000" w:themeColor="text1"/>
                <w:sz w:val="24"/>
                <w:szCs w:val="24"/>
                <w:highlight w:val="none"/>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1</w:t>
            </w:r>
            <w:r>
              <w:rPr>
                <w:rFonts w:hint="eastAsia" w:ascii="仿宋_GB2312" w:hAnsi="仿宋" w:eastAsia="仿宋_GB2312"/>
                <w:bCs/>
                <w:color w:val="000000" w:themeColor="text1"/>
                <w:sz w:val="24"/>
                <w:szCs w:val="24"/>
                <w:highlight w:val="none"/>
                <w14:textFill>
                  <w14:solidFill>
                    <w14:schemeClr w14:val="tx1"/>
                  </w14:solidFill>
                </w14:textFill>
              </w:rPr>
              <w:t>0.00</w:t>
            </w:r>
          </w:p>
        </w:tc>
      </w:tr>
      <w:tr w14:paraId="72B803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vAlign w:val="center"/>
          </w:tcPr>
          <w:p w14:paraId="4E0C4AB3">
            <w:pPr>
              <w:pStyle w:val="13"/>
              <w:ind w:firstLine="0"/>
              <w:jc w:val="center"/>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2</w:t>
            </w:r>
          </w:p>
        </w:tc>
        <w:tc>
          <w:tcPr>
            <w:tcW w:w="738" w:type="dxa"/>
            <w:vAlign w:val="center"/>
          </w:tcPr>
          <w:p w14:paraId="1A06965B">
            <w:pPr>
              <w:pStyle w:val="13"/>
              <w:ind w:firstLine="0"/>
              <w:jc w:val="center"/>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技术</w:t>
            </w:r>
          </w:p>
        </w:tc>
        <w:tc>
          <w:tcPr>
            <w:tcW w:w="1134" w:type="dxa"/>
            <w:vAlign w:val="center"/>
          </w:tcPr>
          <w:p w14:paraId="3C2BB254">
            <w:pPr>
              <w:pStyle w:val="13"/>
              <w:ind w:firstLine="0"/>
              <w:jc w:val="center"/>
              <w:rPr>
                <w:rFonts w:hint="eastAsia" w:ascii="仿宋_GB2312" w:hAnsi="仿宋" w:eastAsia="仿宋_GB2312"/>
                <w:bCs/>
                <w:color w:val="000000" w:themeColor="text1"/>
                <w:sz w:val="24"/>
                <w:szCs w:val="24"/>
                <w:highlight w:val="none"/>
                <w14:textFill>
                  <w14:solidFill>
                    <w14:schemeClr w14:val="tx1"/>
                  </w14:solidFill>
                </w14:textFill>
              </w:rPr>
            </w:pPr>
            <w:r>
              <w:rPr>
                <w:rFonts w:hint="eastAsia" w:ascii="仿宋_GB2312" w:hAnsi="仿宋" w:eastAsia="仿宋_GB2312"/>
                <w:bCs/>
                <w:color w:val="000000" w:themeColor="text1"/>
                <w:sz w:val="24"/>
                <w:szCs w:val="24"/>
                <w:highlight w:val="none"/>
                <w14:textFill>
                  <w14:solidFill>
                    <w14:schemeClr w14:val="tx1"/>
                  </w14:solidFill>
                </w14:textFill>
              </w:rPr>
              <w:t>系统开发方案</w:t>
            </w:r>
          </w:p>
        </w:tc>
        <w:tc>
          <w:tcPr>
            <w:tcW w:w="5256" w:type="dxa"/>
            <w:vAlign w:val="center"/>
          </w:tcPr>
          <w:p w14:paraId="4DDBF394">
            <w:pPr>
              <w:pStyle w:val="13"/>
              <w:ind w:firstLine="0"/>
              <w:jc w:val="left"/>
              <w:rPr>
                <w:rFonts w:hint="eastAsia" w:ascii="仿宋_GB2312" w:hAnsi="Times New Roman" w:eastAsia="仿宋_GB2312"/>
                <w:bCs/>
                <w:color w:val="000000" w:themeColor="text1"/>
                <w:sz w:val="24"/>
                <w:szCs w:val="24"/>
                <w:highlight w:val="none"/>
                <w14:textFill>
                  <w14:solidFill>
                    <w14:schemeClr w14:val="tx1"/>
                  </w14:solidFill>
                </w14:textFill>
              </w:rPr>
            </w:pPr>
            <w:r>
              <w:rPr>
                <w:rFonts w:hint="eastAsia" w:ascii="仿宋_GB2312" w:hAnsi="Times New Roman" w:eastAsia="仿宋_GB2312"/>
                <w:bCs/>
                <w:color w:val="000000" w:themeColor="text1"/>
                <w:sz w:val="24"/>
                <w:szCs w:val="24"/>
                <w:highlight w:val="none"/>
                <w14:textFill>
                  <w14:solidFill>
                    <w14:schemeClr w14:val="tx1"/>
                  </w14:solidFill>
                </w14:textFill>
              </w:rPr>
              <w:t>由评委审核各投标人的投标文件后根据以下标准进行打分：</w:t>
            </w:r>
          </w:p>
          <w:p w14:paraId="4EEE4365">
            <w:pPr>
              <w:pStyle w:val="13"/>
              <w:ind w:firstLine="0"/>
              <w:jc w:val="left"/>
              <w:rPr>
                <w:rFonts w:hint="eastAsia" w:ascii="仿宋_GB2312" w:hAnsi="Times New Roman" w:eastAsia="仿宋_GB2312"/>
                <w:bCs/>
                <w:color w:val="000000" w:themeColor="text1"/>
                <w:sz w:val="24"/>
                <w:szCs w:val="24"/>
                <w:highlight w:val="none"/>
                <w:lang w:val="en-US" w:eastAsia="zh-CN"/>
                <w14:textFill>
                  <w14:solidFill>
                    <w14:schemeClr w14:val="tx1"/>
                  </w14:solidFill>
                </w14:textFill>
              </w:rPr>
            </w:pPr>
            <w:r>
              <w:rPr>
                <w:rFonts w:hint="eastAsia" w:ascii="仿宋_GB2312" w:hAnsi="Times New Roman" w:eastAsia="仿宋_GB2312"/>
                <w:bCs/>
                <w:color w:val="000000" w:themeColor="text1"/>
                <w:sz w:val="24"/>
                <w:szCs w:val="24"/>
                <w:highlight w:val="none"/>
                <w14:textFill>
                  <w14:solidFill>
                    <w14:schemeClr w14:val="tx1"/>
                  </w14:solidFill>
                </w14:textFill>
              </w:rPr>
              <w:t>1</w:t>
            </w:r>
            <w:r>
              <w:rPr>
                <w:rFonts w:hint="eastAsia" w:ascii="仿宋_GB2312" w:hAnsi="Times New Roman" w:eastAsia="仿宋_GB2312"/>
                <w:bCs/>
                <w:color w:val="000000" w:themeColor="text1"/>
                <w:sz w:val="24"/>
                <w:szCs w:val="24"/>
                <w:highlight w:val="none"/>
                <w:lang w:val="en-US" w:eastAsia="zh-CN"/>
                <w14:textFill>
                  <w14:solidFill>
                    <w14:schemeClr w14:val="tx1"/>
                  </w14:solidFill>
                </w14:textFill>
              </w:rPr>
              <w:t>.投标人的系统开发方案对采购人的要求理解准确，切实可行，能够透彻理解并全面分析本项目所需各系统的业务场景、功能边界与技术要求，精准识别核心需求与潜在风险。</w:t>
            </w:r>
          </w:p>
          <w:p w14:paraId="348E1081">
            <w:pPr>
              <w:pStyle w:val="13"/>
              <w:ind w:firstLine="0"/>
              <w:jc w:val="left"/>
              <w:rPr>
                <w:rFonts w:hint="eastAsia" w:ascii="仿宋_GB2312" w:hAnsi="Times New Roman" w:eastAsia="仿宋_GB2312"/>
                <w:bCs/>
                <w:color w:val="000000" w:themeColor="text1"/>
                <w:sz w:val="24"/>
                <w:szCs w:val="24"/>
                <w:highlight w:val="none"/>
                <w:lang w:val="en-US" w:eastAsia="zh-CN"/>
                <w14:textFill>
                  <w14:solidFill>
                    <w14:schemeClr w14:val="tx1"/>
                  </w14:solidFill>
                </w14:textFill>
              </w:rPr>
            </w:pPr>
            <w:r>
              <w:rPr>
                <w:rFonts w:hint="eastAsia" w:ascii="仿宋_GB2312" w:hAnsi="Times New Roman" w:eastAsia="仿宋_GB2312"/>
                <w:bCs/>
                <w:color w:val="000000" w:themeColor="text1"/>
                <w:sz w:val="24"/>
                <w:szCs w:val="24"/>
                <w:highlight w:val="none"/>
                <w:lang w:val="en-US" w:eastAsia="zh-CN"/>
                <w14:textFill>
                  <w14:solidFill>
                    <w14:schemeClr w14:val="tx1"/>
                  </w14:solidFill>
                </w14:textFill>
              </w:rPr>
              <w:t>2.投标人的系统开发方案内容齐全、结构完整、逻辑清晰，功能模块划分清晰，完整覆盖本项目各系统的建设目标、实施路径、技术架构与交付标准，且表述严谨、条理分明。</w:t>
            </w:r>
          </w:p>
          <w:p w14:paraId="47FBB991">
            <w:pPr>
              <w:pStyle w:val="13"/>
              <w:ind w:firstLine="0"/>
              <w:jc w:val="left"/>
              <w:rPr>
                <w:rFonts w:hint="eastAsia" w:ascii="仿宋_GB2312" w:hAnsi="Times New Roman" w:eastAsia="仿宋_GB2312"/>
                <w:bCs/>
                <w:color w:val="000000" w:themeColor="text1"/>
                <w:sz w:val="24"/>
                <w:szCs w:val="24"/>
                <w:highlight w:val="none"/>
                <w:lang w:val="en-US" w:eastAsia="zh-CN"/>
                <w14:textFill>
                  <w14:solidFill>
                    <w14:schemeClr w14:val="tx1"/>
                  </w14:solidFill>
                </w14:textFill>
              </w:rPr>
            </w:pPr>
            <w:r>
              <w:rPr>
                <w:rFonts w:hint="eastAsia" w:ascii="仿宋_GB2312" w:hAnsi="Times New Roman" w:eastAsia="仿宋_GB2312"/>
                <w:bCs/>
                <w:color w:val="000000" w:themeColor="text1"/>
                <w:sz w:val="24"/>
                <w:szCs w:val="24"/>
                <w:highlight w:val="none"/>
                <w:lang w:val="en-US" w:eastAsia="zh-CN"/>
                <w14:textFill>
                  <w14:solidFill>
                    <w14:schemeClr w14:val="tx1"/>
                  </w14:solidFill>
                </w14:textFill>
              </w:rPr>
              <w:t>3.投标人的系统开发方案能够充分满足系统的实用性、先进性与规范性要求，同时配套硬件设施配置完善、参数达标，可完全支撑系统稳定运行并满足采购需求。</w:t>
            </w:r>
          </w:p>
          <w:p w14:paraId="512D99CD">
            <w:pPr>
              <w:pStyle w:val="13"/>
              <w:ind w:firstLine="0"/>
              <w:jc w:val="left"/>
              <w:rPr>
                <w:rFonts w:hint="default" w:ascii="仿宋_GB2312" w:hAnsi="Times New Roman" w:eastAsia="仿宋_GB2312"/>
                <w:bCs/>
                <w:color w:val="000000" w:themeColor="text1"/>
                <w:sz w:val="24"/>
                <w:szCs w:val="24"/>
                <w:highlight w:val="none"/>
                <w:lang w:val="en-US" w:eastAsia="zh-CN"/>
                <w14:textFill>
                  <w14:solidFill>
                    <w14:schemeClr w14:val="tx1"/>
                  </w14:solidFill>
                </w14:textFill>
              </w:rPr>
            </w:pPr>
            <w:r>
              <w:rPr>
                <w:rFonts w:hint="eastAsia" w:ascii="仿宋_GB2312" w:hAnsi="Times New Roman" w:eastAsia="仿宋_GB2312"/>
                <w:bCs/>
                <w:color w:val="000000" w:themeColor="text1"/>
                <w:sz w:val="24"/>
                <w:szCs w:val="24"/>
                <w:highlight w:val="none"/>
                <w:lang w:val="en-US" w:eastAsia="zh-CN"/>
                <w14:textFill>
                  <w14:solidFill>
                    <w14:schemeClr w14:val="tx1"/>
                  </w14:solidFill>
                </w14:textFill>
              </w:rPr>
              <w:t>4.投标人所开发的系统兼容性能良好，能够与采购人现有平台、数据标准及第三方业务系统实现无缝对接，且在架构设计、数据处理或扩展能力等方面具备独到技术优势。</w:t>
            </w:r>
          </w:p>
          <w:p w14:paraId="4751B182">
            <w:pPr>
              <w:pStyle w:val="13"/>
              <w:ind w:firstLine="0"/>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共计3项，每项满分8分，在此基础上每有一处瑕疵减1分，减完为止。缺条项，该项不得分。</w:t>
            </w:r>
          </w:p>
          <w:p w14:paraId="1837EE7D">
            <w:pPr>
              <w:pStyle w:val="13"/>
              <w:ind w:firstLine="0"/>
              <w:rPr>
                <w:rFonts w:hint="eastAsia" w:ascii="仿宋_GB2312" w:hAnsi="仿宋" w:eastAsia="仿宋_GB2312"/>
                <w:bCs/>
                <w:color w:val="000000" w:themeColor="text1"/>
                <w:sz w:val="24"/>
                <w:szCs w:val="24"/>
                <w:highlight w:val="none"/>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注：瑕疵指内容凭空编造、存在无关的事项、内容不全面、套用其他项目方案、规范标准错误、项目地点错误、内容粗略、存在不可能实现的夸大情形。</w:t>
            </w:r>
          </w:p>
        </w:tc>
        <w:tc>
          <w:tcPr>
            <w:tcW w:w="1026" w:type="dxa"/>
            <w:vAlign w:val="center"/>
          </w:tcPr>
          <w:p w14:paraId="554659A4">
            <w:pPr>
              <w:pStyle w:val="13"/>
              <w:ind w:firstLine="0"/>
              <w:jc w:val="center"/>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主观分</w:t>
            </w:r>
          </w:p>
        </w:tc>
        <w:tc>
          <w:tcPr>
            <w:tcW w:w="773" w:type="dxa"/>
            <w:vAlign w:val="center"/>
          </w:tcPr>
          <w:p w14:paraId="3D28FC9B">
            <w:pPr>
              <w:pStyle w:val="13"/>
              <w:ind w:firstLine="0"/>
              <w:jc w:val="center"/>
              <w:rPr>
                <w:rFonts w:hint="default"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24.00</w:t>
            </w:r>
          </w:p>
        </w:tc>
      </w:tr>
      <w:tr w14:paraId="33B180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vAlign w:val="center"/>
          </w:tcPr>
          <w:p w14:paraId="14B4182A">
            <w:pPr>
              <w:pStyle w:val="13"/>
              <w:ind w:firstLine="0"/>
              <w:jc w:val="center"/>
              <w:rPr>
                <w:rFonts w:hint="default"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3</w:t>
            </w:r>
          </w:p>
        </w:tc>
        <w:tc>
          <w:tcPr>
            <w:tcW w:w="738" w:type="dxa"/>
            <w:vAlign w:val="center"/>
          </w:tcPr>
          <w:p w14:paraId="6A229646">
            <w:pPr>
              <w:pStyle w:val="13"/>
              <w:ind w:firstLine="0"/>
              <w:jc w:val="center"/>
              <w:rPr>
                <w:rFonts w:hint="default"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技术</w:t>
            </w:r>
          </w:p>
        </w:tc>
        <w:tc>
          <w:tcPr>
            <w:tcW w:w="1134" w:type="dxa"/>
            <w:vAlign w:val="center"/>
          </w:tcPr>
          <w:p w14:paraId="0325AB60">
            <w:pPr>
              <w:pStyle w:val="13"/>
              <w:ind w:firstLine="0"/>
              <w:jc w:val="center"/>
              <w:rPr>
                <w:rFonts w:hint="eastAsia" w:ascii="仿宋_GB2312" w:hAnsi="仿宋" w:eastAsia="仿宋_GB2312"/>
                <w:bCs/>
                <w:color w:val="000000" w:themeColor="text1"/>
                <w:sz w:val="24"/>
                <w:szCs w:val="24"/>
                <w:highlight w:val="none"/>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项目实施方案</w:t>
            </w:r>
          </w:p>
        </w:tc>
        <w:tc>
          <w:tcPr>
            <w:tcW w:w="5256" w:type="dxa"/>
            <w:vAlign w:val="center"/>
          </w:tcPr>
          <w:p w14:paraId="043E9074">
            <w:pPr>
              <w:pStyle w:val="13"/>
              <w:ind w:firstLine="0"/>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根据投标人提供的项目组织实施方案按照以下标准进行打分：</w:t>
            </w:r>
          </w:p>
          <w:p w14:paraId="12B61C34">
            <w:pPr>
              <w:pStyle w:val="13"/>
              <w:ind w:firstLine="0"/>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①安装调试方案流程清晰、步骤完整、可落地性强。</w:t>
            </w:r>
          </w:p>
          <w:p w14:paraId="0790238E">
            <w:pPr>
              <w:pStyle w:val="13"/>
              <w:ind w:firstLine="0"/>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②试运行方案阶段划分合理、监测机制完善、能有效验证系统稳定性。</w:t>
            </w:r>
          </w:p>
          <w:p w14:paraId="70217C7F">
            <w:pPr>
              <w:pStyle w:val="13"/>
              <w:ind w:firstLine="0"/>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③测试方案场景覆盖全面、标准明确、能完整验证系统功能性能。</w:t>
            </w:r>
          </w:p>
          <w:p w14:paraId="285651C9">
            <w:pPr>
              <w:pStyle w:val="13"/>
              <w:ind w:firstLine="0"/>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④实施进度计划节点清晰、路径合理、能保障按期交付。</w:t>
            </w:r>
          </w:p>
          <w:p w14:paraId="17092D1A">
            <w:pPr>
              <w:pStyle w:val="13"/>
              <w:ind w:firstLine="0"/>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⑤实施过程和步骤阶段衔接顺畅、关键环节管控到位。</w:t>
            </w:r>
          </w:p>
          <w:p w14:paraId="6F1E2E31">
            <w:pPr>
              <w:pStyle w:val="13"/>
              <w:ind w:firstLine="0"/>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⑥投标人项目质量保证措施完整、可行、具有针对性。</w:t>
            </w:r>
          </w:p>
          <w:p w14:paraId="1ABBE808">
            <w:pPr>
              <w:pStyle w:val="13"/>
              <w:ind w:firstLine="0"/>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⑦配备的专职培训人员或讲师，制定详细的培训计划，进行现场培训并免费提供相关培训资料，培训内容完备、安排合理，对培训实行效果跟踪。</w:t>
            </w:r>
          </w:p>
          <w:p w14:paraId="38E09D11">
            <w:pPr>
              <w:pStyle w:val="13"/>
              <w:ind w:firstLine="0"/>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共计7项，每项内容具有科学性、合理性、规范性和可操作性得满分3分，在此基础上每有一处描述不清或瑕疵减1分，减完为止。缺条项该项不得分。</w:t>
            </w:r>
          </w:p>
        </w:tc>
        <w:tc>
          <w:tcPr>
            <w:tcW w:w="1026" w:type="dxa"/>
            <w:vAlign w:val="center"/>
          </w:tcPr>
          <w:p w14:paraId="34F16098">
            <w:pPr>
              <w:pStyle w:val="13"/>
              <w:ind w:firstLine="0"/>
              <w:jc w:val="center"/>
              <w:rPr>
                <w:rFonts w:hint="default"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主观分</w:t>
            </w:r>
          </w:p>
        </w:tc>
        <w:tc>
          <w:tcPr>
            <w:tcW w:w="773" w:type="dxa"/>
            <w:vAlign w:val="center"/>
          </w:tcPr>
          <w:p w14:paraId="398048CE">
            <w:pPr>
              <w:pStyle w:val="13"/>
              <w:ind w:firstLine="0"/>
              <w:jc w:val="center"/>
              <w:rPr>
                <w:rFonts w:hint="default"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21.00</w:t>
            </w:r>
          </w:p>
        </w:tc>
      </w:tr>
      <w:tr w14:paraId="64AB10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vAlign w:val="center"/>
          </w:tcPr>
          <w:p w14:paraId="3A102E7F">
            <w:pPr>
              <w:pStyle w:val="13"/>
              <w:ind w:firstLine="0"/>
              <w:jc w:val="center"/>
              <w:rPr>
                <w:rFonts w:hint="default"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4</w:t>
            </w:r>
          </w:p>
        </w:tc>
        <w:tc>
          <w:tcPr>
            <w:tcW w:w="738" w:type="dxa"/>
            <w:vAlign w:val="center"/>
          </w:tcPr>
          <w:p w14:paraId="2B15AC1E">
            <w:pPr>
              <w:pStyle w:val="13"/>
              <w:ind w:firstLine="0"/>
              <w:jc w:val="center"/>
              <w:rPr>
                <w:rFonts w:hint="default"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技术</w:t>
            </w:r>
          </w:p>
        </w:tc>
        <w:tc>
          <w:tcPr>
            <w:tcW w:w="1134" w:type="dxa"/>
            <w:vAlign w:val="center"/>
          </w:tcPr>
          <w:p w14:paraId="1CC85B43">
            <w:pPr>
              <w:pStyle w:val="13"/>
              <w:ind w:firstLine="0"/>
              <w:jc w:val="center"/>
              <w:rPr>
                <w:rFonts w:hint="default"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拟派团队</w:t>
            </w:r>
          </w:p>
        </w:tc>
        <w:tc>
          <w:tcPr>
            <w:tcW w:w="5256" w:type="dxa"/>
            <w:vAlign w:val="center"/>
          </w:tcPr>
          <w:p w14:paraId="49FB06C7">
            <w:pPr>
              <w:pStyle w:val="13"/>
              <w:spacing w:line="360" w:lineRule="exact"/>
              <w:ind w:firstLine="0"/>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根据项目拟派人员情况（包括但不限于①人员配备数量②人员架构③团队分工④从业经验⑤人员培训等）进行评审，投标人根据需求制定合理的人员配置方案，所配备的人员数量有理有据，整体人员架构合理，团队成员分工明确，执行能力强，在人员配备及数量、从业经验、资质履历等方面能够为本项目实施提供优质的服务及健全的保障，能够定期组织人员培训，培训讲师经验丰富，能够完全满足甚至优于本项目的需求。</w:t>
            </w:r>
          </w:p>
          <w:p w14:paraId="455D5444">
            <w:pPr>
              <w:pStyle w:val="13"/>
              <w:spacing w:line="360" w:lineRule="exact"/>
              <w:ind w:firstLine="0"/>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共计5项，每项满分4 分, 在此基础上每有一处描述不清或瑕疵减1分，减完为止。缺条项该项不得分。</w:t>
            </w:r>
          </w:p>
          <w:p w14:paraId="751F328A">
            <w:pPr>
              <w:pStyle w:val="13"/>
              <w:ind w:firstLine="0"/>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注：瑕疵指内容凭空编造、存在无关的事项、内容不全面、套用其他项目方案、规范标准错误、项目地点错误、内容粗略、存在不可能实现的夸大情形。</w:t>
            </w:r>
          </w:p>
        </w:tc>
        <w:tc>
          <w:tcPr>
            <w:tcW w:w="1026" w:type="dxa"/>
            <w:vAlign w:val="center"/>
          </w:tcPr>
          <w:p w14:paraId="24EC1741">
            <w:pPr>
              <w:pStyle w:val="13"/>
              <w:ind w:firstLine="0"/>
              <w:jc w:val="center"/>
              <w:rPr>
                <w:rFonts w:hint="default"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主观分</w:t>
            </w:r>
          </w:p>
        </w:tc>
        <w:tc>
          <w:tcPr>
            <w:tcW w:w="773" w:type="dxa"/>
            <w:vAlign w:val="center"/>
          </w:tcPr>
          <w:p w14:paraId="2FCC44E0">
            <w:pPr>
              <w:pStyle w:val="13"/>
              <w:ind w:firstLine="0"/>
              <w:jc w:val="center"/>
              <w:rPr>
                <w:rFonts w:hint="default"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20.00</w:t>
            </w:r>
          </w:p>
        </w:tc>
      </w:tr>
      <w:tr w14:paraId="78C2EE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vAlign w:val="center"/>
          </w:tcPr>
          <w:p w14:paraId="6E6FD2AB">
            <w:pPr>
              <w:pStyle w:val="13"/>
              <w:ind w:firstLine="0"/>
              <w:jc w:val="center"/>
              <w:rPr>
                <w:rFonts w:hint="default"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5</w:t>
            </w:r>
          </w:p>
        </w:tc>
        <w:tc>
          <w:tcPr>
            <w:tcW w:w="738" w:type="dxa"/>
            <w:vAlign w:val="center"/>
          </w:tcPr>
          <w:p w14:paraId="615699DB">
            <w:pPr>
              <w:pStyle w:val="13"/>
              <w:ind w:firstLine="0"/>
              <w:jc w:val="center"/>
              <w:rPr>
                <w:rFonts w:hint="default"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技术</w:t>
            </w:r>
          </w:p>
        </w:tc>
        <w:tc>
          <w:tcPr>
            <w:tcW w:w="1134" w:type="dxa"/>
            <w:vAlign w:val="center"/>
          </w:tcPr>
          <w:p w14:paraId="0D10F6D6">
            <w:pPr>
              <w:pStyle w:val="13"/>
              <w:spacing w:line="360" w:lineRule="exact"/>
              <w:ind w:firstLine="0" w:firstLineChars="0"/>
              <w:jc w:val="center"/>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内部管控及应急处理方案</w:t>
            </w:r>
          </w:p>
        </w:tc>
        <w:tc>
          <w:tcPr>
            <w:tcW w:w="5256" w:type="dxa"/>
            <w:vAlign w:val="center"/>
          </w:tcPr>
          <w:p w14:paraId="5D1B503B">
            <w:pPr>
              <w:pStyle w:val="13"/>
              <w:spacing w:line="360" w:lineRule="exact"/>
              <w:ind w:firstLine="0"/>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根据投标人提供的内部管控及应急处理方案按照以下标准进行打分：</w:t>
            </w:r>
          </w:p>
          <w:p w14:paraId="2BEFC565">
            <w:pPr>
              <w:pStyle w:val="13"/>
              <w:spacing w:line="360" w:lineRule="exact"/>
              <w:ind w:firstLine="0"/>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①投标人针对本项目制定完善的内部管控方案，管理和协调方法架构清晰、沟通机制健全、管控措施有效，具有完备的项目管理制度。</w:t>
            </w:r>
          </w:p>
          <w:p w14:paraId="70EB16E9">
            <w:pPr>
              <w:pStyle w:val="13"/>
              <w:spacing w:line="360" w:lineRule="exact"/>
              <w:ind w:firstLine="0"/>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②投标人应急措施方案完善，风险识别全面、突发状况考虑周全，预案针对性强、处置流程到位。</w:t>
            </w:r>
          </w:p>
          <w:p w14:paraId="509EEA46">
            <w:pPr>
              <w:pStyle w:val="13"/>
              <w:spacing w:line="360" w:lineRule="exact"/>
              <w:ind w:firstLine="0"/>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pP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共计</w:t>
            </w: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2</w:t>
            </w: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项，每项内容具有科学性、合理性、规范性和可操作性得满分</w:t>
            </w: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4</w:t>
            </w: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分，在此基础上每有一处描述不清或瑕疵减</w:t>
            </w: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1</w:t>
            </w: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分，减完为止。缺条项该项不得分。</w:t>
            </w:r>
          </w:p>
          <w:p w14:paraId="28504B5E">
            <w:pPr>
              <w:pStyle w:val="13"/>
              <w:spacing w:line="360" w:lineRule="exact"/>
              <w:ind w:firstLine="0" w:firstLineChars="0"/>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注：瑕疵指内容凭空编造、存在无关的事项、内容不全面、套用其他项目方案、规范标准错误、项目地点错误、内容粗略、存在不可能实现的夸大情形。</w:t>
            </w:r>
          </w:p>
        </w:tc>
        <w:tc>
          <w:tcPr>
            <w:tcW w:w="1026" w:type="dxa"/>
            <w:vAlign w:val="center"/>
          </w:tcPr>
          <w:p w14:paraId="33D939BF">
            <w:pPr>
              <w:pStyle w:val="13"/>
              <w:spacing w:line="360" w:lineRule="exact"/>
              <w:ind w:firstLine="0" w:firstLineChars="0"/>
              <w:jc w:val="center"/>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主观分</w:t>
            </w:r>
          </w:p>
        </w:tc>
        <w:tc>
          <w:tcPr>
            <w:tcW w:w="773" w:type="dxa"/>
            <w:vAlign w:val="center"/>
          </w:tcPr>
          <w:p w14:paraId="6C5FAF7A">
            <w:pPr>
              <w:pStyle w:val="13"/>
              <w:spacing w:line="360" w:lineRule="exact"/>
              <w:ind w:firstLine="0" w:firstLineChars="0"/>
              <w:jc w:val="center"/>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8.00</w:t>
            </w:r>
          </w:p>
        </w:tc>
      </w:tr>
      <w:tr w14:paraId="5AC6DC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vAlign w:val="center"/>
          </w:tcPr>
          <w:p w14:paraId="6CEE1E2A">
            <w:pPr>
              <w:pStyle w:val="13"/>
              <w:ind w:firstLine="0"/>
              <w:jc w:val="center"/>
              <w:rPr>
                <w:rFonts w:hint="default"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6</w:t>
            </w:r>
          </w:p>
        </w:tc>
        <w:tc>
          <w:tcPr>
            <w:tcW w:w="738" w:type="dxa"/>
            <w:vAlign w:val="center"/>
          </w:tcPr>
          <w:p w14:paraId="4CC95F51">
            <w:pPr>
              <w:pStyle w:val="13"/>
              <w:ind w:firstLine="0"/>
              <w:jc w:val="center"/>
              <w:rPr>
                <w:rFonts w:hint="default"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技术</w:t>
            </w:r>
          </w:p>
        </w:tc>
        <w:tc>
          <w:tcPr>
            <w:tcW w:w="1134" w:type="dxa"/>
            <w:vAlign w:val="center"/>
          </w:tcPr>
          <w:p w14:paraId="09C30448">
            <w:pPr>
              <w:pStyle w:val="13"/>
              <w:spacing w:line="360" w:lineRule="exact"/>
              <w:ind w:firstLine="0" w:firstLineChars="0"/>
              <w:jc w:val="center"/>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档案管理及数据保密措施</w:t>
            </w:r>
          </w:p>
        </w:tc>
        <w:tc>
          <w:tcPr>
            <w:tcW w:w="5256" w:type="dxa"/>
            <w:vAlign w:val="center"/>
          </w:tcPr>
          <w:p w14:paraId="1A4805F0">
            <w:pPr>
              <w:pStyle w:val="13"/>
              <w:spacing w:line="360" w:lineRule="exact"/>
              <w:ind w:firstLine="0" w:firstLineChars="0"/>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pP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投标人提供的档案管理及</w:t>
            </w: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数据</w:t>
            </w: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保密措施完善，科学合理，可行性强得</w:t>
            </w: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5</w:t>
            </w: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分；投标人提供的档案管理及</w:t>
            </w: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数据</w:t>
            </w: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保密措施较完善，可行性较强，但存在少量不足得</w:t>
            </w: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3</w:t>
            </w: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分；投标人提供的档案管理及</w:t>
            </w: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数据</w:t>
            </w: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保密措施简陋，不能保障采购人的数据安全，得</w:t>
            </w: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1</w:t>
            </w: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分；未提供相关说明不得分。</w:t>
            </w:r>
          </w:p>
        </w:tc>
        <w:tc>
          <w:tcPr>
            <w:tcW w:w="1026" w:type="dxa"/>
            <w:vAlign w:val="center"/>
          </w:tcPr>
          <w:p w14:paraId="3CAE849D">
            <w:pPr>
              <w:pStyle w:val="13"/>
              <w:spacing w:line="360" w:lineRule="exact"/>
              <w:ind w:firstLine="0" w:firstLineChars="0"/>
              <w:jc w:val="center"/>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主观分</w:t>
            </w:r>
          </w:p>
        </w:tc>
        <w:tc>
          <w:tcPr>
            <w:tcW w:w="773" w:type="dxa"/>
            <w:vAlign w:val="center"/>
          </w:tcPr>
          <w:p w14:paraId="500305E1">
            <w:pPr>
              <w:pStyle w:val="13"/>
              <w:spacing w:line="360" w:lineRule="exact"/>
              <w:ind w:firstLine="0" w:firstLineChars="0"/>
              <w:jc w:val="center"/>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5.00</w:t>
            </w:r>
          </w:p>
        </w:tc>
      </w:tr>
      <w:tr w14:paraId="76F609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vAlign w:val="center"/>
          </w:tcPr>
          <w:p w14:paraId="4A3881B2">
            <w:pPr>
              <w:pStyle w:val="13"/>
              <w:ind w:firstLine="0"/>
              <w:jc w:val="center"/>
              <w:rPr>
                <w:rFonts w:hint="default"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7</w:t>
            </w:r>
          </w:p>
        </w:tc>
        <w:tc>
          <w:tcPr>
            <w:tcW w:w="738" w:type="dxa"/>
            <w:vAlign w:val="center"/>
          </w:tcPr>
          <w:p w14:paraId="2316222D">
            <w:pPr>
              <w:pStyle w:val="13"/>
              <w:ind w:firstLine="0"/>
              <w:jc w:val="center"/>
              <w:rPr>
                <w:rFonts w:hint="default"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技术</w:t>
            </w:r>
          </w:p>
        </w:tc>
        <w:tc>
          <w:tcPr>
            <w:tcW w:w="1134" w:type="dxa"/>
            <w:vAlign w:val="center"/>
          </w:tcPr>
          <w:p w14:paraId="74ED6AC8">
            <w:pPr>
              <w:pStyle w:val="13"/>
              <w:spacing w:line="360" w:lineRule="exact"/>
              <w:ind w:firstLine="0" w:firstLineChars="0"/>
              <w:jc w:val="center"/>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售后服务承诺</w:t>
            </w:r>
          </w:p>
        </w:tc>
        <w:tc>
          <w:tcPr>
            <w:tcW w:w="5256" w:type="dxa"/>
            <w:vAlign w:val="center"/>
          </w:tcPr>
          <w:p w14:paraId="2E8A8D9F">
            <w:pPr>
              <w:pStyle w:val="13"/>
              <w:spacing w:line="360" w:lineRule="exact"/>
              <w:ind w:firstLine="0"/>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pP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由评委审核各投标人的售后服务方案后根据以下标准进行打分：</w:t>
            </w:r>
          </w:p>
          <w:p w14:paraId="09A34D5F">
            <w:pPr>
              <w:pStyle w:val="13"/>
              <w:spacing w:line="360" w:lineRule="exact"/>
              <w:ind w:firstLine="0"/>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①服务期内外服务响应迅速，售后服务计划合理、有针对性。</w:t>
            </w:r>
          </w:p>
          <w:p w14:paraId="6D2C306E">
            <w:pPr>
              <w:pStyle w:val="13"/>
              <w:spacing w:line="360" w:lineRule="exact"/>
              <w:ind w:firstLine="0"/>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②</w:t>
            </w: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售后服务机构技术服务人员情况，提供姓名、工作经验，人员配备充足售后服务经验丰富</w:t>
            </w: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w:t>
            </w:r>
          </w:p>
          <w:p w14:paraId="6DA3C701">
            <w:pPr>
              <w:pStyle w:val="13"/>
              <w:spacing w:line="360" w:lineRule="exact"/>
              <w:ind w:firstLine="0"/>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③关键技术向需求方开放，</w:t>
            </w: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针对</w:t>
            </w: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系统</w:t>
            </w: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的使用环境、使用频率及更新</w:t>
            </w: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升级</w:t>
            </w: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等进行回访、巡检、维护</w:t>
            </w: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w:t>
            </w:r>
          </w:p>
          <w:p w14:paraId="2ED38E36">
            <w:pPr>
              <w:pStyle w:val="13"/>
              <w:spacing w:line="360" w:lineRule="exact"/>
              <w:ind w:firstLine="0"/>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pP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共计</w:t>
            </w: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3</w:t>
            </w: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项，每项内容具有科学性、合理性、规范性和可操作性得满分</w:t>
            </w: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4</w:t>
            </w: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分，在此基础上每有一处描述不清或瑕疵减</w:t>
            </w: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1</w:t>
            </w: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分，减完为止。缺条项该项不得分。</w:t>
            </w:r>
          </w:p>
          <w:p w14:paraId="15C0DFBB">
            <w:pPr>
              <w:pStyle w:val="13"/>
              <w:spacing w:line="360" w:lineRule="exact"/>
              <w:ind w:firstLine="0" w:firstLineChars="0"/>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pP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注：瑕疵指内容凭空编造、存在无关的事项、内容不全面、套用其他项目方案、规范标准错误、项目地点错误、内容粗略、存在不可能实现的夸大情形。</w:t>
            </w:r>
          </w:p>
        </w:tc>
        <w:tc>
          <w:tcPr>
            <w:tcW w:w="1026" w:type="dxa"/>
            <w:vAlign w:val="center"/>
          </w:tcPr>
          <w:p w14:paraId="58F4B269">
            <w:pPr>
              <w:pStyle w:val="13"/>
              <w:spacing w:line="360" w:lineRule="exact"/>
              <w:ind w:firstLine="0" w:firstLineChars="0"/>
              <w:jc w:val="center"/>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主观分</w:t>
            </w:r>
          </w:p>
        </w:tc>
        <w:tc>
          <w:tcPr>
            <w:tcW w:w="773" w:type="dxa"/>
            <w:vAlign w:val="center"/>
          </w:tcPr>
          <w:p w14:paraId="3260ADA9">
            <w:pPr>
              <w:pStyle w:val="13"/>
              <w:spacing w:line="360" w:lineRule="exact"/>
              <w:ind w:firstLine="0" w:firstLineChars="0"/>
              <w:jc w:val="center"/>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12.00</w:t>
            </w:r>
          </w:p>
        </w:tc>
      </w:tr>
    </w:tbl>
    <w:p w14:paraId="28A0250D">
      <w:pPr>
        <w:spacing w:line="520" w:lineRule="exact"/>
        <w:ind w:firstLine="602" w:firstLineChars="20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b/>
          <w:bCs/>
          <w:color w:val="000000" w:themeColor="text1"/>
          <w:sz w:val="30"/>
          <w:szCs w:val="30"/>
          <w:highlight w:val="none"/>
          <w14:textFill>
            <w14:solidFill>
              <w14:schemeClr w14:val="tx1"/>
            </w14:solidFill>
          </w14:textFill>
        </w:rPr>
        <w:t>三、定标</w:t>
      </w:r>
    </w:p>
    <w:p w14:paraId="612D668D">
      <w:pPr>
        <w:spacing w:line="520" w:lineRule="exact"/>
        <w:ind w:firstLine="600" w:firstLineChars="200"/>
        <w:rPr>
          <w:rFonts w:ascii="仿宋_GB2312" w:hAnsi="仿宋" w:eastAsia="仿宋_GB2312"/>
          <w:bCs/>
          <w:color w:val="000000" w:themeColor="text1"/>
          <w:sz w:val="30"/>
          <w:szCs w:val="30"/>
          <w:highlight w:val="none"/>
          <w14:textFill>
            <w14:solidFill>
              <w14:schemeClr w14:val="tx1"/>
            </w14:solidFill>
          </w14:textFill>
        </w:rPr>
      </w:pPr>
      <w:r>
        <w:rPr>
          <w:rFonts w:hint="eastAsia" w:ascii="仿宋_GB2312" w:hAnsi="仿宋" w:eastAsia="仿宋_GB2312"/>
          <w:bCs/>
          <w:color w:val="000000" w:themeColor="text1"/>
          <w:sz w:val="30"/>
          <w:szCs w:val="30"/>
          <w:highlight w:val="none"/>
          <w14:textFill>
            <w14:solidFill>
              <w14:schemeClr w14:val="tx1"/>
            </w14:solidFill>
          </w14:textFill>
        </w:rPr>
        <w:t>1.评标委员会将综合得分排序第一的投标人确定为中标人。</w:t>
      </w:r>
    </w:p>
    <w:p w14:paraId="21B8D870">
      <w:pPr>
        <w:spacing w:line="520" w:lineRule="exact"/>
        <w:ind w:firstLine="600" w:firstLineChars="200"/>
        <w:rPr>
          <w:rFonts w:ascii="仿宋_GB2312" w:hAnsi="仿宋" w:eastAsia="仿宋_GB2312"/>
          <w:bCs/>
          <w:color w:val="000000" w:themeColor="text1"/>
          <w:sz w:val="30"/>
          <w:szCs w:val="30"/>
          <w:highlight w:val="none"/>
          <w14:textFill>
            <w14:solidFill>
              <w14:schemeClr w14:val="tx1"/>
            </w14:solidFill>
          </w14:textFill>
        </w:rPr>
      </w:pPr>
      <w:r>
        <w:rPr>
          <w:rFonts w:hint="eastAsia" w:ascii="仿宋_GB2312" w:hAnsi="仿宋" w:eastAsia="仿宋_GB2312"/>
          <w:bCs/>
          <w:color w:val="000000" w:themeColor="text1"/>
          <w:sz w:val="30"/>
          <w:szCs w:val="30"/>
          <w:highlight w:val="none"/>
          <w14:textFill>
            <w14:solidFill>
              <w14:schemeClr w14:val="tx1"/>
            </w14:solidFill>
          </w14:textFill>
        </w:rPr>
        <w:t>2.评标结果将在威海市公共资源交易网（荣成市）、中国招标投标公共服务平台上予以公告。</w:t>
      </w:r>
    </w:p>
    <w:p w14:paraId="4DADF1A4">
      <w:pPr>
        <w:spacing w:line="520" w:lineRule="exact"/>
        <w:ind w:firstLine="590" w:firstLineChars="196"/>
        <w:rPr>
          <w:rFonts w:ascii="仿宋_GB2312" w:hAnsi="宋体" w:eastAsia="仿宋_GB2312"/>
          <w:b/>
          <w:color w:val="000000" w:themeColor="text1"/>
          <w:sz w:val="30"/>
          <w:szCs w:val="30"/>
          <w:highlight w:val="none"/>
          <w14:textFill>
            <w14:solidFill>
              <w14:schemeClr w14:val="tx1"/>
            </w14:solidFill>
          </w14:textFill>
        </w:rPr>
      </w:pPr>
      <w:r>
        <w:rPr>
          <w:rFonts w:hint="eastAsia" w:ascii="仿宋_GB2312" w:hAnsi="宋体" w:eastAsia="仿宋_GB2312"/>
          <w:b/>
          <w:color w:val="000000" w:themeColor="text1"/>
          <w:sz w:val="30"/>
          <w:szCs w:val="30"/>
          <w:highlight w:val="none"/>
          <w14:textFill>
            <w14:solidFill>
              <w14:schemeClr w14:val="tx1"/>
            </w14:solidFill>
          </w14:textFill>
        </w:rPr>
        <w:t>四、编写评标报告</w:t>
      </w:r>
    </w:p>
    <w:p w14:paraId="07D15818">
      <w:pPr>
        <w:spacing w:line="520" w:lineRule="exact"/>
        <w:ind w:firstLine="588" w:firstLineChars="196"/>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依据评委评标签字的原始记录和评标结果，按照规定的内容要求编写评标报告，并由全体评委签名。</w:t>
      </w:r>
    </w:p>
    <w:p w14:paraId="3534F46B">
      <w:pPr>
        <w:pStyle w:val="24"/>
        <w:spacing w:line="520" w:lineRule="exact"/>
        <w:ind w:left="550" w:leftChars="262"/>
        <w:jc w:val="left"/>
        <w:rPr>
          <w:rFonts w:ascii="仿宋_GB2312" w:eastAsia="仿宋_GB2312"/>
          <w:b/>
          <w:color w:val="000000" w:themeColor="text1"/>
          <w:sz w:val="30"/>
          <w:szCs w:val="30"/>
          <w:highlight w:val="none"/>
          <w14:textFill>
            <w14:solidFill>
              <w14:schemeClr w14:val="tx1"/>
            </w14:solidFill>
          </w14:textFill>
        </w:rPr>
      </w:pPr>
      <w:r>
        <w:rPr>
          <w:rFonts w:hint="eastAsia" w:ascii="仿宋_GB2312" w:eastAsia="仿宋_GB2312"/>
          <w:b/>
          <w:bCs/>
          <w:color w:val="000000" w:themeColor="text1"/>
          <w:sz w:val="30"/>
          <w:szCs w:val="30"/>
          <w:highlight w:val="none"/>
          <w14:textFill>
            <w14:solidFill>
              <w14:schemeClr w14:val="tx1"/>
            </w14:solidFill>
          </w14:textFill>
        </w:rPr>
        <w:t>五、</w:t>
      </w:r>
      <w:r>
        <w:rPr>
          <w:rFonts w:hint="eastAsia" w:ascii="仿宋_GB2312" w:eastAsia="仿宋_GB2312"/>
          <w:b/>
          <w:color w:val="000000" w:themeColor="text1"/>
          <w:sz w:val="30"/>
          <w:szCs w:val="30"/>
          <w:highlight w:val="none"/>
          <w14:textFill>
            <w14:solidFill>
              <w14:schemeClr w14:val="tx1"/>
            </w14:solidFill>
          </w14:textFill>
        </w:rPr>
        <w:t>签订合同</w:t>
      </w:r>
    </w:p>
    <w:p w14:paraId="7DA0CFEA">
      <w:pPr>
        <w:pStyle w:val="24"/>
        <w:spacing w:line="520" w:lineRule="exact"/>
        <w:ind w:firstLine="588" w:firstLineChars="196"/>
        <w:jc w:val="left"/>
        <w:rPr>
          <w:rFonts w:ascii="仿宋_GB2312"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1.评标结果公告后，由采购人与招标公司联合向中标人签发中标通知书。</w:t>
      </w:r>
    </w:p>
    <w:p w14:paraId="2AA7BFFF">
      <w:pPr>
        <w:pStyle w:val="24"/>
        <w:tabs>
          <w:tab w:val="left" w:pos="0"/>
        </w:tabs>
        <w:spacing w:line="520" w:lineRule="exact"/>
        <w:ind w:firstLine="600" w:firstLineChars="20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2.中标合同原则以第六部分合同书（范本）为基础，并根据投标、答疑情况进行修改补充，自签订之日起生效。</w:t>
      </w:r>
    </w:p>
    <w:p w14:paraId="6970491C">
      <w:pPr>
        <w:spacing w:line="520" w:lineRule="exact"/>
        <w:ind w:firstLine="600" w:firstLineChars="200"/>
        <w:rPr>
          <w:rFonts w:ascii="仿宋_GB2312" w:hAnsi="宋体" w:eastAsia="仿宋_GB2312"/>
          <w:color w:val="000000" w:themeColor="text1"/>
          <w:sz w:val="30"/>
          <w:szCs w:val="30"/>
          <w:highlight w:val="none"/>
          <w14:textFill>
            <w14:solidFill>
              <w14:schemeClr w14:val="tx1"/>
            </w14:solidFill>
          </w14:textFill>
        </w:rPr>
        <w:sectPr>
          <w:pgSz w:w="11906" w:h="16838"/>
          <w:pgMar w:top="1440" w:right="1080" w:bottom="1440" w:left="1080" w:header="851" w:footer="992" w:gutter="0"/>
          <w:cols w:space="425" w:num="1"/>
          <w:docGrid w:type="lines" w:linePitch="312" w:charSpace="0"/>
        </w:sectPr>
      </w:pPr>
      <w:r>
        <w:rPr>
          <w:rFonts w:hint="eastAsia" w:ascii="仿宋_GB2312" w:hAnsi="宋体" w:eastAsia="仿宋_GB2312"/>
          <w:color w:val="000000" w:themeColor="text1"/>
          <w:sz w:val="30"/>
          <w:szCs w:val="30"/>
          <w:highlight w:val="none"/>
          <w14:textFill>
            <w14:solidFill>
              <w14:schemeClr w14:val="tx1"/>
            </w14:solidFill>
          </w14:textFill>
        </w:rPr>
        <w:t>3.中标人在规定的期限内无正当理由拒绝签订合同，取消原中标决定，与排位在中标人之后第一位的中标候选投标人签订采购合同或重新组织采购。</w:t>
      </w:r>
    </w:p>
    <w:p w14:paraId="00632E39">
      <w:pPr>
        <w:pStyle w:val="42"/>
        <w:spacing w:before="0" w:after="0" w:line="360" w:lineRule="auto"/>
        <w:ind w:firstLine="2891" w:firstLineChars="900"/>
        <w:jc w:val="both"/>
        <w:rPr>
          <w:rFonts w:ascii="宋体" w:hAnsi="宋体" w:cs="宋体"/>
          <w:color w:val="000000" w:themeColor="text1"/>
          <w:highlight w:val="none"/>
          <w14:textFill>
            <w14:solidFill>
              <w14:schemeClr w14:val="tx1"/>
            </w14:solidFill>
          </w14:textFill>
        </w:rPr>
        <w:sectPr>
          <w:headerReference r:id="rId9" w:type="even"/>
          <w:footerReference r:id="rId10" w:type="even"/>
          <w:pgSz w:w="11906" w:h="16838"/>
          <w:pgMar w:top="1440" w:right="1080" w:bottom="1440" w:left="1080" w:header="851" w:footer="992" w:gutter="0"/>
          <w:cols w:space="425" w:num="1"/>
          <w:docGrid w:type="lines" w:linePitch="312" w:charSpace="0"/>
        </w:sectPr>
      </w:pPr>
      <w:r>
        <w:rPr>
          <w:rFonts w:hint="eastAsia" w:ascii="宋体" w:hAnsi="宋体" w:cs="宋体"/>
          <w:color w:val="000000" w:themeColor="text1"/>
          <w:highlight w:val="none"/>
          <w14:textFill>
            <w14:solidFill>
              <w14:schemeClr w14:val="tx1"/>
            </w14:solidFill>
          </w14:textFill>
        </w:rPr>
        <w:t>第五章投标文件格式与要求</w:t>
      </w:r>
    </w:p>
    <w:p w14:paraId="7B70BF27">
      <w:pPr>
        <w:spacing w:before="100" w:beforeAutospacing="1" w:after="100" w:afterAutospacing="1" w:line="415" w:lineRule="auto"/>
        <w:jc w:val="center"/>
        <w:outlineLvl w:val="0"/>
        <w:rPr>
          <w:rFonts w:ascii="楷体_GB2312" w:hAnsi="宋体" w:eastAsia="楷体_GB2312" w:cs="宋体"/>
          <w:b/>
          <w:bCs/>
          <w:color w:val="000000" w:themeColor="text1"/>
          <w:sz w:val="44"/>
          <w:szCs w:val="44"/>
          <w:highlight w:val="none"/>
          <w14:textFill>
            <w14:solidFill>
              <w14:schemeClr w14:val="tx1"/>
            </w14:solidFill>
          </w14:textFill>
        </w:rPr>
        <w:sectPr>
          <w:headerReference r:id="rId11" w:type="default"/>
          <w:footerReference r:id="rId12" w:type="default"/>
          <w:pgSz w:w="11906" w:h="16838"/>
          <w:pgMar w:top="1440" w:right="1077" w:bottom="1440" w:left="1077" w:header="851" w:footer="992" w:gutter="0"/>
          <w:cols w:space="425" w:num="1"/>
          <w:vAlign w:val="center"/>
          <w:docGrid w:linePitch="312" w:charSpace="0"/>
        </w:sectPr>
      </w:pPr>
      <w:r>
        <w:rPr>
          <w:rFonts w:hint="eastAsia" w:ascii="楷体_GB2312" w:hAnsi="宋体" w:eastAsia="楷体_GB2312" w:cs="宋体"/>
          <w:b/>
          <w:bCs/>
          <w:color w:val="000000" w:themeColor="text1"/>
          <w:sz w:val="44"/>
          <w:szCs w:val="44"/>
          <w:highlight w:val="none"/>
          <w14:textFill>
            <w14:solidFill>
              <w14:schemeClr w14:val="tx1"/>
            </w14:solidFill>
          </w14:textFill>
        </w:rPr>
        <w:t xml:space="preserve">  投标（响应）文件格式</w:t>
      </w:r>
    </w:p>
    <w:p w14:paraId="2A681952">
      <w:pPr>
        <w:spacing w:line="460" w:lineRule="exact"/>
        <w:jc w:val="left"/>
        <w:rPr>
          <w:b/>
          <w:color w:val="000000" w:themeColor="text1"/>
          <w:kern w:val="0"/>
          <w:sz w:val="24"/>
          <w:highlight w:val="none"/>
          <w14:textFill>
            <w14:solidFill>
              <w14:schemeClr w14:val="tx1"/>
            </w14:solidFill>
          </w14:textFill>
        </w:rPr>
      </w:pPr>
    </w:p>
    <w:p w14:paraId="0AE8D358">
      <w:pPr>
        <w:ind w:right="2080"/>
        <w:rPr>
          <w:rFonts w:ascii="仿宋" w:hAnsi="仿宋" w:eastAsia="仿宋"/>
          <w:color w:val="000000" w:themeColor="text1"/>
          <w:sz w:val="52"/>
          <w:highlight w:val="none"/>
          <w14:textFill>
            <w14:solidFill>
              <w14:schemeClr w14:val="tx1"/>
            </w14:solidFill>
          </w14:textFill>
        </w:rPr>
      </w:pPr>
    </w:p>
    <w:p w14:paraId="69470BAF">
      <w:pPr>
        <w:pStyle w:val="24"/>
        <w:tabs>
          <w:tab w:val="left" w:pos="580"/>
        </w:tabs>
        <w:ind w:left="201" w:leftChars="50" w:hanging="96" w:hangingChars="22"/>
        <w:jc w:val="right"/>
        <w:rPr>
          <w:rFonts w:ascii="仿宋_GB2312" w:hAnsi="宋体" w:eastAsia="仿宋_GB2312"/>
          <w:bCs/>
          <w:color w:val="000000" w:themeColor="text1"/>
          <w:sz w:val="44"/>
          <w:szCs w:val="44"/>
          <w:highlight w:val="none"/>
          <w14:textFill>
            <w14:solidFill>
              <w14:schemeClr w14:val="tx1"/>
            </w14:solidFill>
          </w14:textFill>
        </w:rPr>
      </w:pPr>
    </w:p>
    <w:p w14:paraId="78F07467">
      <w:pPr>
        <w:jc w:val="center"/>
        <w:rPr>
          <w:rFonts w:ascii="仿宋_GB2312" w:hAnsi="宋体" w:eastAsia="仿宋_GB2312"/>
          <w:color w:val="000000" w:themeColor="text1"/>
          <w:sz w:val="72"/>
          <w:highlight w:val="none"/>
          <w14:textFill>
            <w14:solidFill>
              <w14:schemeClr w14:val="tx1"/>
            </w14:solidFill>
          </w14:textFill>
        </w:rPr>
      </w:pPr>
      <w:r>
        <w:rPr>
          <w:rFonts w:hint="eastAsia" w:ascii="仿宋_GB2312" w:hAnsi="宋体" w:eastAsia="仿宋_GB2312"/>
          <w:color w:val="000000" w:themeColor="text1"/>
          <w:sz w:val="52"/>
          <w:highlight w:val="none"/>
          <w14:textFill>
            <w14:solidFill>
              <w14:schemeClr w14:val="tx1"/>
            </w14:solidFill>
          </w14:textFill>
        </w:rPr>
        <w:cr/>
      </w:r>
      <w:r>
        <w:rPr>
          <w:rFonts w:hint="eastAsia" w:ascii="仿宋_GB2312" w:hAnsi="宋体" w:eastAsia="仿宋_GB2312"/>
          <w:b/>
          <w:bCs/>
          <w:color w:val="000000" w:themeColor="text1"/>
          <w:sz w:val="84"/>
          <w:highlight w:val="none"/>
          <w14:textFill>
            <w14:solidFill>
              <w14:schemeClr w14:val="tx1"/>
            </w14:solidFill>
          </w14:textFill>
        </w:rPr>
        <w:t>投 标 文 件</w:t>
      </w:r>
      <w:r>
        <w:rPr>
          <w:rFonts w:hint="eastAsia" w:ascii="仿宋_GB2312" w:hAnsi="宋体" w:eastAsia="仿宋_GB2312"/>
          <w:b/>
          <w:bCs/>
          <w:color w:val="000000" w:themeColor="text1"/>
          <w:sz w:val="84"/>
          <w:highlight w:val="none"/>
          <w14:textFill>
            <w14:solidFill>
              <w14:schemeClr w14:val="tx1"/>
            </w14:solidFill>
          </w14:textFill>
        </w:rPr>
        <w:cr/>
      </w:r>
    </w:p>
    <w:p w14:paraId="19683FD9">
      <w:pPr>
        <w:pStyle w:val="13"/>
        <w:rPr>
          <w:rFonts w:ascii="仿宋_GB2312" w:hAnsi="宋体" w:eastAsia="仿宋_GB2312"/>
          <w:color w:val="000000" w:themeColor="text1"/>
          <w:sz w:val="72"/>
          <w:highlight w:val="none"/>
          <w14:textFill>
            <w14:solidFill>
              <w14:schemeClr w14:val="tx1"/>
            </w14:solidFill>
          </w14:textFill>
        </w:rPr>
      </w:pPr>
    </w:p>
    <w:p w14:paraId="23641DCE">
      <w:pPr>
        <w:pStyle w:val="13"/>
        <w:rPr>
          <w:rFonts w:ascii="仿宋_GB2312" w:hAnsi="宋体" w:eastAsia="仿宋_GB2312"/>
          <w:color w:val="000000" w:themeColor="text1"/>
          <w:sz w:val="72"/>
          <w:highlight w:val="none"/>
          <w14:textFill>
            <w14:solidFill>
              <w14:schemeClr w14:val="tx1"/>
            </w14:solidFill>
          </w14:textFill>
        </w:rPr>
      </w:pPr>
    </w:p>
    <w:p w14:paraId="17C17093">
      <w:pPr>
        <w:ind w:left="2518" w:leftChars="1199"/>
        <w:rPr>
          <w:rFonts w:hint="eastAsia" w:ascii="仿宋_GB2312" w:hAnsi="宋体" w:eastAsia="仿宋_GB2312"/>
          <w:color w:val="000000" w:themeColor="text1"/>
          <w:sz w:val="36"/>
          <w:highlight w:val="none"/>
          <w14:textFill>
            <w14:solidFill>
              <w14:schemeClr w14:val="tx1"/>
            </w14:solidFill>
          </w14:textFill>
        </w:rPr>
      </w:pPr>
      <w:r>
        <w:rPr>
          <w:rFonts w:hint="eastAsia" w:ascii="仿宋_GB2312" w:hAnsi="宋体" w:eastAsia="仿宋_GB2312"/>
          <w:b/>
          <w:bCs/>
          <w:color w:val="000000" w:themeColor="text1"/>
          <w:sz w:val="36"/>
          <w:highlight w:val="none"/>
          <w14:textFill>
            <w14:solidFill>
              <w14:schemeClr w14:val="tx1"/>
            </w14:solidFill>
          </w14:textFill>
        </w:rPr>
        <w:t>采购项目：</w:t>
      </w:r>
      <w:r>
        <w:rPr>
          <w:rFonts w:hint="eastAsia" w:ascii="仿宋_GB2312" w:hAnsi="宋体" w:eastAsia="仿宋_GB2312"/>
          <w:color w:val="000000" w:themeColor="text1"/>
          <w:sz w:val="36"/>
          <w:highlight w:val="none"/>
          <w:lang w:val="en-US" w:eastAsia="zh-CN"/>
          <w14:textFill>
            <w14:solidFill>
              <w14:schemeClr w14:val="tx1"/>
            </w14:solidFill>
          </w14:textFill>
        </w:rPr>
        <w:t>荣成市城市数智化转型与数字生态建设</w:t>
      </w:r>
    </w:p>
    <w:p w14:paraId="62AF798C">
      <w:pPr>
        <w:ind w:left="2518" w:leftChars="1199"/>
        <w:rPr>
          <w:rFonts w:hint="eastAsia" w:ascii="仿宋_GB2312" w:hAnsi="宋体" w:eastAsia="仿宋_GB2312"/>
          <w:color w:val="000000" w:themeColor="text1"/>
          <w:sz w:val="36"/>
          <w:highlight w:val="none"/>
          <w:lang w:eastAsia="zh-CN"/>
          <w14:textFill>
            <w14:solidFill>
              <w14:schemeClr w14:val="tx1"/>
            </w14:solidFill>
          </w14:textFill>
        </w:rPr>
      </w:pPr>
      <w:r>
        <w:rPr>
          <w:rFonts w:hint="eastAsia" w:ascii="仿宋_GB2312" w:hAnsi="宋体" w:eastAsia="仿宋_GB2312"/>
          <w:b/>
          <w:bCs/>
          <w:color w:val="000000" w:themeColor="text1"/>
          <w:sz w:val="36"/>
          <w:highlight w:val="none"/>
          <w14:textFill>
            <w14:solidFill>
              <w14:schemeClr w14:val="tx1"/>
            </w14:solidFill>
          </w14:textFill>
        </w:rPr>
        <w:t>采购编号：</w:t>
      </w:r>
      <w:r>
        <w:rPr>
          <w:rFonts w:hint="eastAsia" w:ascii="仿宋_GB2312" w:hAnsi="宋体" w:eastAsia="仿宋_GB2312"/>
          <w:color w:val="000000" w:themeColor="text1"/>
          <w:sz w:val="36"/>
          <w:highlight w:val="none"/>
          <w:lang w:eastAsia="zh-CN"/>
          <w14:textFill>
            <w14:solidFill>
              <w14:schemeClr w14:val="tx1"/>
            </w14:solidFill>
          </w14:textFill>
        </w:rPr>
        <w:t>RCTDFZ2026-006</w:t>
      </w:r>
    </w:p>
    <w:p w14:paraId="1D90AF91">
      <w:pPr>
        <w:ind w:left="2518" w:leftChars="1199"/>
        <w:rPr>
          <w:rFonts w:ascii="仿宋_GB2312" w:hAnsi="宋体" w:eastAsia="仿宋_GB2312"/>
          <w:color w:val="000000" w:themeColor="text1"/>
          <w:sz w:val="36"/>
          <w:highlight w:val="none"/>
          <w14:textFill>
            <w14:solidFill>
              <w14:schemeClr w14:val="tx1"/>
            </w14:solidFill>
          </w14:textFill>
        </w:rPr>
      </w:pPr>
      <w:r>
        <w:rPr>
          <w:rFonts w:hint="eastAsia" w:ascii="仿宋_GB2312" w:hAnsi="宋体" w:eastAsia="仿宋_GB2312"/>
          <w:color w:val="000000" w:themeColor="text1"/>
          <w:sz w:val="36"/>
          <w:highlight w:val="none"/>
          <w14:textFill>
            <w14:solidFill>
              <w14:schemeClr w14:val="tx1"/>
            </w14:solidFill>
          </w14:textFill>
        </w:rPr>
        <w:t>所投包段： 　　　　　　</w:t>
      </w:r>
    </w:p>
    <w:p w14:paraId="56A421F1">
      <w:pPr>
        <w:jc w:val="left"/>
        <w:rPr>
          <w:rFonts w:ascii="仿宋_GB2312" w:hAnsi="宋体" w:eastAsia="仿宋_GB2312"/>
          <w:color w:val="000000" w:themeColor="text1"/>
          <w:sz w:val="36"/>
          <w:highlight w:val="none"/>
          <w14:textFill>
            <w14:solidFill>
              <w14:schemeClr w14:val="tx1"/>
            </w14:solidFill>
          </w14:textFill>
        </w:rPr>
      </w:pPr>
    </w:p>
    <w:p w14:paraId="2131B95B">
      <w:pPr>
        <w:pStyle w:val="13"/>
        <w:rPr>
          <w:rFonts w:ascii="仿宋_GB2312" w:hAnsi="宋体" w:eastAsia="仿宋_GB2312"/>
          <w:color w:val="000000" w:themeColor="text1"/>
          <w:sz w:val="36"/>
          <w:highlight w:val="none"/>
          <w14:textFill>
            <w14:solidFill>
              <w14:schemeClr w14:val="tx1"/>
            </w14:solidFill>
          </w14:textFill>
        </w:rPr>
      </w:pPr>
    </w:p>
    <w:p w14:paraId="2BEFDA31">
      <w:pPr>
        <w:pStyle w:val="13"/>
        <w:rPr>
          <w:rFonts w:ascii="仿宋_GB2312" w:hAnsi="宋体" w:eastAsia="仿宋_GB2312"/>
          <w:color w:val="000000" w:themeColor="text1"/>
          <w:sz w:val="36"/>
          <w:highlight w:val="none"/>
          <w14:textFill>
            <w14:solidFill>
              <w14:schemeClr w14:val="tx1"/>
            </w14:solidFill>
          </w14:textFill>
        </w:rPr>
      </w:pPr>
    </w:p>
    <w:p w14:paraId="5FA2536A">
      <w:pPr>
        <w:pStyle w:val="13"/>
        <w:rPr>
          <w:color w:val="000000" w:themeColor="text1"/>
          <w:highlight w:val="none"/>
          <w14:textFill>
            <w14:solidFill>
              <w14:schemeClr w14:val="tx1"/>
            </w14:solidFill>
          </w14:textFill>
        </w:rPr>
      </w:pPr>
    </w:p>
    <w:p w14:paraId="69F9795E">
      <w:pPr>
        <w:pStyle w:val="24"/>
        <w:tabs>
          <w:tab w:val="left" w:pos="580"/>
        </w:tabs>
        <w:ind w:left="185" w:leftChars="88" w:firstLine="2340" w:firstLineChars="650"/>
        <w:rPr>
          <w:rFonts w:ascii="仿宋_GB2312" w:hAnsi="宋体" w:eastAsia="仿宋_GB2312"/>
          <w:color w:val="000000" w:themeColor="text1"/>
          <w:sz w:val="36"/>
          <w:highlight w:val="none"/>
          <w14:textFill>
            <w14:solidFill>
              <w14:schemeClr w14:val="tx1"/>
            </w14:solidFill>
          </w14:textFill>
        </w:rPr>
      </w:pPr>
      <w:r>
        <w:rPr>
          <w:rFonts w:hint="eastAsia" w:ascii="仿宋_GB2312" w:hAnsi="宋体" w:eastAsia="仿宋_GB2312"/>
          <w:color w:val="000000" w:themeColor="text1"/>
          <w:sz w:val="36"/>
          <w:highlight w:val="none"/>
          <w14:textFill>
            <w14:solidFill>
              <w14:schemeClr w14:val="tx1"/>
            </w14:solidFill>
          </w14:textFill>
        </w:rPr>
        <w:t>投标人名称：***有限公司（加盖公章）</w:t>
      </w:r>
    </w:p>
    <w:p w14:paraId="1B63CA16">
      <w:pPr>
        <w:ind w:right="720" w:firstLine="2520" w:firstLineChars="700"/>
        <w:rPr>
          <w:rFonts w:ascii="仿宋_GB2312" w:hAnsi="宋体" w:eastAsia="仿宋_GB2312"/>
          <w:color w:val="000000" w:themeColor="text1"/>
          <w:sz w:val="36"/>
          <w:highlight w:val="none"/>
          <w14:textFill>
            <w14:solidFill>
              <w14:schemeClr w14:val="tx1"/>
            </w14:solidFill>
          </w14:textFill>
        </w:rPr>
      </w:pPr>
      <w:r>
        <w:rPr>
          <w:rFonts w:hint="eastAsia" w:ascii="仿宋_GB2312" w:hAnsi="宋体" w:eastAsia="仿宋_GB2312"/>
          <w:color w:val="000000" w:themeColor="text1"/>
          <w:sz w:val="36"/>
          <w:highlight w:val="none"/>
          <w14:textFill>
            <w14:solidFill>
              <w14:schemeClr w14:val="tx1"/>
            </w14:solidFill>
          </w14:textFill>
        </w:rPr>
        <w:t>日期：2026年  月  日</w:t>
      </w:r>
      <w:r>
        <w:rPr>
          <w:rFonts w:hint="eastAsia" w:ascii="仿宋_GB2312" w:hAnsi="宋体" w:eastAsia="仿宋_GB2312"/>
          <w:color w:val="000000" w:themeColor="text1"/>
          <w:sz w:val="36"/>
          <w:highlight w:val="none"/>
          <w14:textFill>
            <w14:solidFill>
              <w14:schemeClr w14:val="tx1"/>
            </w14:solidFill>
          </w14:textFill>
        </w:rPr>
        <w:cr/>
      </w:r>
    </w:p>
    <w:p w14:paraId="11F76751">
      <w:pPr>
        <w:ind w:right="720"/>
        <w:jc w:val="center"/>
        <w:rPr>
          <w:rFonts w:hAnsi="宋体"/>
          <w:b/>
          <w:bCs/>
          <w:color w:val="000000" w:themeColor="text1"/>
          <w:sz w:val="44"/>
          <w:szCs w:val="44"/>
          <w:highlight w:val="none"/>
          <w14:textFill>
            <w14:solidFill>
              <w14:schemeClr w14:val="tx1"/>
            </w14:solidFill>
          </w14:textFill>
        </w:rPr>
      </w:pPr>
      <w:r>
        <w:rPr>
          <w:rFonts w:hint="eastAsia" w:hAnsi="宋体"/>
          <w:b/>
          <w:color w:val="000000" w:themeColor="text1"/>
          <w:sz w:val="44"/>
          <w:szCs w:val="44"/>
          <w:highlight w:val="none"/>
          <w14:textFill>
            <w14:solidFill>
              <w14:schemeClr w14:val="tx1"/>
            </w14:solidFill>
          </w14:textFill>
        </w:rPr>
        <w:t>投标承诺函</w:t>
      </w:r>
    </w:p>
    <w:p w14:paraId="01938CBD">
      <w:pPr>
        <w:pStyle w:val="24"/>
        <w:spacing w:line="520" w:lineRule="exact"/>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山东志诚工程咨询管理有限公司：</w:t>
      </w:r>
    </w:p>
    <w:p w14:paraId="21D63435">
      <w:pPr>
        <w:pStyle w:val="24"/>
        <w:spacing w:line="520" w:lineRule="exact"/>
        <w:ind w:firstLine="600" w:firstLineChars="20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我方收到</w:t>
      </w:r>
      <w:r>
        <w:rPr>
          <w:rFonts w:hint="eastAsia" w:ascii="仿宋_GB2312" w:hAnsi="宋体" w:eastAsia="仿宋_GB2312"/>
          <w:color w:val="000000" w:themeColor="text1"/>
          <w:sz w:val="30"/>
          <w:szCs w:val="30"/>
          <w:highlight w:val="none"/>
          <w:lang w:eastAsia="zh-CN"/>
          <w14:textFill>
            <w14:solidFill>
              <w14:schemeClr w14:val="tx1"/>
            </w14:solidFill>
          </w14:textFill>
        </w:rPr>
        <w:t>RCTDFZ2026-006</w:t>
      </w:r>
      <w:r>
        <w:rPr>
          <w:rFonts w:hint="eastAsia" w:ascii="仿宋_GB2312" w:hAnsi="宋体" w:eastAsia="仿宋_GB2312"/>
          <w:color w:val="000000" w:themeColor="text1"/>
          <w:sz w:val="30"/>
          <w:szCs w:val="30"/>
          <w:highlight w:val="none"/>
          <w14:textFill>
            <w14:solidFill>
              <w14:schemeClr w14:val="tx1"/>
            </w14:solidFill>
          </w14:textFill>
        </w:rPr>
        <w:t>号招标文件，经详细研究，决定参加投标。</w:t>
      </w:r>
    </w:p>
    <w:p w14:paraId="56C339E9">
      <w:pPr>
        <w:pStyle w:val="24"/>
        <w:spacing w:line="520" w:lineRule="exact"/>
        <w:ind w:firstLine="600" w:firstLineChars="20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1.我方愿意按照招标文件的规定和要求提供货物和服务，报价详见《开标一览表》。</w:t>
      </w:r>
    </w:p>
    <w:p w14:paraId="43F14D28">
      <w:pPr>
        <w:pStyle w:val="24"/>
        <w:spacing w:line="520" w:lineRule="exact"/>
        <w:ind w:firstLine="600" w:firstLineChars="20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2.我方同意90天的投标有效期，严格遵守投标文件的各项承诺。在此期限届满之前，本投标文件始终对我方具有约束力，并随时接受中标。我方承诺在投标有效期内不修改、撤销投标文件。</w:t>
      </w:r>
    </w:p>
    <w:p w14:paraId="40158364">
      <w:pPr>
        <w:pStyle w:val="24"/>
        <w:spacing w:line="520" w:lineRule="exact"/>
        <w:ind w:firstLine="600" w:firstLineChars="20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3.我方愿意遵守招标文件的规定和要求，并提供招标文件中要求的所有资料。</w:t>
      </w:r>
    </w:p>
    <w:p w14:paraId="04AC7457">
      <w:pPr>
        <w:pStyle w:val="24"/>
        <w:spacing w:line="520" w:lineRule="exact"/>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 xml:space="preserve">    4.我方同意最低价是中标的主要选择标准，但不是唯一的选择标准。</w:t>
      </w:r>
    </w:p>
    <w:p w14:paraId="5D1951F1">
      <w:pPr>
        <w:pStyle w:val="24"/>
        <w:spacing w:line="520" w:lineRule="exact"/>
        <w:ind w:firstLine="600" w:firstLineChars="20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5.我方愿意按招标文件规定，全额交纳投标代理费。</w:t>
      </w:r>
    </w:p>
    <w:p w14:paraId="35D162B0">
      <w:pPr>
        <w:pStyle w:val="24"/>
        <w:spacing w:line="520" w:lineRule="exact"/>
        <w:ind w:firstLine="600" w:firstLineChars="200"/>
        <w:rPr>
          <w:rFonts w:ascii="仿宋_GB2312" w:hAnsi="宋体" w:eastAsia="仿宋_GB2312"/>
          <w:color w:val="000000" w:themeColor="text1"/>
          <w:sz w:val="30"/>
          <w:szCs w:val="30"/>
          <w:highlight w:val="none"/>
          <w14:textFill>
            <w14:solidFill>
              <w14:schemeClr w14:val="tx1"/>
            </w14:solidFill>
          </w14:textFill>
        </w:rPr>
      </w:pPr>
      <w:r>
        <w:rPr>
          <w:rFonts w:ascii="仿宋_GB2312" w:hAnsi="宋体" w:eastAsia="仿宋_GB2312"/>
          <w:color w:val="000000" w:themeColor="text1"/>
          <w:sz w:val="30"/>
          <w:szCs w:val="30"/>
          <w:highlight w:val="none"/>
          <w14:textFill>
            <w14:solidFill>
              <w14:schemeClr w14:val="tx1"/>
            </w14:solidFill>
          </w14:textFill>
        </w:rPr>
        <w:t>6</w:t>
      </w:r>
      <w:r>
        <w:rPr>
          <w:rFonts w:hint="eastAsia" w:ascii="仿宋_GB2312" w:hAnsi="宋体" w:eastAsia="仿宋_GB2312"/>
          <w:color w:val="000000" w:themeColor="text1"/>
          <w:sz w:val="30"/>
          <w:szCs w:val="30"/>
          <w:highlight w:val="none"/>
          <w14:textFill>
            <w14:solidFill>
              <w14:schemeClr w14:val="tx1"/>
            </w14:solidFill>
          </w14:textFill>
        </w:rPr>
        <w:t>.如果我方中标：</w:t>
      </w:r>
    </w:p>
    <w:p w14:paraId="698B1EEC">
      <w:pPr>
        <w:pStyle w:val="24"/>
        <w:spacing w:line="520" w:lineRule="exact"/>
        <w:ind w:firstLine="57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（1）我方承诺将按照招标文件的规定全额交纳代理服务费；</w:t>
      </w:r>
    </w:p>
    <w:p w14:paraId="5B596755">
      <w:pPr>
        <w:pStyle w:val="24"/>
        <w:spacing w:line="520" w:lineRule="exact"/>
        <w:ind w:firstLine="57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（2）我方承诺在中标通知书发出后，在规定期限内与招标人签订合同；</w:t>
      </w:r>
    </w:p>
    <w:p w14:paraId="719B8CB7">
      <w:pPr>
        <w:pStyle w:val="24"/>
        <w:spacing w:line="520" w:lineRule="exact"/>
        <w:ind w:firstLine="600" w:firstLineChars="20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（3）我方承诺在合同约定的期限内，按期、保质、保量完成供货安装任务。</w:t>
      </w:r>
    </w:p>
    <w:p w14:paraId="63B6D19C">
      <w:pPr>
        <w:pStyle w:val="24"/>
        <w:spacing w:line="520" w:lineRule="exact"/>
        <w:ind w:firstLine="600" w:firstLineChars="200"/>
        <w:rPr>
          <w:rFonts w:ascii="仿宋_GB2312" w:hAnsi="宋体" w:eastAsia="仿宋_GB2312"/>
          <w:color w:val="000000" w:themeColor="text1"/>
          <w:sz w:val="30"/>
          <w:szCs w:val="30"/>
          <w:highlight w:val="none"/>
          <w14:textFill>
            <w14:solidFill>
              <w14:schemeClr w14:val="tx1"/>
            </w14:solidFill>
          </w14:textFill>
        </w:rPr>
      </w:pPr>
      <w:r>
        <w:rPr>
          <w:rFonts w:ascii="仿宋_GB2312" w:hAnsi="宋体" w:eastAsia="仿宋_GB2312"/>
          <w:color w:val="000000" w:themeColor="text1"/>
          <w:sz w:val="30"/>
          <w:szCs w:val="30"/>
          <w:highlight w:val="none"/>
          <w14:textFill>
            <w14:solidFill>
              <w14:schemeClr w14:val="tx1"/>
            </w14:solidFill>
          </w14:textFill>
        </w:rPr>
        <w:t>7</w:t>
      </w:r>
      <w:r>
        <w:rPr>
          <w:rFonts w:hint="eastAsia" w:ascii="仿宋_GB2312" w:hAnsi="宋体" w:eastAsia="仿宋_GB2312"/>
          <w:color w:val="000000" w:themeColor="text1"/>
          <w:sz w:val="30"/>
          <w:szCs w:val="30"/>
          <w:highlight w:val="none"/>
          <w14:textFill>
            <w14:solidFill>
              <w14:schemeClr w14:val="tx1"/>
            </w14:solidFill>
          </w14:textFill>
        </w:rPr>
        <w:t>.所有有关本投标的函电，请按下列地址联系：</w:t>
      </w:r>
    </w:p>
    <w:p w14:paraId="69240A64">
      <w:pPr>
        <w:pStyle w:val="24"/>
        <w:spacing w:line="520" w:lineRule="exact"/>
        <w:ind w:firstLine="64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单    位：                     邮政编码：</w:t>
      </w:r>
    </w:p>
    <w:p w14:paraId="285F3BAD">
      <w:pPr>
        <w:pStyle w:val="24"/>
        <w:spacing w:line="520" w:lineRule="exact"/>
        <w:ind w:firstLine="64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地    址：                     联 系 人：</w:t>
      </w:r>
    </w:p>
    <w:p w14:paraId="52DD63C5">
      <w:pPr>
        <w:pStyle w:val="24"/>
        <w:spacing w:line="520" w:lineRule="exact"/>
        <w:ind w:firstLine="64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电    话：                     传    真：</w:t>
      </w:r>
    </w:p>
    <w:p w14:paraId="53FCAAEB">
      <w:pPr>
        <w:pStyle w:val="24"/>
        <w:spacing w:line="520" w:lineRule="exact"/>
        <w:ind w:firstLine="64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开户名称：</w:t>
      </w:r>
    </w:p>
    <w:p w14:paraId="154F0DD5">
      <w:pPr>
        <w:pStyle w:val="24"/>
        <w:spacing w:line="520" w:lineRule="exact"/>
        <w:ind w:firstLine="64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开户银行：</w:t>
      </w:r>
    </w:p>
    <w:p w14:paraId="2D73A750">
      <w:pPr>
        <w:pStyle w:val="24"/>
        <w:spacing w:line="520" w:lineRule="exact"/>
        <w:ind w:firstLine="64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开户账号：</w:t>
      </w:r>
    </w:p>
    <w:p w14:paraId="1E9ED575">
      <w:pPr>
        <w:pStyle w:val="24"/>
        <w:spacing w:line="520" w:lineRule="exact"/>
        <w:ind w:firstLine="64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 xml:space="preserve">投标人（盖章）： </w:t>
      </w:r>
    </w:p>
    <w:p w14:paraId="079E9531">
      <w:pPr>
        <w:pStyle w:val="24"/>
        <w:spacing w:line="520" w:lineRule="exact"/>
        <w:ind w:firstLine="64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法定代表人（依法登记的负责人）或被授权人（签字或盖章）：</w:t>
      </w:r>
    </w:p>
    <w:p w14:paraId="335E94F3">
      <w:pPr>
        <w:pStyle w:val="24"/>
        <w:spacing w:line="520" w:lineRule="exact"/>
        <w:ind w:firstLine="64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 xml:space="preserve">投标日期：××年××月××日 </w:t>
      </w:r>
    </w:p>
    <w:p w14:paraId="2ACD2FE3">
      <w:pPr>
        <w:pStyle w:val="24"/>
        <w:spacing w:line="520" w:lineRule="exact"/>
        <w:jc w:val="center"/>
        <w:rPr>
          <w:rFonts w:ascii="仿宋_GB2312" w:hAnsi="宋体" w:eastAsia="仿宋_GB2312"/>
          <w:b/>
          <w:bCs/>
          <w:color w:val="000000" w:themeColor="text1"/>
          <w:sz w:val="36"/>
          <w:highlight w:val="none"/>
          <w14:textFill>
            <w14:solidFill>
              <w14:schemeClr w14:val="tx1"/>
            </w14:solidFill>
          </w14:textFill>
        </w:rPr>
      </w:pPr>
    </w:p>
    <w:p w14:paraId="09CD3EF3">
      <w:pPr>
        <w:pStyle w:val="24"/>
        <w:jc w:val="right"/>
        <w:rPr>
          <w:rFonts w:ascii="仿宋_GB2312" w:hAnsi="宋体" w:eastAsia="仿宋_GB2312"/>
          <w:b/>
          <w:bCs/>
          <w:color w:val="000000" w:themeColor="text1"/>
          <w:sz w:val="28"/>
          <w:szCs w:val="28"/>
          <w:highlight w:val="none"/>
          <w14:textFill>
            <w14:solidFill>
              <w14:schemeClr w14:val="tx1"/>
            </w14:solidFill>
          </w14:textFill>
        </w:rPr>
        <w:sectPr>
          <w:headerReference r:id="rId13" w:type="default"/>
          <w:footerReference r:id="rId14" w:type="default"/>
          <w:pgSz w:w="11906" w:h="16838"/>
          <w:pgMar w:top="1418" w:right="1134" w:bottom="1134" w:left="1418" w:header="851" w:footer="992" w:gutter="0"/>
          <w:cols w:space="720" w:num="1"/>
          <w:docGrid w:type="lines" w:linePitch="520" w:charSpace="0"/>
        </w:sectPr>
      </w:pPr>
      <w:r>
        <w:rPr>
          <w:rFonts w:hint="eastAsia" w:ascii="仿宋" w:hAnsi="仿宋" w:eastAsia="仿宋"/>
          <w:color w:val="000000" w:themeColor="text1"/>
          <w:sz w:val="32"/>
          <w:szCs w:val="32"/>
          <w:highlight w:val="none"/>
          <w:u w:val="single"/>
          <w14:textFill>
            <w14:solidFill>
              <w14:schemeClr w14:val="tx1"/>
            </w14:solidFill>
          </w14:textFill>
        </w:rPr>
        <w:t xml:space="preserve">           　　　</w:t>
      </w:r>
    </w:p>
    <w:p w14:paraId="3A7E0786">
      <w:pPr>
        <w:pStyle w:val="13"/>
        <w:rPr>
          <w:color w:val="000000" w:themeColor="text1"/>
          <w:highlight w:val="none"/>
          <w14:textFill>
            <w14:solidFill>
              <w14:schemeClr w14:val="tx1"/>
            </w14:solidFill>
          </w14:textFill>
        </w:rPr>
      </w:pPr>
    </w:p>
    <w:p w14:paraId="667F3966">
      <w:pPr>
        <w:pStyle w:val="24"/>
        <w:spacing w:line="520" w:lineRule="exact"/>
        <w:jc w:val="center"/>
        <w:rPr>
          <w:rFonts w:hint="eastAsia" w:ascii="Times New Roman" w:hAnsi="Times New Roman" w:eastAsia="仿宋"/>
          <w:b/>
          <w:color w:val="000000" w:themeColor="text1"/>
          <w:sz w:val="44"/>
          <w:szCs w:val="44"/>
          <w:highlight w:val="none"/>
          <w:lang w:eastAsia="zh-CN"/>
          <w14:textFill>
            <w14:solidFill>
              <w14:schemeClr w14:val="tx1"/>
            </w14:solidFill>
          </w14:textFill>
        </w:rPr>
      </w:pPr>
      <w:r>
        <w:rPr>
          <w:rFonts w:hint="eastAsia" w:ascii="Times New Roman" w:hAnsi="Times New Roman" w:eastAsia="仿宋"/>
          <w:b/>
          <w:color w:val="000000" w:themeColor="text1"/>
          <w:sz w:val="44"/>
          <w:szCs w:val="44"/>
          <w:highlight w:val="none"/>
          <w14:textFill>
            <w14:solidFill>
              <w14:schemeClr w14:val="tx1"/>
            </w14:solidFill>
          </w14:textFill>
        </w:rPr>
        <w:t>有效的营业执照副本扫描件</w:t>
      </w:r>
      <w:r>
        <w:rPr>
          <w:rFonts w:hint="eastAsia" w:ascii="Times New Roman" w:hAnsi="Times New Roman" w:eastAsia="仿宋"/>
          <w:b/>
          <w:color w:val="000000" w:themeColor="text1"/>
          <w:sz w:val="44"/>
          <w:szCs w:val="44"/>
          <w:highlight w:val="none"/>
          <w:lang w:eastAsia="zh-CN"/>
          <w14:textFill>
            <w14:solidFill>
              <w14:schemeClr w14:val="tx1"/>
            </w14:solidFill>
          </w14:textFill>
        </w:rPr>
        <w:t>；或其他能证明具有独立承担民事责任能力的材料扫描件（银行、保险、石油石化、电力、电信等特殊行业，分公司参与投标（响应）的，须提供总公司的授权）</w:t>
      </w:r>
    </w:p>
    <w:p w14:paraId="6C630AB5">
      <w:pPr>
        <w:pStyle w:val="24"/>
        <w:spacing w:line="520" w:lineRule="exact"/>
        <w:jc w:val="center"/>
        <w:rPr>
          <w:rFonts w:hAnsi="宋体"/>
          <w:b/>
          <w:color w:val="000000" w:themeColor="text1"/>
          <w:sz w:val="44"/>
          <w:szCs w:val="44"/>
          <w:highlight w:val="none"/>
          <w14:textFill>
            <w14:solidFill>
              <w14:schemeClr w14:val="tx1"/>
            </w14:solidFill>
          </w14:textFill>
        </w:rPr>
      </w:pPr>
    </w:p>
    <w:p w14:paraId="5FF8D1F1">
      <w:pPr>
        <w:pStyle w:val="24"/>
        <w:spacing w:line="520" w:lineRule="exact"/>
        <w:jc w:val="right"/>
        <w:rPr>
          <w:rFonts w:ascii="仿宋_GB2312" w:hAnsi="宋体" w:eastAsia="仿宋_GB2312"/>
          <w:b/>
          <w:bCs/>
          <w:color w:val="000000" w:themeColor="text1"/>
          <w:sz w:val="30"/>
          <w:szCs w:val="30"/>
          <w:highlight w:val="none"/>
          <w14:textFill>
            <w14:solidFill>
              <w14:schemeClr w14:val="tx1"/>
            </w14:solidFill>
          </w14:textFill>
        </w:rPr>
      </w:pPr>
    </w:p>
    <w:p w14:paraId="038D7137">
      <w:pPr>
        <w:pStyle w:val="24"/>
        <w:spacing w:line="520" w:lineRule="exact"/>
        <w:jc w:val="right"/>
        <w:rPr>
          <w:rFonts w:ascii="仿宋_GB2312" w:hAnsi="宋体" w:eastAsia="仿宋_GB2312"/>
          <w:b/>
          <w:bCs/>
          <w:color w:val="000000" w:themeColor="text1"/>
          <w:sz w:val="30"/>
          <w:szCs w:val="30"/>
          <w:highlight w:val="none"/>
          <w14:textFill>
            <w14:solidFill>
              <w14:schemeClr w14:val="tx1"/>
            </w14:solidFill>
          </w14:textFill>
        </w:rPr>
      </w:pPr>
    </w:p>
    <w:p w14:paraId="2D9E7491">
      <w:pPr>
        <w:pStyle w:val="24"/>
        <w:spacing w:line="520" w:lineRule="exact"/>
        <w:jc w:val="right"/>
        <w:rPr>
          <w:rFonts w:ascii="仿宋_GB2312" w:hAnsi="宋体" w:eastAsia="仿宋_GB2312"/>
          <w:b/>
          <w:bCs/>
          <w:color w:val="000000" w:themeColor="text1"/>
          <w:sz w:val="30"/>
          <w:szCs w:val="30"/>
          <w:highlight w:val="none"/>
          <w14:textFill>
            <w14:solidFill>
              <w14:schemeClr w14:val="tx1"/>
            </w14:solidFill>
          </w14:textFill>
        </w:rPr>
      </w:pPr>
    </w:p>
    <w:p w14:paraId="0AB3A031">
      <w:pPr>
        <w:pStyle w:val="24"/>
        <w:spacing w:line="520" w:lineRule="exact"/>
        <w:jc w:val="right"/>
        <w:rPr>
          <w:rFonts w:ascii="仿宋_GB2312" w:hAnsi="宋体" w:eastAsia="仿宋_GB2312"/>
          <w:b/>
          <w:bCs/>
          <w:color w:val="000000" w:themeColor="text1"/>
          <w:sz w:val="30"/>
          <w:szCs w:val="30"/>
          <w:highlight w:val="none"/>
          <w14:textFill>
            <w14:solidFill>
              <w14:schemeClr w14:val="tx1"/>
            </w14:solidFill>
          </w14:textFill>
        </w:rPr>
      </w:pPr>
    </w:p>
    <w:p w14:paraId="302E0126">
      <w:pPr>
        <w:pStyle w:val="24"/>
        <w:spacing w:line="520" w:lineRule="exact"/>
        <w:jc w:val="right"/>
        <w:rPr>
          <w:rFonts w:ascii="仿宋_GB2312" w:hAnsi="宋体" w:eastAsia="仿宋_GB2312"/>
          <w:b/>
          <w:bCs/>
          <w:color w:val="000000" w:themeColor="text1"/>
          <w:sz w:val="30"/>
          <w:szCs w:val="30"/>
          <w:highlight w:val="none"/>
          <w14:textFill>
            <w14:solidFill>
              <w14:schemeClr w14:val="tx1"/>
            </w14:solidFill>
          </w14:textFill>
        </w:rPr>
      </w:pPr>
    </w:p>
    <w:p w14:paraId="5563FF85">
      <w:pPr>
        <w:pStyle w:val="24"/>
        <w:spacing w:line="520" w:lineRule="exact"/>
        <w:jc w:val="right"/>
        <w:rPr>
          <w:rFonts w:ascii="仿宋_GB2312" w:hAnsi="宋体" w:eastAsia="仿宋_GB2312"/>
          <w:b/>
          <w:bCs/>
          <w:color w:val="000000" w:themeColor="text1"/>
          <w:sz w:val="30"/>
          <w:szCs w:val="30"/>
          <w:highlight w:val="none"/>
          <w14:textFill>
            <w14:solidFill>
              <w14:schemeClr w14:val="tx1"/>
            </w14:solidFill>
          </w14:textFill>
        </w:rPr>
      </w:pPr>
    </w:p>
    <w:p w14:paraId="51F930B3">
      <w:pPr>
        <w:pStyle w:val="24"/>
        <w:spacing w:line="520" w:lineRule="exact"/>
        <w:jc w:val="right"/>
        <w:rPr>
          <w:rFonts w:ascii="仿宋_GB2312" w:hAnsi="宋体" w:eastAsia="仿宋_GB2312"/>
          <w:b/>
          <w:bCs/>
          <w:color w:val="000000" w:themeColor="text1"/>
          <w:sz w:val="30"/>
          <w:szCs w:val="30"/>
          <w:highlight w:val="none"/>
          <w14:textFill>
            <w14:solidFill>
              <w14:schemeClr w14:val="tx1"/>
            </w14:solidFill>
          </w14:textFill>
        </w:rPr>
      </w:pPr>
    </w:p>
    <w:p w14:paraId="1FD667F2">
      <w:pPr>
        <w:pStyle w:val="24"/>
        <w:spacing w:line="520" w:lineRule="exact"/>
        <w:jc w:val="right"/>
        <w:rPr>
          <w:rFonts w:ascii="仿宋_GB2312" w:hAnsi="宋体" w:eastAsia="仿宋_GB2312"/>
          <w:b/>
          <w:bCs/>
          <w:color w:val="000000" w:themeColor="text1"/>
          <w:sz w:val="30"/>
          <w:szCs w:val="30"/>
          <w:highlight w:val="none"/>
          <w14:textFill>
            <w14:solidFill>
              <w14:schemeClr w14:val="tx1"/>
            </w14:solidFill>
          </w14:textFill>
        </w:rPr>
      </w:pPr>
    </w:p>
    <w:p w14:paraId="0DD58636">
      <w:pPr>
        <w:pStyle w:val="24"/>
        <w:spacing w:line="520" w:lineRule="exact"/>
        <w:jc w:val="right"/>
        <w:rPr>
          <w:rFonts w:ascii="仿宋_GB2312" w:hAnsi="宋体" w:eastAsia="仿宋_GB2312"/>
          <w:b/>
          <w:bCs/>
          <w:color w:val="000000" w:themeColor="text1"/>
          <w:sz w:val="30"/>
          <w:szCs w:val="30"/>
          <w:highlight w:val="none"/>
          <w14:textFill>
            <w14:solidFill>
              <w14:schemeClr w14:val="tx1"/>
            </w14:solidFill>
          </w14:textFill>
        </w:rPr>
      </w:pPr>
    </w:p>
    <w:p w14:paraId="69F9D9DC">
      <w:pPr>
        <w:pStyle w:val="24"/>
        <w:spacing w:line="520" w:lineRule="exact"/>
        <w:jc w:val="right"/>
        <w:rPr>
          <w:rFonts w:ascii="仿宋_GB2312" w:hAnsi="宋体" w:eastAsia="仿宋_GB2312"/>
          <w:b/>
          <w:bCs/>
          <w:color w:val="000000" w:themeColor="text1"/>
          <w:sz w:val="30"/>
          <w:szCs w:val="30"/>
          <w:highlight w:val="none"/>
          <w14:textFill>
            <w14:solidFill>
              <w14:schemeClr w14:val="tx1"/>
            </w14:solidFill>
          </w14:textFill>
        </w:rPr>
      </w:pPr>
    </w:p>
    <w:p w14:paraId="6251D8B1">
      <w:pPr>
        <w:pStyle w:val="24"/>
        <w:spacing w:line="520" w:lineRule="exact"/>
        <w:jc w:val="right"/>
        <w:rPr>
          <w:rFonts w:ascii="仿宋_GB2312" w:hAnsi="宋体" w:eastAsia="仿宋_GB2312"/>
          <w:b/>
          <w:bCs/>
          <w:color w:val="000000" w:themeColor="text1"/>
          <w:sz w:val="30"/>
          <w:szCs w:val="30"/>
          <w:highlight w:val="none"/>
          <w14:textFill>
            <w14:solidFill>
              <w14:schemeClr w14:val="tx1"/>
            </w14:solidFill>
          </w14:textFill>
        </w:rPr>
      </w:pPr>
    </w:p>
    <w:p w14:paraId="5D27A704">
      <w:pPr>
        <w:pStyle w:val="24"/>
        <w:spacing w:line="520" w:lineRule="exact"/>
        <w:jc w:val="right"/>
        <w:rPr>
          <w:rFonts w:ascii="仿宋_GB2312" w:hAnsi="宋体" w:eastAsia="仿宋_GB2312"/>
          <w:b/>
          <w:bCs/>
          <w:color w:val="000000" w:themeColor="text1"/>
          <w:sz w:val="30"/>
          <w:szCs w:val="30"/>
          <w:highlight w:val="none"/>
          <w14:textFill>
            <w14:solidFill>
              <w14:schemeClr w14:val="tx1"/>
            </w14:solidFill>
          </w14:textFill>
        </w:rPr>
      </w:pPr>
    </w:p>
    <w:p w14:paraId="43A59FB0">
      <w:pPr>
        <w:pStyle w:val="24"/>
        <w:spacing w:line="520" w:lineRule="exact"/>
        <w:jc w:val="right"/>
        <w:rPr>
          <w:rFonts w:ascii="仿宋_GB2312" w:hAnsi="宋体" w:eastAsia="仿宋_GB2312"/>
          <w:b/>
          <w:bCs/>
          <w:color w:val="000000" w:themeColor="text1"/>
          <w:sz w:val="30"/>
          <w:szCs w:val="30"/>
          <w:highlight w:val="none"/>
          <w14:textFill>
            <w14:solidFill>
              <w14:schemeClr w14:val="tx1"/>
            </w14:solidFill>
          </w14:textFill>
        </w:rPr>
      </w:pPr>
    </w:p>
    <w:p w14:paraId="27899E61">
      <w:pPr>
        <w:pStyle w:val="24"/>
        <w:spacing w:line="520" w:lineRule="exact"/>
        <w:jc w:val="right"/>
        <w:rPr>
          <w:rFonts w:ascii="仿宋_GB2312" w:hAnsi="宋体" w:eastAsia="仿宋_GB2312"/>
          <w:b/>
          <w:bCs/>
          <w:color w:val="000000" w:themeColor="text1"/>
          <w:sz w:val="30"/>
          <w:szCs w:val="30"/>
          <w:highlight w:val="none"/>
          <w14:textFill>
            <w14:solidFill>
              <w14:schemeClr w14:val="tx1"/>
            </w14:solidFill>
          </w14:textFill>
        </w:rPr>
      </w:pPr>
    </w:p>
    <w:p w14:paraId="1C56FED0">
      <w:pPr>
        <w:pStyle w:val="24"/>
        <w:spacing w:line="520" w:lineRule="exact"/>
        <w:jc w:val="right"/>
        <w:rPr>
          <w:rFonts w:ascii="仿宋_GB2312" w:hAnsi="宋体" w:eastAsia="仿宋_GB2312"/>
          <w:b/>
          <w:bCs/>
          <w:color w:val="000000" w:themeColor="text1"/>
          <w:sz w:val="30"/>
          <w:szCs w:val="30"/>
          <w:highlight w:val="none"/>
          <w14:textFill>
            <w14:solidFill>
              <w14:schemeClr w14:val="tx1"/>
            </w14:solidFill>
          </w14:textFill>
        </w:rPr>
      </w:pPr>
    </w:p>
    <w:p w14:paraId="26ACB71D">
      <w:pPr>
        <w:pStyle w:val="24"/>
        <w:spacing w:line="520" w:lineRule="exact"/>
        <w:jc w:val="right"/>
        <w:rPr>
          <w:rFonts w:ascii="仿宋_GB2312" w:hAnsi="宋体" w:eastAsia="仿宋_GB2312"/>
          <w:b/>
          <w:bCs/>
          <w:color w:val="000000" w:themeColor="text1"/>
          <w:sz w:val="30"/>
          <w:szCs w:val="30"/>
          <w:highlight w:val="none"/>
          <w14:textFill>
            <w14:solidFill>
              <w14:schemeClr w14:val="tx1"/>
            </w14:solidFill>
          </w14:textFill>
        </w:rPr>
      </w:pPr>
    </w:p>
    <w:p w14:paraId="7818CD41">
      <w:pPr>
        <w:pStyle w:val="24"/>
        <w:spacing w:line="520" w:lineRule="exact"/>
        <w:jc w:val="right"/>
        <w:rPr>
          <w:rFonts w:ascii="仿宋_GB2312" w:hAnsi="宋体" w:eastAsia="仿宋_GB2312"/>
          <w:b/>
          <w:bCs/>
          <w:color w:val="000000" w:themeColor="text1"/>
          <w:sz w:val="30"/>
          <w:szCs w:val="30"/>
          <w:highlight w:val="none"/>
          <w14:textFill>
            <w14:solidFill>
              <w14:schemeClr w14:val="tx1"/>
            </w14:solidFill>
          </w14:textFill>
        </w:rPr>
      </w:pPr>
    </w:p>
    <w:p w14:paraId="5711B8F7">
      <w:pPr>
        <w:pStyle w:val="24"/>
        <w:spacing w:line="520" w:lineRule="exact"/>
        <w:ind w:right="600"/>
        <w:jc w:val="center"/>
        <w:rPr>
          <w:rFonts w:hint="eastAsia" w:ascii="仿宋_GB2312" w:hAnsi="宋体" w:eastAsia="仿宋_GB2312"/>
          <w:color w:val="000000" w:themeColor="text1"/>
          <w:sz w:val="30"/>
          <w:szCs w:val="30"/>
          <w:highlight w:val="none"/>
          <w14:textFill>
            <w14:solidFill>
              <w14:schemeClr w14:val="tx1"/>
            </w14:solidFill>
          </w14:textFill>
        </w:rPr>
        <w:sectPr>
          <w:pgSz w:w="11906" w:h="16838"/>
          <w:pgMar w:top="1440" w:right="1080" w:bottom="1440" w:left="1080" w:header="851" w:footer="992" w:gutter="0"/>
          <w:cols w:space="720" w:num="1"/>
          <w:docGrid w:type="lines" w:linePitch="312" w:charSpace="0"/>
        </w:sectPr>
      </w:pPr>
      <w:r>
        <w:rPr>
          <w:rFonts w:hint="eastAsia" w:ascii="仿宋_GB2312" w:hAnsi="宋体" w:eastAsia="仿宋_GB2312"/>
          <w:color w:val="000000" w:themeColor="text1"/>
          <w:sz w:val="30"/>
          <w:szCs w:val="30"/>
          <w:highlight w:val="none"/>
          <w14:textFill>
            <w14:solidFill>
              <w14:schemeClr w14:val="tx1"/>
            </w14:solidFill>
          </w14:textFill>
        </w:rPr>
        <w:t>投标人(盖章)：</w:t>
      </w:r>
    </w:p>
    <w:p w14:paraId="1B490878">
      <w:pPr>
        <w:pStyle w:val="24"/>
        <w:spacing w:line="520" w:lineRule="exact"/>
        <w:jc w:val="center"/>
        <w:rPr>
          <w:rFonts w:ascii="Times New Roman" w:hAnsi="Times New Roman" w:eastAsia="仿宋"/>
          <w:b/>
          <w:color w:val="000000" w:themeColor="text1"/>
          <w:sz w:val="44"/>
          <w:szCs w:val="44"/>
          <w:highlight w:val="none"/>
          <w14:textFill>
            <w14:solidFill>
              <w14:schemeClr w14:val="tx1"/>
            </w14:solidFill>
          </w14:textFill>
        </w:rPr>
      </w:pPr>
      <w:r>
        <w:rPr>
          <w:rFonts w:ascii="Times New Roman" w:hAnsi="Times New Roman" w:eastAsia="仿宋"/>
          <w:b/>
          <w:color w:val="000000" w:themeColor="text1"/>
          <w:sz w:val="44"/>
          <w:szCs w:val="44"/>
          <w:highlight w:val="none"/>
          <w14:textFill>
            <w14:solidFill>
              <w14:schemeClr w14:val="tx1"/>
            </w14:solidFill>
          </w14:textFill>
        </w:rPr>
        <w:t>报价明细表（参考）</w:t>
      </w:r>
    </w:p>
    <w:p w14:paraId="5E67FC5B">
      <w:pPr>
        <w:ind w:right="280"/>
        <w:jc w:val="right"/>
        <w:rPr>
          <w:rFonts w:ascii="Times New Roman" w:hAnsi="Times New Roman" w:eastAsia="仿宋"/>
          <w:bCs/>
          <w:color w:val="000000" w:themeColor="text1"/>
          <w:sz w:val="28"/>
          <w:highlight w:val="none"/>
          <w:u w:val="single"/>
          <w14:textFill>
            <w14:solidFill>
              <w14:schemeClr w14:val="tx1"/>
            </w14:solidFill>
          </w14:textFill>
        </w:rPr>
      </w:pPr>
      <w:r>
        <w:rPr>
          <w:rFonts w:ascii="Times New Roman" w:hAnsi="Times New Roman" w:eastAsia="仿宋"/>
          <w:bCs/>
          <w:color w:val="000000" w:themeColor="text1"/>
          <w:sz w:val="28"/>
          <w:highlight w:val="none"/>
          <w14:textFill>
            <w14:solidFill>
              <w14:schemeClr w14:val="tx1"/>
            </w14:solidFill>
          </w14:textFill>
        </w:rPr>
        <w:t>单位：元</w:t>
      </w:r>
    </w:p>
    <w:tbl>
      <w:tblPr>
        <w:tblStyle w:val="47"/>
        <w:tblW w:w="92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5"/>
        <w:gridCol w:w="2381"/>
        <w:gridCol w:w="1560"/>
        <w:gridCol w:w="992"/>
        <w:gridCol w:w="992"/>
        <w:gridCol w:w="992"/>
        <w:gridCol w:w="1612"/>
      </w:tblGrid>
      <w:tr w14:paraId="7D59C7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6" w:hRule="atLeast"/>
          <w:jc w:val="center"/>
        </w:trPr>
        <w:tc>
          <w:tcPr>
            <w:tcW w:w="745" w:type="dxa"/>
            <w:noWrap w:val="0"/>
            <w:vAlign w:val="center"/>
          </w:tcPr>
          <w:p w14:paraId="6A413DC3">
            <w:pPr>
              <w:pStyle w:val="24"/>
              <w:spacing w:line="440" w:lineRule="exact"/>
              <w:jc w:val="center"/>
              <w:rPr>
                <w:rFonts w:ascii="Times New Roman" w:hAnsi="Times New Roman" w:eastAsia="仿宋"/>
                <w:color w:val="000000" w:themeColor="text1"/>
                <w:sz w:val="24"/>
                <w:szCs w:val="24"/>
                <w:highlight w:val="none"/>
                <w14:textFill>
                  <w14:solidFill>
                    <w14:schemeClr w14:val="tx1"/>
                  </w14:solidFill>
                </w14:textFill>
              </w:rPr>
            </w:pPr>
            <w:r>
              <w:rPr>
                <w:rFonts w:ascii="Times New Roman" w:hAnsi="Times New Roman" w:eastAsia="仿宋"/>
                <w:color w:val="000000" w:themeColor="text1"/>
                <w:sz w:val="24"/>
                <w:szCs w:val="24"/>
                <w:highlight w:val="none"/>
                <w14:textFill>
                  <w14:solidFill>
                    <w14:schemeClr w14:val="tx1"/>
                  </w14:solidFill>
                </w14:textFill>
              </w:rPr>
              <w:t>序号</w:t>
            </w:r>
          </w:p>
        </w:tc>
        <w:tc>
          <w:tcPr>
            <w:tcW w:w="2381" w:type="dxa"/>
            <w:noWrap w:val="0"/>
            <w:vAlign w:val="center"/>
          </w:tcPr>
          <w:p w14:paraId="1495A8D4">
            <w:pPr>
              <w:pStyle w:val="24"/>
              <w:spacing w:line="440" w:lineRule="exact"/>
              <w:jc w:val="center"/>
              <w:rPr>
                <w:rFonts w:ascii="Times New Roman" w:hAnsi="Times New Roman" w:eastAsia="仿宋"/>
                <w:color w:val="000000" w:themeColor="text1"/>
                <w:sz w:val="24"/>
                <w:szCs w:val="24"/>
                <w:highlight w:val="none"/>
                <w14:textFill>
                  <w14:solidFill>
                    <w14:schemeClr w14:val="tx1"/>
                  </w14:solidFill>
                </w14:textFill>
              </w:rPr>
            </w:pPr>
            <w:r>
              <w:rPr>
                <w:rFonts w:ascii="Times New Roman" w:hAnsi="Times New Roman" w:eastAsia="仿宋"/>
                <w:color w:val="000000" w:themeColor="text1"/>
                <w:sz w:val="24"/>
                <w:szCs w:val="24"/>
                <w:highlight w:val="none"/>
                <w14:textFill>
                  <w14:solidFill>
                    <w14:schemeClr w14:val="tx1"/>
                  </w14:solidFill>
                </w14:textFill>
              </w:rPr>
              <w:t>费用构成</w:t>
            </w:r>
          </w:p>
        </w:tc>
        <w:tc>
          <w:tcPr>
            <w:tcW w:w="1560" w:type="dxa"/>
            <w:noWrap w:val="0"/>
            <w:vAlign w:val="center"/>
          </w:tcPr>
          <w:p w14:paraId="2321DFBC">
            <w:pPr>
              <w:pStyle w:val="24"/>
              <w:spacing w:line="440" w:lineRule="exact"/>
              <w:jc w:val="center"/>
              <w:rPr>
                <w:rFonts w:ascii="Times New Roman" w:hAnsi="Times New Roman" w:eastAsia="仿宋"/>
                <w:color w:val="000000" w:themeColor="text1"/>
                <w:sz w:val="24"/>
                <w:szCs w:val="24"/>
                <w:highlight w:val="none"/>
                <w14:textFill>
                  <w14:solidFill>
                    <w14:schemeClr w14:val="tx1"/>
                  </w14:solidFill>
                </w14:textFill>
              </w:rPr>
            </w:pPr>
            <w:r>
              <w:rPr>
                <w:rFonts w:ascii="Times New Roman" w:hAnsi="Times New Roman" w:eastAsia="仿宋"/>
                <w:color w:val="000000" w:themeColor="text1"/>
                <w:sz w:val="24"/>
                <w:szCs w:val="24"/>
                <w:highlight w:val="none"/>
                <w14:textFill>
                  <w14:solidFill>
                    <w14:schemeClr w14:val="tx1"/>
                  </w14:solidFill>
                </w14:textFill>
              </w:rPr>
              <w:t>费用说明</w:t>
            </w:r>
          </w:p>
        </w:tc>
        <w:tc>
          <w:tcPr>
            <w:tcW w:w="992" w:type="dxa"/>
            <w:noWrap w:val="0"/>
            <w:vAlign w:val="center"/>
          </w:tcPr>
          <w:p w14:paraId="0B1C5E74">
            <w:pPr>
              <w:pStyle w:val="24"/>
              <w:spacing w:line="440" w:lineRule="exact"/>
              <w:jc w:val="center"/>
              <w:rPr>
                <w:rFonts w:ascii="Times New Roman" w:hAnsi="Times New Roman" w:eastAsia="仿宋"/>
                <w:color w:val="000000" w:themeColor="text1"/>
                <w:sz w:val="24"/>
                <w:szCs w:val="24"/>
                <w:highlight w:val="none"/>
                <w14:textFill>
                  <w14:solidFill>
                    <w14:schemeClr w14:val="tx1"/>
                  </w14:solidFill>
                </w14:textFill>
              </w:rPr>
            </w:pPr>
            <w:r>
              <w:rPr>
                <w:rFonts w:ascii="Times New Roman" w:hAnsi="Times New Roman" w:eastAsia="仿宋"/>
                <w:color w:val="000000" w:themeColor="text1"/>
                <w:sz w:val="24"/>
                <w:szCs w:val="24"/>
                <w:highlight w:val="none"/>
                <w14:textFill>
                  <w14:solidFill>
                    <w14:schemeClr w14:val="tx1"/>
                  </w14:solidFill>
                </w14:textFill>
              </w:rPr>
              <w:t>数量</w:t>
            </w:r>
          </w:p>
        </w:tc>
        <w:tc>
          <w:tcPr>
            <w:tcW w:w="992" w:type="dxa"/>
            <w:noWrap w:val="0"/>
            <w:vAlign w:val="center"/>
          </w:tcPr>
          <w:p w14:paraId="73EDB66D">
            <w:pPr>
              <w:pStyle w:val="24"/>
              <w:spacing w:line="440" w:lineRule="exact"/>
              <w:jc w:val="center"/>
              <w:rPr>
                <w:rFonts w:ascii="Times New Roman" w:hAnsi="Times New Roman" w:eastAsia="仿宋"/>
                <w:color w:val="000000" w:themeColor="text1"/>
                <w:sz w:val="24"/>
                <w:szCs w:val="24"/>
                <w:highlight w:val="none"/>
                <w14:textFill>
                  <w14:solidFill>
                    <w14:schemeClr w14:val="tx1"/>
                  </w14:solidFill>
                </w14:textFill>
              </w:rPr>
            </w:pPr>
            <w:r>
              <w:rPr>
                <w:rFonts w:ascii="Times New Roman" w:hAnsi="Times New Roman" w:eastAsia="仿宋"/>
                <w:color w:val="000000" w:themeColor="text1"/>
                <w:sz w:val="24"/>
                <w:szCs w:val="24"/>
                <w:highlight w:val="none"/>
                <w14:textFill>
                  <w14:solidFill>
                    <w14:schemeClr w14:val="tx1"/>
                  </w14:solidFill>
                </w14:textFill>
              </w:rPr>
              <w:t>单价</w:t>
            </w:r>
          </w:p>
        </w:tc>
        <w:tc>
          <w:tcPr>
            <w:tcW w:w="992" w:type="dxa"/>
            <w:noWrap w:val="0"/>
            <w:vAlign w:val="center"/>
          </w:tcPr>
          <w:p w14:paraId="11D50B2E">
            <w:pPr>
              <w:pStyle w:val="24"/>
              <w:spacing w:line="440" w:lineRule="exact"/>
              <w:jc w:val="center"/>
              <w:rPr>
                <w:rFonts w:ascii="Times New Roman" w:hAnsi="Times New Roman" w:eastAsia="仿宋"/>
                <w:color w:val="000000" w:themeColor="text1"/>
                <w:sz w:val="24"/>
                <w:szCs w:val="24"/>
                <w:highlight w:val="none"/>
                <w14:textFill>
                  <w14:solidFill>
                    <w14:schemeClr w14:val="tx1"/>
                  </w14:solidFill>
                </w14:textFill>
              </w:rPr>
            </w:pPr>
            <w:r>
              <w:rPr>
                <w:rFonts w:ascii="Times New Roman" w:hAnsi="Times New Roman" w:eastAsia="仿宋"/>
                <w:color w:val="000000" w:themeColor="text1"/>
                <w:sz w:val="24"/>
                <w:szCs w:val="24"/>
                <w:highlight w:val="none"/>
                <w14:textFill>
                  <w14:solidFill>
                    <w14:schemeClr w14:val="tx1"/>
                  </w14:solidFill>
                </w14:textFill>
              </w:rPr>
              <w:t>合计</w:t>
            </w:r>
          </w:p>
        </w:tc>
        <w:tc>
          <w:tcPr>
            <w:tcW w:w="1612" w:type="dxa"/>
            <w:noWrap w:val="0"/>
            <w:vAlign w:val="center"/>
          </w:tcPr>
          <w:p w14:paraId="674A2765">
            <w:pPr>
              <w:pStyle w:val="24"/>
              <w:spacing w:line="440" w:lineRule="exact"/>
              <w:jc w:val="center"/>
              <w:rPr>
                <w:rFonts w:ascii="Times New Roman" w:hAnsi="Times New Roman" w:eastAsia="仿宋"/>
                <w:color w:val="000000" w:themeColor="text1"/>
                <w:sz w:val="24"/>
                <w:szCs w:val="24"/>
                <w:highlight w:val="none"/>
                <w14:textFill>
                  <w14:solidFill>
                    <w14:schemeClr w14:val="tx1"/>
                  </w14:solidFill>
                </w14:textFill>
              </w:rPr>
            </w:pPr>
            <w:r>
              <w:rPr>
                <w:rFonts w:ascii="Times New Roman" w:hAnsi="Times New Roman" w:eastAsia="仿宋"/>
                <w:color w:val="000000" w:themeColor="text1"/>
                <w:sz w:val="24"/>
                <w:szCs w:val="24"/>
                <w:highlight w:val="none"/>
                <w14:textFill>
                  <w14:solidFill>
                    <w14:schemeClr w14:val="tx1"/>
                  </w14:solidFill>
                </w14:textFill>
              </w:rPr>
              <w:t>备注</w:t>
            </w:r>
          </w:p>
        </w:tc>
      </w:tr>
      <w:tr w14:paraId="3E02F3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6" w:hRule="atLeast"/>
          <w:jc w:val="center"/>
        </w:trPr>
        <w:tc>
          <w:tcPr>
            <w:tcW w:w="745" w:type="dxa"/>
            <w:noWrap w:val="0"/>
            <w:vAlign w:val="center"/>
          </w:tcPr>
          <w:p w14:paraId="3C01E3B4">
            <w:pPr>
              <w:pStyle w:val="24"/>
              <w:numPr>
                <w:ilvl w:val="0"/>
                <w:numId w:val="7"/>
              </w:numPr>
              <w:tabs>
                <w:tab w:val="left" w:pos="420"/>
              </w:tabs>
              <w:spacing w:line="440" w:lineRule="exact"/>
              <w:jc w:val="center"/>
              <w:rPr>
                <w:rFonts w:ascii="Times New Roman" w:hAnsi="Times New Roman" w:eastAsia="仿宋"/>
                <w:color w:val="000000" w:themeColor="text1"/>
                <w:sz w:val="24"/>
                <w:szCs w:val="24"/>
                <w:highlight w:val="none"/>
                <w14:textFill>
                  <w14:solidFill>
                    <w14:schemeClr w14:val="tx1"/>
                  </w14:solidFill>
                </w14:textFill>
              </w:rPr>
            </w:pPr>
          </w:p>
        </w:tc>
        <w:tc>
          <w:tcPr>
            <w:tcW w:w="2381" w:type="dxa"/>
            <w:noWrap w:val="0"/>
            <w:vAlign w:val="center"/>
          </w:tcPr>
          <w:p w14:paraId="38775D59">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c>
          <w:tcPr>
            <w:tcW w:w="1560" w:type="dxa"/>
            <w:noWrap w:val="0"/>
            <w:vAlign w:val="center"/>
          </w:tcPr>
          <w:p w14:paraId="7F132A58">
            <w:pPr>
              <w:pStyle w:val="24"/>
              <w:spacing w:line="440" w:lineRule="exact"/>
              <w:jc w:val="center"/>
              <w:rPr>
                <w:rFonts w:ascii="Times New Roman" w:hAnsi="Times New Roman" w:eastAsia="仿宋"/>
                <w:color w:val="000000" w:themeColor="text1"/>
                <w:sz w:val="24"/>
                <w:szCs w:val="24"/>
                <w:highlight w:val="none"/>
                <w14:textFill>
                  <w14:solidFill>
                    <w14:schemeClr w14:val="tx1"/>
                  </w14:solidFill>
                </w14:textFill>
              </w:rPr>
            </w:pPr>
          </w:p>
        </w:tc>
        <w:tc>
          <w:tcPr>
            <w:tcW w:w="992" w:type="dxa"/>
            <w:noWrap w:val="0"/>
            <w:vAlign w:val="center"/>
          </w:tcPr>
          <w:p w14:paraId="25F748BE">
            <w:pPr>
              <w:pStyle w:val="24"/>
              <w:spacing w:line="440" w:lineRule="exact"/>
              <w:jc w:val="center"/>
              <w:rPr>
                <w:rFonts w:ascii="Times New Roman" w:hAnsi="Times New Roman" w:eastAsia="仿宋"/>
                <w:color w:val="000000" w:themeColor="text1"/>
                <w:sz w:val="24"/>
                <w:szCs w:val="24"/>
                <w:highlight w:val="none"/>
                <w14:textFill>
                  <w14:solidFill>
                    <w14:schemeClr w14:val="tx1"/>
                  </w14:solidFill>
                </w14:textFill>
              </w:rPr>
            </w:pPr>
          </w:p>
        </w:tc>
        <w:tc>
          <w:tcPr>
            <w:tcW w:w="992" w:type="dxa"/>
            <w:noWrap w:val="0"/>
            <w:vAlign w:val="center"/>
          </w:tcPr>
          <w:p w14:paraId="7B668811">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c>
          <w:tcPr>
            <w:tcW w:w="992" w:type="dxa"/>
            <w:noWrap w:val="0"/>
            <w:vAlign w:val="center"/>
          </w:tcPr>
          <w:p w14:paraId="196E6662">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c>
          <w:tcPr>
            <w:tcW w:w="1612" w:type="dxa"/>
            <w:noWrap w:val="0"/>
            <w:vAlign w:val="center"/>
          </w:tcPr>
          <w:p w14:paraId="05139186">
            <w:pPr>
              <w:pStyle w:val="24"/>
              <w:spacing w:line="440" w:lineRule="exact"/>
              <w:rPr>
                <w:rFonts w:ascii="Times New Roman" w:hAnsi="Times New Roman" w:eastAsia="仿宋"/>
                <w:color w:val="000000" w:themeColor="text1"/>
                <w:sz w:val="24"/>
                <w:szCs w:val="24"/>
                <w:highlight w:val="none"/>
                <w:u w:val="single"/>
                <w14:textFill>
                  <w14:solidFill>
                    <w14:schemeClr w14:val="tx1"/>
                  </w14:solidFill>
                </w14:textFill>
              </w:rPr>
            </w:pPr>
          </w:p>
        </w:tc>
      </w:tr>
      <w:tr w14:paraId="39840A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6" w:hRule="atLeast"/>
          <w:jc w:val="center"/>
        </w:trPr>
        <w:tc>
          <w:tcPr>
            <w:tcW w:w="745" w:type="dxa"/>
            <w:noWrap w:val="0"/>
            <w:vAlign w:val="center"/>
          </w:tcPr>
          <w:p w14:paraId="5D5E2E61">
            <w:pPr>
              <w:pStyle w:val="24"/>
              <w:numPr>
                <w:ilvl w:val="0"/>
                <w:numId w:val="7"/>
              </w:numPr>
              <w:tabs>
                <w:tab w:val="left" w:pos="420"/>
              </w:tabs>
              <w:spacing w:line="440" w:lineRule="exact"/>
              <w:jc w:val="center"/>
              <w:rPr>
                <w:rFonts w:ascii="Times New Roman" w:hAnsi="Times New Roman" w:eastAsia="仿宋"/>
                <w:color w:val="000000" w:themeColor="text1"/>
                <w:sz w:val="24"/>
                <w:szCs w:val="24"/>
                <w:highlight w:val="none"/>
                <w14:textFill>
                  <w14:solidFill>
                    <w14:schemeClr w14:val="tx1"/>
                  </w14:solidFill>
                </w14:textFill>
              </w:rPr>
            </w:pPr>
          </w:p>
        </w:tc>
        <w:tc>
          <w:tcPr>
            <w:tcW w:w="2381" w:type="dxa"/>
            <w:noWrap w:val="0"/>
            <w:vAlign w:val="center"/>
          </w:tcPr>
          <w:p w14:paraId="5AE3EC8E">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c>
          <w:tcPr>
            <w:tcW w:w="1560" w:type="dxa"/>
            <w:noWrap w:val="0"/>
            <w:vAlign w:val="center"/>
          </w:tcPr>
          <w:p w14:paraId="6FB7588D">
            <w:pPr>
              <w:spacing w:line="440" w:lineRule="exact"/>
              <w:jc w:val="center"/>
              <w:rPr>
                <w:rFonts w:ascii="Times New Roman" w:hAnsi="Times New Roman" w:eastAsia="仿宋"/>
                <w:color w:val="000000" w:themeColor="text1"/>
                <w:sz w:val="24"/>
                <w:highlight w:val="none"/>
                <w14:textFill>
                  <w14:solidFill>
                    <w14:schemeClr w14:val="tx1"/>
                  </w14:solidFill>
                </w14:textFill>
              </w:rPr>
            </w:pPr>
          </w:p>
        </w:tc>
        <w:tc>
          <w:tcPr>
            <w:tcW w:w="992" w:type="dxa"/>
            <w:noWrap w:val="0"/>
            <w:vAlign w:val="center"/>
          </w:tcPr>
          <w:p w14:paraId="65CE1238">
            <w:pPr>
              <w:spacing w:line="440" w:lineRule="exact"/>
              <w:jc w:val="center"/>
              <w:rPr>
                <w:rFonts w:ascii="Times New Roman" w:hAnsi="Times New Roman" w:eastAsia="仿宋"/>
                <w:color w:val="000000" w:themeColor="text1"/>
                <w:sz w:val="24"/>
                <w:highlight w:val="none"/>
                <w14:textFill>
                  <w14:solidFill>
                    <w14:schemeClr w14:val="tx1"/>
                  </w14:solidFill>
                </w14:textFill>
              </w:rPr>
            </w:pPr>
          </w:p>
        </w:tc>
        <w:tc>
          <w:tcPr>
            <w:tcW w:w="992" w:type="dxa"/>
            <w:noWrap w:val="0"/>
            <w:vAlign w:val="center"/>
          </w:tcPr>
          <w:p w14:paraId="291E937D">
            <w:pPr>
              <w:spacing w:line="440" w:lineRule="exact"/>
              <w:rPr>
                <w:rFonts w:ascii="Times New Roman" w:hAnsi="Times New Roman" w:eastAsia="仿宋"/>
                <w:color w:val="000000" w:themeColor="text1"/>
                <w:sz w:val="24"/>
                <w:highlight w:val="none"/>
                <w14:textFill>
                  <w14:solidFill>
                    <w14:schemeClr w14:val="tx1"/>
                  </w14:solidFill>
                </w14:textFill>
              </w:rPr>
            </w:pPr>
          </w:p>
        </w:tc>
        <w:tc>
          <w:tcPr>
            <w:tcW w:w="992" w:type="dxa"/>
            <w:noWrap w:val="0"/>
            <w:vAlign w:val="center"/>
          </w:tcPr>
          <w:p w14:paraId="15FF3080">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c>
          <w:tcPr>
            <w:tcW w:w="1612" w:type="dxa"/>
            <w:noWrap w:val="0"/>
            <w:vAlign w:val="center"/>
          </w:tcPr>
          <w:p w14:paraId="3F4F45AB">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r>
      <w:tr w14:paraId="7F358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6" w:hRule="atLeast"/>
          <w:jc w:val="center"/>
        </w:trPr>
        <w:tc>
          <w:tcPr>
            <w:tcW w:w="745" w:type="dxa"/>
            <w:noWrap w:val="0"/>
            <w:vAlign w:val="center"/>
          </w:tcPr>
          <w:p w14:paraId="73CC4258">
            <w:pPr>
              <w:pStyle w:val="24"/>
              <w:numPr>
                <w:ilvl w:val="0"/>
                <w:numId w:val="7"/>
              </w:numPr>
              <w:tabs>
                <w:tab w:val="left" w:pos="420"/>
              </w:tabs>
              <w:spacing w:line="440" w:lineRule="exact"/>
              <w:jc w:val="center"/>
              <w:rPr>
                <w:rFonts w:ascii="Times New Roman" w:hAnsi="Times New Roman" w:eastAsia="仿宋"/>
                <w:color w:val="000000" w:themeColor="text1"/>
                <w:sz w:val="24"/>
                <w:szCs w:val="24"/>
                <w:highlight w:val="none"/>
                <w14:textFill>
                  <w14:solidFill>
                    <w14:schemeClr w14:val="tx1"/>
                  </w14:solidFill>
                </w14:textFill>
              </w:rPr>
            </w:pPr>
          </w:p>
        </w:tc>
        <w:tc>
          <w:tcPr>
            <w:tcW w:w="2381" w:type="dxa"/>
            <w:noWrap w:val="0"/>
            <w:vAlign w:val="center"/>
          </w:tcPr>
          <w:p w14:paraId="39AB425A">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c>
          <w:tcPr>
            <w:tcW w:w="1560" w:type="dxa"/>
            <w:noWrap w:val="0"/>
            <w:vAlign w:val="center"/>
          </w:tcPr>
          <w:p w14:paraId="3B6DD968">
            <w:pPr>
              <w:spacing w:line="440" w:lineRule="exact"/>
              <w:jc w:val="center"/>
              <w:rPr>
                <w:rFonts w:ascii="Times New Roman" w:hAnsi="Times New Roman" w:eastAsia="仿宋"/>
                <w:color w:val="000000" w:themeColor="text1"/>
                <w:sz w:val="24"/>
                <w:highlight w:val="none"/>
                <w14:textFill>
                  <w14:solidFill>
                    <w14:schemeClr w14:val="tx1"/>
                  </w14:solidFill>
                </w14:textFill>
              </w:rPr>
            </w:pPr>
          </w:p>
        </w:tc>
        <w:tc>
          <w:tcPr>
            <w:tcW w:w="992" w:type="dxa"/>
            <w:noWrap w:val="0"/>
            <w:vAlign w:val="center"/>
          </w:tcPr>
          <w:p w14:paraId="7791527F">
            <w:pPr>
              <w:spacing w:line="440" w:lineRule="exact"/>
              <w:jc w:val="center"/>
              <w:rPr>
                <w:rFonts w:ascii="Times New Roman" w:hAnsi="Times New Roman" w:eastAsia="仿宋"/>
                <w:color w:val="000000" w:themeColor="text1"/>
                <w:sz w:val="24"/>
                <w:highlight w:val="none"/>
                <w14:textFill>
                  <w14:solidFill>
                    <w14:schemeClr w14:val="tx1"/>
                  </w14:solidFill>
                </w14:textFill>
              </w:rPr>
            </w:pPr>
          </w:p>
        </w:tc>
        <w:tc>
          <w:tcPr>
            <w:tcW w:w="992" w:type="dxa"/>
            <w:noWrap w:val="0"/>
            <w:vAlign w:val="center"/>
          </w:tcPr>
          <w:p w14:paraId="31FF2442">
            <w:pPr>
              <w:spacing w:line="440" w:lineRule="exact"/>
              <w:rPr>
                <w:rFonts w:ascii="Times New Roman" w:hAnsi="Times New Roman" w:eastAsia="仿宋"/>
                <w:color w:val="000000" w:themeColor="text1"/>
                <w:sz w:val="24"/>
                <w:highlight w:val="none"/>
                <w14:textFill>
                  <w14:solidFill>
                    <w14:schemeClr w14:val="tx1"/>
                  </w14:solidFill>
                </w14:textFill>
              </w:rPr>
            </w:pPr>
          </w:p>
        </w:tc>
        <w:tc>
          <w:tcPr>
            <w:tcW w:w="992" w:type="dxa"/>
            <w:noWrap w:val="0"/>
            <w:vAlign w:val="center"/>
          </w:tcPr>
          <w:p w14:paraId="3225AC80">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c>
          <w:tcPr>
            <w:tcW w:w="1612" w:type="dxa"/>
            <w:noWrap w:val="0"/>
            <w:vAlign w:val="center"/>
          </w:tcPr>
          <w:p w14:paraId="739DB131">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r>
      <w:tr w14:paraId="5F1A3C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6" w:hRule="atLeast"/>
          <w:jc w:val="center"/>
        </w:trPr>
        <w:tc>
          <w:tcPr>
            <w:tcW w:w="745" w:type="dxa"/>
            <w:noWrap w:val="0"/>
            <w:vAlign w:val="center"/>
          </w:tcPr>
          <w:p w14:paraId="397B912B">
            <w:pPr>
              <w:pStyle w:val="24"/>
              <w:numPr>
                <w:ilvl w:val="0"/>
                <w:numId w:val="7"/>
              </w:numPr>
              <w:tabs>
                <w:tab w:val="left" w:pos="420"/>
              </w:tabs>
              <w:spacing w:line="440" w:lineRule="exact"/>
              <w:jc w:val="center"/>
              <w:rPr>
                <w:rFonts w:ascii="Times New Roman" w:hAnsi="Times New Roman" w:eastAsia="仿宋"/>
                <w:color w:val="000000" w:themeColor="text1"/>
                <w:sz w:val="24"/>
                <w:szCs w:val="24"/>
                <w:highlight w:val="none"/>
                <w14:textFill>
                  <w14:solidFill>
                    <w14:schemeClr w14:val="tx1"/>
                  </w14:solidFill>
                </w14:textFill>
              </w:rPr>
            </w:pPr>
          </w:p>
        </w:tc>
        <w:tc>
          <w:tcPr>
            <w:tcW w:w="2381" w:type="dxa"/>
            <w:noWrap w:val="0"/>
            <w:vAlign w:val="center"/>
          </w:tcPr>
          <w:p w14:paraId="625FCF1E">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c>
          <w:tcPr>
            <w:tcW w:w="1560" w:type="dxa"/>
            <w:noWrap w:val="0"/>
            <w:vAlign w:val="center"/>
          </w:tcPr>
          <w:p w14:paraId="372B7A02">
            <w:pPr>
              <w:spacing w:line="440" w:lineRule="exact"/>
              <w:jc w:val="center"/>
              <w:rPr>
                <w:rFonts w:ascii="Times New Roman" w:hAnsi="Times New Roman" w:eastAsia="仿宋"/>
                <w:color w:val="000000" w:themeColor="text1"/>
                <w:sz w:val="24"/>
                <w:highlight w:val="none"/>
                <w14:textFill>
                  <w14:solidFill>
                    <w14:schemeClr w14:val="tx1"/>
                  </w14:solidFill>
                </w14:textFill>
              </w:rPr>
            </w:pPr>
          </w:p>
        </w:tc>
        <w:tc>
          <w:tcPr>
            <w:tcW w:w="992" w:type="dxa"/>
            <w:noWrap w:val="0"/>
            <w:vAlign w:val="center"/>
          </w:tcPr>
          <w:p w14:paraId="6FA44E60">
            <w:pPr>
              <w:spacing w:line="440" w:lineRule="exact"/>
              <w:jc w:val="center"/>
              <w:rPr>
                <w:rFonts w:ascii="Times New Roman" w:hAnsi="Times New Roman" w:eastAsia="仿宋"/>
                <w:color w:val="000000" w:themeColor="text1"/>
                <w:sz w:val="24"/>
                <w:highlight w:val="none"/>
                <w14:textFill>
                  <w14:solidFill>
                    <w14:schemeClr w14:val="tx1"/>
                  </w14:solidFill>
                </w14:textFill>
              </w:rPr>
            </w:pPr>
          </w:p>
        </w:tc>
        <w:tc>
          <w:tcPr>
            <w:tcW w:w="992" w:type="dxa"/>
            <w:noWrap w:val="0"/>
            <w:vAlign w:val="center"/>
          </w:tcPr>
          <w:p w14:paraId="5882BCA1">
            <w:pPr>
              <w:spacing w:line="440" w:lineRule="exact"/>
              <w:rPr>
                <w:rFonts w:ascii="Times New Roman" w:hAnsi="Times New Roman" w:eastAsia="仿宋"/>
                <w:color w:val="000000" w:themeColor="text1"/>
                <w:sz w:val="24"/>
                <w:highlight w:val="none"/>
                <w14:textFill>
                  <w14:solidFill>
                    <w14:schemeClr w14:val="tx1"/>
                  </w14:solidFill>
                </w14:textFill>
              </w:rPr>
            </w:pPr>
          </w:p>
        </w:tc>
        <w:tc>
          <w:tcPr>
            <w:tcW w:w="992" w:type="dxa"/>
            <w:noWrap w:val="0"/>
            <w:vAlign w:val="center"/>
          </w:tcPr>
          <w:p w14:paraId="259CE9D5">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c>
          <w:tcPr>
            <w:tcW w:w="1612" w:type="dxa"/>
            <w:noWrap w:val="0"/>
            <w:vAlign w:val="center"/>
          </w:tcPr>
          <w:p w14:paraId="122FD61A">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r>
      <w:tr w14:paraId="1BCF74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6" w:hRule="atLeast"/>
          <w:jc w:val="center"/>
        </w:trPr>
        <w:tc>
          <w:tcPr>
            <w:tcW w:w="745" w:type="dxa"/>
            <w:noWrap w:val="0"/>
            <w:vAlign w:val="center"/>
          </w:tcPr>
          <w:p w14:paraId="1CAA0249">
            <w:pPr>
              <w:pStyle w:val="24"/>
              <w:numPr>
                <w:ilvl w:val="0"/>
                <w:numId w:val="7"/>
              </w:numPr>
              <w:tabs>
                <w:tab w:val="left" w:pos="420"/>
              </w:tabs>
              <w:spacing w:line="440" w:lineRule="exact"/>
              <w:jc w:val="center"/>
              <w:rPr>
                <w:rFonts w:ascii="Times New Roman" w:hAnsi="Times New Roman" w:eastAsia="仿宋"/>
                <w:color w:val="000000" w:themeColor="text1"/>
                <w:sz w:val="24"/>
                <w:szCs w:val="24"/>
                <w:highlight w:val="none"/>
                <w14:textFill>
                  <w14:solidFill>
                    <w14:schemeClr w14:val="tx1"/>
                  </w14:solidFill>
                </w14:textFill>
              </w:rPr>
            </w:pPr>
          </w:p>
        </w:tc>
        <w:tc>
          <w:tcPr>
            <w:tcW w:w="2381" w:type="dxa"/>
            <w:noWrap w:val="0"/>
            <w:vAlign w:val="center"/>
          </w:tcPr>
          <w:p w14:paraId="5A6EE1D7">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c>
          <w:tcPr>
            <w:tcW w:w="1560" w:type="dxa"/>
            <w:noWrap w:val="0"/>
            <w:vAlign w:val="center"/>
          </w:tcPr>
          <w:p w14:paraId="3913EE35">
            <w:pPr>
              <w:spacing w:line="440" w:lineRule="exact"/>
              <w:jc w:val="center"/>
              <w:rPr>
                <w:rFonts w:ascii="Times New Roman" w:hAnsi="Times New Roman" w:eastAsia="仿宋"/>
                <w:color w:val="000000" w:themeColor="text1"/>
                <w:sz w:val="24"/>
                <w:highlight w:val="none"/>
                <w14:textFill>
                  <w14:solidFill>
                    <w14:schemeClr w14:val="tx1"/>
                  </w14:solidFill>
                </w14:textFill>
              </w:rPr>
            </w:pPr>
          </w:p>
        </w:tc>
        <w:tc>
          <w:tcPr>
            <w:tcW w:w="992" w:type="dxa"/>
            <w:noWrap w:val="0"/>
            <w:vAlign w:val="center"/>
          </w:tcPr>
          <w:p w14:paraId="04EA3BD5">
            <w:pPr>
              <w:spacing w:line="440" w:lineRule="exact"/>
              <w:jc w:val="center"/>
              <w:rPr>
                <w:rFonts w:ascii="Times New Roman" w:hAnsi="Times New Roman" w:eastAsia="仿宋"/>
                <w:color w:val="000000" w:themeColor="text1"/>
                <w:sz w:val="24"/>
                <w:highlight w:val="none"/>
                <w14:textFill>
                  <w14:solidFill>
                    <w14:schemeClr w14:val="tx1"/>
                  </w14:solidFill>
                </w14:textFill>
              </w:rPr>
            </w:pPr>
          </w:p>
        </w:tc>
        <w:tc>
          <w:tcPr>
            <w:tcW w:w="992" w:type="dxa"/>
            <w:noWrap w:val="0"/>
            <w:vAlign w:val="center"/>
          </w:tcPr>
          <w:p w14:paraId="65667E9E">
            <w:pPr>
              <w:spacing w:line="440" w:lineRule="exact"/>
              <w:rPr>
                <w:rFonts w:ascii="Times New Roman" w:hAnsi="Times New Roman" w:eastAsia="仿宋"/>
                <w:color w:val="000000" w:themeColor="text1"/>
                <w:sz w:val="24"/>
                <w:highlight w:val="none"/>
                <w14:textFill>
                  <w14:solidFill>
                    <w14:schemeClr w14:val="tx1"/>
                  </w14:solidFill>
                </w14:textFill>
              </w:rPr>
            </w:pPr>
          </w:p>
        </w:tc>
        <w:tc>
          <w:tcPr>
            <w:tcW w:w="992" w:type="dxa"/>
            <w:noWrap w:val="0"/>
            <w:vAlign w:val="center"/>
          </w:tcPr>
          <w:p w14:paraId="74F6DF98">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c>
          <w:tcPr>
            <w:tcW w:w="1612" w:type="dxa"/>
            <w:noWrap w:val="0"/>
            <w:vAlign w:val="center"/>
          </w:tcPr>
          <w:p w14:paraId="34C7AD0D">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r>
      <w:tr w14:paraId="2468E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6" w:hRule="atLeast"/>
          <w:jc w:val="center"/>
        </w:trPr>
        <w:tc>
          <w:tcPr>
            <w:tcW w:w="745" w:type="dxa"/>
            <w:noWrap w:val="0"/>
            <w:vAlign w:val="center"/>
          </w:tcPr>
          <w:p w14:paraId="3C32AF41">
            <w:pPr>
              <w:pStyle w:val="24"/>
              <w:numPr>
                <w:ilvl w:val="0"/>
                <w:numId w:val="7"/>
              </w:numPr>
              <w:tabs>
                <w:tab w:val="left" w:pos="420"/>
              </w:tabs>
              <w:spacing w:line="440" w:lineRule="exact"/>
              <w:jc w:val="center"/>
              <w:rPr>
                <w:rFonts w:ascii="Times New Roman" w:hAnsi="Times New Roman" w:eastAsia="仿宋"/>
                <w:color w:val="000000" w:themeColor="text1"/>
                <w:sz w:val="24"/>
                <w:szCs w:val="24"/>
                <w:highlight w:val="none"/>
                <w14:textFill>
                  <w14:solidFill>
                    <w14:schemeClr w14:val="tx1"/>
                  </w14:solidFill>
                </w14:textFill>
              </w:rPr>
            </w:pPr>
          </w:p>
        </w:tc>
        <w:tc>
          <w:tcPr>
            <w:tcW w:w="2381" w:type="dxa"/>
            <w:noWrap w:val="0"/>
            <w:vAlign w:val="center"/>
          </w:tcPr>
          <w:p w14:paraId="78127286">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c>
          <w:tcPr>
            <w:tcW w:w="1560" w:type="dxa"/>
            <w:noWrap w:val="0"/>
            <w:vAlign w:val="center"/>
          </w:tcPr>
          <w:p w14:paraId="347D0F95">
            <w:pPr>
              <w:spacing w:line="440" w:lineRule="exact"/>
              <w:jc w:val="center"/>
              <w:rPr>
                <w:rFonts w:ascii="Times New Roman" w:hAnsi="Times New Roman" w:eastAsia="仿宋"/>
                <w:color w:val="000000" w:themeColor="text1"/>
                <w:sz w:val="24"/>
                <w:highlight w:val="none"/>
                <w14:textFill>
                  <w14:solidFill>
                    <w14:schemeClr w14:val="tx1"/>
                  </w14:solidFill>
                </w14:textFill>
              </w:rPr>
            </w:pPr>
          </w:p>
        </w:tc>
        <w:tc>
          <w:tcPr>
            <w:tcW w:w="992" w:type="dxa"/>
            <w:noWrap w:val="0"/>
            <w:vAlign w:val="center"/>
          </w:tcPr>
          <w:p w14:paraId="71D894B9">
            <w:pPr>
              <w:spacing w:line="440" w:lineRule="exact"/>
              <w:jc w:val="center"/>
              <w:rPr>
                <w:rFonts w:ascii="Times New Roman" w:hAnsi="Times New Roman" w:eastAsia="仿宋"/>
                <w:color w:val="000000" w:themeColor="text1"/>
                <w:sz w:val="24"/>
                <w:highlight w:val="none"/>
                <w14:textFill>
                  <w14:solidFill>
                    <w14:schemeClr w14:val="tx1"/>
                  </w14:solidFill>
                </w14:textFill>
              </w:rPr>
            </w:pPr>
          </w:p>
        </w:tc>
        <w:tc>
          <w:tcPr>
            <w:tcW w:w="992" w:type="dxa"/>
            <w:noWrap w:val="0"/>
            <w:vAlign w:val="center"/>
          </w:tcPr>
          <w:p w14:paraId="397F5B87">
            <w:pPr>
              <w:spacing w:line="440" w:lineRule="exact"/>
              <w:rPr>
                <w:rFonts w:ascii="Times New Roman" w:hAnsi="Times New Roman" w:eastAsia="仿宋"/>
                <w:color w:val="000000" w:themeColor="text1"/>
                <w:sz w:val="24"/>
                <w:highlight w:val="none"/>
                <w14:textFill>
                  <w14:solidFill>
                    <w14:schemeClr w14:val="tx1"/>
                  </w14:solidFill>
                </w14:textFill>
              </w:rPr>
            </w:pPr>
          </w:p>
        </w:tc>
        <w:tc>
          <w:tcPr>
            <w:tcW w:w="992" w:type="dxa"/>
            <w:noWrap w:val="0"/>
            <w:vAlign w:val="center"/>
          </w:tcPr>
          <w:p w14:paraId="6F290864">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c>
          <w:tcPr>
            <w:tcW w:w="1612" w:type="dxa"/>
            <w:noWrap w:val="0"/>
            <w:vAlign w:val="center"/>
          </w:tcPr>
          <w:p w14:paraId="6B18E581">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r>
      <w:tr w14:paraId="4BE93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6" w:hRule="atLeast"/>
          <w:jc w:val="center"/>
        </w:trPr>
        <w:tc>
          <w:tcPr>
            <w:tcW w:w="745" w:type="dxa"/>
            <w:noWrap w:val="0"/>
            <w:vAlign w:val="center"/>
          </w:tcPr>
          <w:p w14:paraId="4A3A2874">
            <w:pPr>
              <w:pStyle w:val="24"/>
              <w:numPr>
                <w:ilvl w:val="0"/>
                <w:numId w:val="7"/>
              </w:numPr>
              <w:tabs>
                <w:tab w:val="left" w:pos="420"/>
              </w:tabs>
              <w:spacing w:line="440" w:lineRule="exact"/>
              <w:jc w:val="center"/>
              <w:rPr>
                <w:rFonts w:ascii="Times New Roman" w:hAnsi="Times New Roman" w:eastAsia="仿宋"/>
                <w:color w:val="000000" w:themeColor="text1"/>
                <w:sz w:val="24"/>
                <w:szCs w:val="24"/>
                <w:highlight w:val="none"/>
                <w14:textFill>
                  <w14:solidFill>
                    <w14:schemeClr w14:val="tx1"/>
                  </w14:solidFill>
                </w14:textFill>
              </w:rPr>
            </w:pPr>
          </w:p>
        </w:tc>
        <w:tc>
          <w:tcPr>
            <w:tcW w:w="2381" w:type="dxa"/>
            <w:noWrap w:val="0"/>
            <w:vAlign w:val="center"/>
          </w:tcPr>
          <w:p w14:paraId="4F375C0D">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c>
          <w:tcPr>
            <w:tcW w:w="1560" w:type="dxa"/>
            <w:noWrap w:val="0"/>
            <w:vAlign w:val="center"/>
          </w:tcPr>
          <w:p w14:paraId="425E1A56">
            <w:pPr>
              <w:spacing w:line="440" w:lineRule="exact"/>
              <w:jc w:val="center"/>
              <w:rPr>
                <w:rFonts w:ascii="Times New Roman" w:hAnsi="Times New Roman" w:eastAsia="仿宋"/>
                <w:color w:val="000000" w:themeColor="text1"/>
                <w:sz w:val="24"/>
                <w:highlight w:val="none"/>
                <w14:textFill>
                  <w14:solidFill>
                    <w14:schemeClr w14:val="tx1"/>
                  </w14:solidFill>
                </w14:textFill>
              </w:rPr>
            </w:pPr>
          </w:p>
        </w:tc>
        <w:tc>
          <w:tcPr>
            <w:tcW w:w="992" w:type="dxa"/>
            <w:noWrap w:val="0"/>
            <w:vAlign w:val="center"/>
          </w:tcPr>
          <w:p w14:paraId="23056878">
            <w:pPr>
              <w:spacing w:line="440" w:lineRule="exact"/>
              <w:jc w:val="center"/>
              <w:rPr>
                <w:rFonts w:ascii="Times New Roman" w:hAnsi="Times New Roman" w:eastAsia="仿宋"/>
                <w:color w:val="000000" w:themeColor="text1"/>
                <w:sz w:val="24"/>
                <w:highlight w:val="none"/>
                <w14:textFill>
                  <w14:solidFill>
                    <w14:schemeClr w14:val="tx1"/>
                  </w14:solidFill>
                </w14:textFill>
              </w:rPr>
            </w:pPr>
          </w:p>
        </w:tc>
        <w:tc>
          <w:tcPr>
            <w:tcW w:w="992" w:type="dxa"/>
            <w:noWrap w:val="0"/>
            <w:vAlign w:val="center"/>
          </w:tcPr>
          <w:p w14:paraId="4524A4B4">
            <w:pPr>
              <w:spacing w:line="440" w:lineRule="exact"/>
              <w:rPr>
                <w:rFonts w:ascii="Times New Roman" w:hAnsi="Times New Roman" w:eastAsia="仿宋"/>
                <w:color w:val="000000" w:themeColor="text1"/>
                <w:sz w:val="24"/>
                <w:highlight w:val="none"/>
                <w14:textFill>
                  <w14:solidFill>
                    <w14:schemeClr w14:val="tx1"/>
                  </w14:solidFill>
                </w14:textFill>
              </w:rPr>
            </w:pPr>
          </w:p>
        </w:tc>
        <w:tc>
          <w:tcPr>
            <w:tcW w:w="992" w:type="dxa"/>
            <w:noWrap w:val="0"/>
            <w:vAlign w:val="center"/>
          </w:tcPr>
          <w:p w14:paraId="0097D3B0">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c>
          <w:tcPr>
            <w:tcW w:w="1612" w:type="dxa"/>
            <w:noWrap w:val="0"/>
            <w:vAlign w:val="center"/>
          </w:tcPr>
          <w:p w14:paraId="41381581">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r>
      <w:tr w14:paraId="4A5C74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6" w:hRule="atLeast"/>
          <w:jc w:val="center"/>
        </w:trPr>
        <w:tc>
          <w:tcPr>
            <w:tcW w:w="745" w:type="dxa"/>
            <w:noWrap w:val="0"/>
            <w:vAlign w:val="center"/>
          </w:tcPr>
          <w:p w14:paraId="663596B8">
            <w:pPr>
              <w:pStyle w:val="24"/>
              <w:numPr>
                <w:ilvl w:val="0"/>
                <w:numId w:val="7"/>
              </w:numPr>
              <w:tabs>
                <w:tab w:val="left" w:pos="420"/>
              </w:tabs>
              <w:spacing w:line="440" w:lineRule="exact"/>
              <w:jc w:val="center"/>
              <w:rPr>
                <w:rFonts w:ascii="Times New Roman" w:hAnsi="Times New Roman" w:eastAsia="仿宋"/>
                <w:color w:val="000000" w:themeColor="text1"/>
                <w:sz w:val="24"/>
                <w:szCs w:val="24"/>
                <w:highlight w:val="none"/>
                <w14:textFill>
                  <w14:solidFill>
                    <w14:schemeClr w14:val="tx1"/>
                  </w14:solidFill>
                </w14:textFill>
              </w:rPr>
            </w:pPr>
          </w:p>
        </w:tc>
        <w:tc>
          <w:tcPr>
            <w:tcW w:w="2381" w:type="dxa"/>
            <w:noWrap w:val="0"/>
            <w:vAlign w:val="center"/>
          </w:tcPr>
          <w:p w14:paraId="45EC2FCD">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c>
          <w:tcPr>
            <w:tcW w:w="1560" w:type="dxa"/>
            <w:noWrap w:val="0"/>
            <w:vAlign w:val="center"/>
          </w:tcPr>
          <w:p w14:paraId="7BE4DE89">
            <w:pPr>
              <w:spacing w:line="440" w:lineRule="exact"/>
              <w:jc w:val="center"/>
              <w:rPr>
                <w:rFonts w:ascii="Times New Roman" w:hAnsi="Times New Roman" w:eastAsia="仿宋"/>
                <w:color w:val="000000" w:themeColor="text1"/>
                <w:sz w:val="24"/>
                <w:highlight w:val="none"/>
                <w14:textFill>
                  <w14:solidFill>
                    <w14:schemeClr w14:val="tx1"/>
                  </w14:solidFill>
                </w14:textFill>
              </w:rPr>
            </w:pPr>
          </w:p>
        </w:tc>
        <w:tc>
          <w:tcPr>
            <w:tcW w:w="992" w:type="dxa"/>
            <w:noWrap w:val="0"/>
            <w:vAlign w:val="center"/>
          </w:tcPr>
          <w:p w14:paraId="0E2C01F1">
            <w:pPr>
              <w:spacing w:line="440" w:lineRule="exact"/>
              <w:jc w:val="center"/>
              <w:rPr>
                <w:rFonts w:ascii="Times New Roman" w:hAnsi="Times New Roman" w:eastAsia="仿宋"/>
                <w:color w:val="000000" w:themeColor="text1"/>
                <w:sz w:val="24"/>
                <w:highlight w:val="none"/>
                <w14:textFill>
                  <w14:solidFill>
                    <w14:schemeClr w14:val="tx1"/>
                  </w14:solidFill>
                </w14:textFill>
              </w:rPr>
            </w:pPr>
          </w:p>
        </w:tc>
        <w:tc>
          <w:tcPr>
            <w:tcW w:w="992" w:type="dxa"/>
            <w:noWrap w:val="0"/>
            <w:vAlign w:val="center"/>
          </w:tcPr>
          <w:p w14:paraId="52B61319">
            <w:pPr>
              <w:spacing w:line="440" w:lineRule="exact"/>
              <w:rPr>
                <w:rFonts w:ascii="Times New Roman" w:hAnsi="Times New Roman" w:eastAsia="仿宋"/>
                <w:color w:val="000000" w:themeColor="text1"/>
                <w:sz w:val="24"/>
                <w:highlight w:val="none"/>
                <w14:textFill>
                  <w14:solidFill>
                    <w14:schemeClr w14:val="tx1"/>
                  </w14:solidFill>
                </w14:textFill>
              </w:rPr>
            </w:pPr>
          </w:p>
        </w:tc>
        <w:tc>
          <w:tcPr>
            <w:tcW w:w="992" w:type="dxa"/>
            <w:noWrap w:val="0"/>
            <w:vAlign w:val="center"/>
          </w:tcPr>
          <w:p w14:paraId="295FC50D">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c>
          <w:tcPr>
            <w:tcW w:w="1612" w:type="dxa"/>
            <w:noWrap w:val="0"/>
            <w:vAlign w:val="center"/>
          </w:tcPr>
          <w:p w14:paraId="29D32324">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r>
      <w:tr w14:paraId="68CBF7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6" w:hRule="atLeast"/>
          <w:jc w:val="center"/>
        </w:trPr>
        <w:tc>
          <w:tcPr>
            <w:tcW w:w="3126" w:type="dxa"/>
            <w:gridSpan w:val="2"/>
            <w:noWrap w:val="0"/>
            <w:vAlign w:val="center"/>
          </w:tcPr>
          <w:p w14:paraId="2FFC78B1">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r>
              <w:rPr>
                <w:rFonts w:ascii="Times New Roman" w:hAnsi="Times New Roman" w:eastAsia="仿宋"/>
                <w:color w:val="000000" w:themeColor="text1"/>
                <w:sz w:val="24"/>
                <w:szCs w:val="24"/>
                <w:highlight w:val="none"/>
                <w14:textFill>
                  <w14:solidFill>
                    <w14:schemeClr w14:val="tx1"/>
                  </w14:solidFill>
                </w14:textFill>
              </w:rPr>
              <w:t>合计报价</w:t>
            </w:r>
          </w:p>
        </w:tc>
        <w:tc>
          <w:tcPr>
            <w:tcW w:w="6148" w:type="dxa"/>
            <w:gridSpan w:val="5"/>
            <w:noWrap w:val="0"/>
            <w:vAlign w:val="center"/>
          </w:tcPr>
          <w:p w14:paraId="00B32E48">
            <w:pPr>
              <w:pStyle w:val="24"/>
              <w:spacing w:line="440" w:lineRule="exact"/>
              <w:jc w:val="center"/>
              <w:rPr>
                <w:rFonts w:ascii="Times New Roman" w:hAnsi="Times New Roman" w:eastAsia="仿宋"/>
                <w:color w:val="000000" w:themeColor="text1"/>
                <w:sz w:val="24"/>
                <w:szCs w:val="24"/>
                <w:highlight w:val="none"/>
                <w14:textFill>
                  <w14:solidFill>
                    <w14:schemeClr w14:val="tx1"/>
                  </w14:solidFill>
                </w14:textFill>
              </w:rPr>
            </w:pPr>
          </w:p>
        </w:tc>
      </w:tr>
    </w:tbl>
    <w:p w14:paraId="1B59CB25">
      <w:pPr>
        <w:ind w:firstLine="210" w:firstLineChars="100"/>
        <w:rPr>
          <w:rFonts w:ascii="Times New Roman" w:hAnsi="Times New Roman" w:eastAsia="仿宋_GB2312"/>
          <w:color w:val="000000" w:themeColor="text1"/>
          <w:highlight w:val="none"/>
          <w14:textFill>
            <w14:solidFill>
              <w14:schemeClr w14:val="tx1"/>
            </w14:solidFill>
          </w14:textFill>
        </w:rPr>
      </w:pPr>
      <w:r>
        <w:rPr>
          <w:rFonts w:ascii="Times New Roman" w:hAnsi="Times New Roman" w:eastAsia="仿宋_GB2312"/>
          <w:color w:val="000000" w:themeColor="text1"/>
          <w:highlight w:val="none"/>
          <w14:textFill>
            <w14:solidFill>
              <w14:schemeClr w14:val="tx1"/>
            </w14:solidFill>
          </w14:textFill>
        </w:rPr>
        <w:t>注</w:t>
      </w:r>
      <w:r>
        <w:rPr>
          <w:rFonts w:hint="eastAsia" w:eastAsia="仿宋_GB2312"/>
          <w:color w:val="000000" w:themeColor="text1"/>
          <w:highlight w:val="none"/>
          <w:lang w:eastAsia="zh-CN"/>
          <w14:textFill>
            <w14:solidFill>
              <w14:schemeClr w14:val="tx1"/>
            </w14:solidFill>
          </w14:textFill>
        </w:rPr>
        <w:t>：</w:t>
      </w:r>
      <w:r>
        <w:rPr>
          <w:rFonts w:hint="eastAsia" w:eastAsia="仿宋_GB2312"/>
          <w:color w:val="000000" w:themeColor="text1"/>
          <w:highlight w:val="none"/>
          <w:lang w:val="en-US" w:eastAsia="zh-CN"/>
          <w14:textFill>
            <w14:solidFill>
              <w14:schemeClr w14:val="tx1"/>
            </w14:solidFill>
          </w14:textFill>
        </w:rPr>
        <w:t>1.</w:t>
      </w:r>
      <w:r>
        <w:rPr>
          <w:rFonts w:ascii="Times New Roman" w:hAnsi="Times New Roman" w:eastAsia="仿宋_GB2312"/>
          <w:color w:val="000000" w:themeColor="text1"/>
          <w:highlight w:val="none"/>
          <w14:textFill>
            <w14:solidFill>
              <w14:schemeClr w14:val="tx1"/>
            </w14:solidFill>
          </w14:textFill>
        </w:rPr>
        <w:t>此表中的总报价必须与数据文件中投标（报价）一览表的总报价一致。</w:t>
      </w:r>
    </w:p>
    <w:p w14:paraId="1859136A">
      <w:pPr>
        <w:numPr>
          <w:ilvl w:val="0"/>
          <w:numId w:val="0"/>
        </w:numPr>
        <w:ind w:left="0" w:leftChars="0" w:firstLine="0" w:firstLineChars="0"/>
        <w:rPr>
          <w:rFonts w:hint="eastAsia" w:eastAsia="仿宋_GB2312"/>
          <w:color w:val="000000" w:themeColor="text1"/>
          <w:highlight w:val="none"/>
          <w:lang w:val="en-US" w:eastAsia="zh-CN"/>
          <w14:textFill>
            <w14:solidFill>
              <w14:schemeClr w14:val="tx1"/>
            </w14:solidFill>
          </w14:textFill>
        </w:rPr>
      </w:pPr>
      <w:r>
        <w:rPr>
          <w:rFonts w:hint="eastAsia" w:ascii="Times New Roman" w:hAnsi="Times New Roman" w:eastAsia="仿宋_GB2312" w:cs="Times New Roman"/>
          <w:color w:val="000000" w:themeColor="text1"/>
          <w:kern w:val="2"/>
          <w:sz w:val="21"/>
          <w:szCs w:val="24"/>
          <w:highlight w:val="none"/>
          <w:lang w:val="en-US" w:eastAsia="zh-CN" w:bidi="ar-SA"/>
          <w14:textFill>
            <w14:solidFill>
              <w14:schemeClr w14:val="tx1"/>
            </w14:solidFill>
          </w14:textFill>
        </w:rPr>
        <w:t>2.</w:t>
      </w:r>
      <w:r>
        <w:rPr>
          <w:rFonts w:hint="eastAsia" w:eastAsia="仿宋_GB2312"/>
          <w:color w:val="000000" w:themeColor="text1"/>
          <w:highlight w:val="none"/>
          <w:lang w:val="en-US" w:eastAsia="zh-CN"/>
          <w14:textFill>
            <w14:solidFill>
              <w14:schemeClr w14:val="tx1"/>
            </w14:solidFill>
          </w14:textFill>
        </w:rPr>
        <w:t>本项目为交钥匙项目，投标人应对本次招标的全部内容以进行报价，包括系统及运行调试、人工、设备费、维护费、通讯费、交通费、住宿费、技术培训、管理、保险、验收、售后服务、利润、税金及附带服务等全部费用。</w:t>
      </w:r>
    </w:p>
    <w:p w14:paraId="1E275538">
      <w:pPr>
        <w:numPr>
          <w:ilvl w:val="0"/>
          <w:numId w:val="0"/>
        </w:numPr>
        <w:ind w:leftChars="0"/>
        <w:rPr>
          <w:rFonts w:hint="default" w:eastAsia="仿宋_GB2312"/>
          <w:color w:val="000000" w:themeColor="text1"/>
          <w:highlight w:val="none"/>
          <w:lang w:val="en-US" w:eastAsia="zh-CN"/>
          <w14:textFill>
            <w14:solidFill>
              <w14:schemeClr w14:val="tx1"/>
            </w14:solidFill>
          </w14:textFill>
        </w:rPr>
      </w:pPr>
      <w:r>
        <w:rPr>
          <w:rFonts w:hint="eastAsia" w:eastAsia="仿宋_GB2312"/>
          <w:color w:val="000000" w:themeColor="text1"/>
          <w:highlight w:val="none"/>
          <w:lang w:val="en-US" w:eastAsia="zh-CN"/>
          <w14:textFill>
            <w14:solidFill>
              <w14:schemeClr w14:val="tx1"/>
            </w14:solidFill>
          </w14:textFill>
        </w:rPr>
        <w:t>3.投标人应根据第三章招标内容与要求中的清单按模块进行详细报价，涉及设备的部分，供应商须详细列明所投设备的具体参数及品牌型号（格式自拟）。</w:t>
      </w:r>
    </w:p>
    <w:p w14:paraId="02FFD534">
      <w:pPr>
        <w:numPr>
          <w:ilvl w:val="0"/>
          <w:numId w:val="0"/>
        </w:numPr>
        <w:ind w:leftChars="0"/>
        <w:rPr>
          <w:rFonts w:hint="default" w:eastAsia="仿宋_GB2312"/>
          <w:color w:val="000000" w:themeColor="text1"/>
          <w:highlight w:val="none"/>
          <w:lang w:val="en-US" w:eastAsia="zh-CN"/>
          <w14:textFill>
            <w14:solidFill>
              <w14:schemeClr w14:val="tx1"/>
            </w14:solidFill>
          </w14:textFill>
        </w:rPr>
      </w:pPr>
    </w:p>
    <w:p w14:paraId="231B5551">
      <w:pPr>
        <w:pStyle w:val="24"/>
        <w:spacing w:line="520" w:lineRule="exact"/>
        <w:ind w:right="600"/>
        <w:jc w:val="center"/>
        <w:rPr>
          <w:rFonts w:hint="eastAsia" w:ascii="仿宋_GB2312" w:hAnsi="宋体" w:eastAsia="仿宋_GB2312"/>
          <w:color w:val="000000" w:themeColor="text1"/>
          <w:sz w:val="30"/>
          <w:szCs w:val="30"/>
          <w:highlight w:val="none"/>
          <w14:textFill>
            <w14:solidFill>
              <w14:schemeClr w14:val="tx1"/>
            </w14:solidFill>
          </w14:textFill>
        </w:rPr>
      </w:pPr>
    </w:p>
    <w:p w14:paraId="4B356033">
      <w:pPr>
        <w:tabs>
          <w:tab w:val="left" w:pos="5580"/>
        </w:tabs>
        <w:wordWrap w:val="0"/>
        <w:spacing w:line="360" w:lineRule="auto"/>
        <w:ind w:right="560" w:firstLine="7128" w:firstLineChars="2376"/>
        <w:rPr>
          <w:rFonts w:hint="eastAsia" w:ascii="仿宋_GB2312" w:hAnsi="宋体" w:eastAsia="仿宋_GB2312" w:cs="Times New Roman"/>
          <w:color w:val="000000" w:themeColor="text1"/>
          <w:kern w:val="0"/>
          <w:sz w:val="30"/>
          <w:szCs w:val="30"/>
          <w:highlight w:val="none"/>
          <w:lang w:val="en-US" w:eastAsia="zh-CN" w:bidi="ar-SA"/>
          <w14:textFill>
            <w14:solidFill>
              <w14:schemeClr w14:val="tx1"/>
            </w14:solidFill>
          </w14:textFill>
        </w:rPr>
      </w:pPr>
      <w:r>
        <w:rPr>
          <w:rFonts w:hint="eastAsia" w:ascii="仿宋_GB2312" w:hAnsi="宋体" w:eastAsia="仿宋_GB2312" w:cs="Times New Roman"/>
          <w:color w:val="000000" w:themeColor="text1"/>
          <w:kern w:val="0"/>
          <w:sz w:val="30"/>
          <w:szCs w:val="30"/>
          <w:highlight w:val="none"/>
          <w:lang w:val="en-US" w:eastAsia="zh-CN" w:bidi="ar-SA"/>
          <w14:textFill>
            <w14:solidFill>
              <w14:schemeClr w14:val="tx1"/>
            </w14:solidFill>
          </w14:textFill>
        </w:rPr>
        <w:t>投标人（公章）：</w:t>
      </w:r>
    </w:p>
    <w:p w14:paraId="702E8935">
      <w:pPr>
        <w:pStyle w:val="24"/>
        <w:spacing w:line="520" w:lineRule="exact"/>
        <w:ind w:right="600"/>
        <w:jc w:val="center"/>
        <w:rPr>
          <w:rFonts w:hint="eastAsia" w:ascii="仿宋_GB2312" w:hAnsi="宋体" w:eastAsia="仿宋_GB2312" w:cs="Times New Roman"/>
          <w:color w:val="000000" w:themeColor="text1"/>
          <w:kern w:val="0"/>
          <w:sz w:val="30"/>
          <w:szCs w:val="30"/>
          <w:highlight w:val="none"/>
          <w:lang w:val="en-US" w:eastAsia="zh-CN" w:bidi="ar-SA"/>
          <w14:textFill>
            <w14:solidFill>
              <w14:schemeClr w14:val="tx1"/>
            </w14:solidFill>
          </w14:textFill>
        </w:rPr>
        <w:sectPr>
          <w:pgSz w:w="11906" w:h="16838"/>
          <w:pgMar w:top="1440" w:right="1080" w:bottom="1440" w:left="1080" w:header="851" w:footer="992" w:gutter="0"/>
          <w:cols w:space="720" w:num="1"/>
          <w:docGrid w:type="lines" w:linePitch="312" w:charSpace="0"/>
        </w:sectPr>
      </w:pPr>
      <w:r>
        <w:rPr>
          <w:rFonts w:hint="eastAsia" w:ascii="仿宋_GB2312" w:hAnsi="宋体" w:eastAsia="仿宋_GB2312" w:cs="Times New Roman"/>
          <w:color w:val="000000" w:themeColor="text1"/>
          <w:kern w:val="0"/>
          <w:sz w:val="30"/>
          <w:szCs w:val="30"/>
          <w:highlight w:val="none"/>
          <w:lang w:val="en-US" w:eastAsia="zh-CN" w:bidi="ar-SA"/>
          <w14:textFill>
            <w14:solidFill>
              <w14:schemeClr w14:val="tx1"/>
            </w14:solidFill>
          </w14:textFill>
        </w:rPr>
        <w:t>法定代表人（依法登记的负责人）或授权代表（签字或签章）：</w:t>
      </w:r>
    </w:p>
    <w:p w14:paraId="01A64A10">
      <w:pPr>
        <w:pStyle w:val="24"/>
        <w:spacing w:line="520" w:lineRule="exact"/>
        <w:jc w:val="center"/>
        <w:rPr>
          <w:rFonts w:hAnsi="宋体"/>
          <w:b/>
          <w:color w:val="000000" w:themeColor="text1"/>
          <w:sz w:val="44"/>
          <w:szCs w:val="44"/>
          <w:highlight w:val="none"/>
          <w14:textFill>
            <w14:solidFill>
              <w14:schemeClr w14:val="tx1"/>
            </w14:solidFill>
          </w14:textFill>
        </w:rPr>
      </w:pPr>
      <w:r>
        <w:rPr>
          <w:rFonts w:hint="eastAsia" w:hAnsi="宋体"/>
          <w:b/>
          <w:color w:val="000000" w:themeColor="text1"/>
          <w:sz w:val="44"/>
          <w:szCs w:val="44"/>
          <w:highlight w:val="none"/>
          <w14:textFill>
            <w14:solidFill>
              <w14:schemeClr w14:val="tx1"/>
            </w14:solidFill>
          </w14:textFill>
        </w:rPr>
        <w:t>法人授权委托书</w:t>
      </w:r>
    </w:p>
    <w:p w14:paraId="0A0A89AB">
      <w:pPr>
        <w:pStyle w:val="24"/>
        <w:spacing w:line="520" w:lineRule="exact"/>
        <w:ind w:firstLine="1110"/>
        <w:jc w:val="center"/>
        <w:rPr>
          <w:rFonts w:ascii="仿宋_GB2312" w:hAnsi="宋体" w:eastAsia="仿宋_GB2312"/>
          <w:b/>
          <w:bCs/>
          <w:color w:val="000000" w:themeColor="text1"/>
          <w:sz w:val="28"/>
          <w:highlight w:val="none"/>
          <w14:textFill>
            <w14:solidFill>
              <w14:schemeClr w14:val="tx1"/>
            </w14:solidFill>
          </w14:textFill>
        </w:rPr>
      </w:pPr>
    </w:p>
    <w:p w14:paraId="2FC25492">
      <w:pPr>
        <w:pStyle w:val="24"/>
        <w:spacing w:line="520" w:lineRule="exact"/>
        <w:ind w:firstLine="600" w:firstLineChars="20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本授权书声明：注册于</w:t>
      </w:r>
      <w:r>
        <w:rPr>
          <w:rFonts w:hint="eastAsia" w:ascii="仿宋_GB2312" w:hAnsi="宋体" w:eastAsia="仿宋_GB2312"/>
          <w:color w:val="000000" w:themeColor="text1"/>
          <w:sz w:val="30"/>
          <w:szCs w:val="30"/>
          <w:highlight w:val="none"/>
          <w:u w:val="single"/>
          <w14:textFill>
            <w14:solidFill>
              <w14:schemeClr w14:val="tx1"/>
            </w14:solidFill>
          </w14:textFill>
        </w:rPr>
        <w:t xml:space="preserve">   (国家或地区的名称)  </w:t>
      </w:r>
      <w:r>
        <w:rPr>
          <w:rFonts w:hint="eastAsia" w:ascii="仿宋_GB2312" w:hAnsi="宋体" w:eastAsia="仿宋_GB2312"/>
          <w:color w:val="000000" w:themeColor="text1"/>
          <w:sz w:val="30"/>
          <w:szCs w:val="30"/>
          <w:highlight w:val="none"/>
          <w14:textFill>
            <w14:solidFill>
              <w14:schemeClr w14:val="tx1"/>
            </w14:solidFill>
          </w14:textFill>
        </w:rPr>
        <w:t>的</w:t>
      </w:r>
      <w:r>
        <w:rPr>
          <w:rFonts w:hint="eastAsia" w:ascii="仿宋_GB2312" w:hAnsi="宋体" w:eastAsia="仿宋_GB2312"/>
          <w:color w:val="000000" w:themeColor="text1"/>
          <w:sz w:val="30"/>
          <w:szCs w:val="30"/>
          <w:highlight w:val="none"/>
          <w:u w:val="single"/>
          <w14:textFill>
            <w14:solidFill>
              <w14:schemeClr w14:val="tx1"/>
            </w14:solidFill>
          </w14:textFill>
        </w:rPr>
        <w:t xml:space="preserve">  (公司名称)  </w:t>
      </w:r>
      <w:r>
        <w:rPr>
          <w:rFonts w:hint="eastAsia" w:ascii="仿宋_GB2312" w:hAnsi="宋体" w:eastAsia="仿宋_GB2312"/>
          <w:color w:val="000000" w:themeColor="text1"/>
          <w:sz w:val="30"/>
          <w:szCs w:val="30"/>
          <w:highlight w:val="none"/>
          <w14:textFill>
            <w14:solidFill>
              <w14:schemeClr w14:val="tx1"/>
            </w14:solidFill>
          </w14:textFill>
        </w:rPr>
        <w:t>的</w:t>
      </w:r>
      <w:r>
        <w:rPr>
          <w:rFonts w:hint="eastAsia" w:ascii="仿宋_GB2312" w:hAnsi="宋体" w:eastAsia="仿宋_GB2312"/>
          <w:color w:val="000000" w:themeColor="text1"/>
          <w:sz w:val="30"/>
          <w:szCs w:val="30"/>
          <w:highlight w:val="none"/>
          <w:u w:val="single"/>
          <w14:textFill>
            <w14:solidFill>
              <w14:schemeClr w14:val="tx1"/>
            </w14:solidFill>
          </w14:textFill>
        </w:rPr>
        <w:t xml:space="preserve"> (法定代表人（依法登记的负责人）姓名、职务)  </w:t>
      </w:r>
      <w:r>
        <w:rPr>
          <w:rFonts w:hint="eastAsia" w:ascii="仿宋_GB2312" w:hAnsi="宋体" w:eastAsia="仿宋_GB2312"/>
          <w:color w:val="000000" w:themeColor="text1"/>
          <w:sz w:val="30"/>
          <w:szCs w:val="30"/>
          <w:highlight w:val="none"/>
          <w14:textFill>
            <w14:solidFill>
              <w14:schemeClr w14:val="tx1"/>
            </w14:solidFill>
          </w14:textFill>
        </w:rPr>
        <w:t>，代表本公司授权</w:t>
      </w:r>
      <w:r>
        <w:rPr>
          <w:rFonts w:hint="eastAsia" w:ascii="仿宋_GB2312" w:hAnsi="宋体" w:eastAsia="仿宋_GB2312"/>
          <w:color w:val="000000" w:themeColor="text1"/>
          <w:sz w:val="30"/>
          <w:szCs w:val="30"/>
          <w:highlight w:val="none"/>
          <w:u w:val="single"/>
          <w14:textFill>
            <w14:solidFill>
              <w14:schemeClr w14:val="tx1"/>
            </w14:solidFill>
          </w14:textFill>
        </w:rPr>
        <w:t xml:space="preserve">  (被授权单位名称)  </w:t>
      </w:r>
      <w:r>
        <w:rPr>
          <w:rFonts w:hint="eastAsia" w:ascii="仿宋_GB2312" w:hAnsi="宋体" w:eastAsia="仿宋_GB2312"/>
          <w:color w:val="000000" w:themeColor="text1"/>
          <w:sz w:val="30"/>
          <w:szCs w:val="30"/>
          <w:highlight w:val="none"/>
          <w14:textFill>
            <w14:solidFill>
              <w14:schemeClr w14:val="tx1"/>
            </w14:solidFill>
          </w14:textFill>
        </w:rPr>
        <w:t>的</w:t>
      </w:r>
      <w:r>
        <w:rPr>
          <w:rFonts w:hint="eastAsia" w:ascii="仿宋_GB2312" w:hAnsi="宋体" w:eastAsia="仿宋_GB2312"/>
          <w:color w:val="000000" w:themeColor="text1"/>
          <w:sz w:val="30"/>
          <w:szCs w:val="30"/>
          <w:highlight w:val="none"/>
          <w:u w:val="single"/>
          <w14:textFill>
            <w14:solidFill>
              <w14:schemeClr w14:val="tx1"/>
            </w14:solidFill>
          </w14:textFill>
        </w:rPr>
        <w:t xml:space="preserve">        (被授权人的姓名、职务)</w:t>
      </w:r>
      <w:r>
        <w:rPr>
          <w:rFonts w:hint="eastAsia" w:ascii="仿宋_GB2312" w:hAnsi="宋体" w:eastAsia="仿宋_GB2312"/>
          <w:color w:val="000000" w:themeColor="text1"/>
          <w:sz w:val="30"/>
          <w:szCs w:val="30"/>
          <w:highlight w:val="none"/>
          <w14:textFill>
            <w14:solidFill>
              <w14:schemeClr w14:val="tx1"/>
            </w14:solidFill>
          </w14:textFill>
        </w:rPr>
        <w:t>为本公司的合法代理人，参加编号为</w:t>
      </w:r>
      <w:r>
        <w:rPr>
          <w:rFonts w:hint="eastAsia" w:ascii="仿宋_GB2312" w:hAnsi="宋体" w:eastAsia="仿宋_GB2312"/>
          <w:color w:val="000000" w:themeColor="text1"/>
          <w:sz w:val="30"/>
          <w:szCs w:val="30"/>
          <w:highlight w:val="none"/>
          <w:lang w:eastAsia="zh-CN"/>
          <w14:textFill>
            <w14:solidFill>
              <w14:schemeClr w14:val="tx1"/>
            </w14:solidFill>
          </w14:textFill>
        </w:rPr>
        <w:t>RCTDFZ2026-006</w:t>
      </w:r>
      <w:r>
        <w:rPr>
          <w:rFonts w:hint="eastAsia" w:ascii="仿宋_GB2312" w:hAnsi="宋体" w:eastAsia="仿宋_GB2312"/>
          <w:color w:val="000000" w:themeColor="text1"/>
          <w:sz w:val="30"/>
          <w:szCs w:val="30"/>
          <w:highlight w:val="none"/>
          <w14:textFill>
            <w14:solidFill>
              <w14:schemeClr w14:val="tx1"/>
            </w14:solidFill>
          </w14:textFill>
        </w:rPr>
        <w:t>号的公开招标采购活动，以本公司名义处理一切与之有关的事宜。</w:t>
      </w:r>
    </w:p>
    <w:p w14:paraId="76E0D7AD">
      <w:pPr>
        <w:pStyle w:val="24"/>
        <w:spacing w:line="520" w:lineRule="exact"/>
        <w:ind w:firstLine="600" w:firstLineChars="20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如果本公司在此次采购活动中中标，被授权人有权代表本公司签署合同。</w:t>
      </w:r>
    </w:p>
    <w:p w14:paraId="151FC96D">
      <w:pPr>
        <w:pStyle w:val="24"/>
        <w:spacing w:line="520" w:lineRule="exact"/>
        <w:ind w:firstLine="600" w:firstLineChars="20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本授权书于年月日法定代表人（依法登记的负责人）签字或盖章并由被授权人签字、单位盖章生效，特此声明。</w:t>
      </w:r>
    </w:p>
    <w:p w14:paraId="1CEACEA3">
      <w:pPr>
        <w:pStyle w:val="24"/>
        <w:spacing w:line="520" w:lineRule="exact"/>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 xml:space="preserve">    被授权人无转委托权。</w:t>
      </w:r>
    </w:p>
    <w:p w14:paraId="087CA3A3">
      <w:pPr>
        <w:pStyle w:val="24"/>
        <w:spacing w:line="520" w:lineRule="exact"/>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 xml:space="preserve"> </w:t>
      </w:r>
    </w:p>
    <w:p w14:paraId="32916E32">
      <w:pPr>
        <w:pStyle w:val="24"/>
        <w:spacing w:line="520" w:lineRule="exact"/>
        <w:ind w:firstLine="600" w:firstLineChars="20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法定代表人（依法登记的负责人）签字或盖章：</w:t>
      </w:r>
    </w:p>
    <w:p w14:paraId="41109334">
      <w:pPr>
        <w:pStyle w:val="24"/>
        <w:spacing w:line="520" w:lineRule="exact"/>
        <w:ind w:firstLine="600" w:firstLineChars="20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被授权人签字：</w:t>
      </w:r>
    </w:p>
    <w:p w14:paraId="3F964760">
      <w:pPr>
        <w:pStyle w:val="24"/>
        <w:spacing w:line="520" w:lineRule="exact"/>
        <w:ind w:firstLine="600" w:firstLineChars="20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投标人公章:</w:t>
      </w:r>
    </w:p>
    <w:tbl>
      <w:tblPr>
        <w:tblStyle w:val="47"/>
        <w:tblpPr w:leftFromText="180" w:rightFromText="180" w:vertAnchor="text" w:tblpXSpec="center" w:tblpY="1"/>
        <w:tblOverlap w:val="never"/>
        <w:tblW w:w="496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61"/>
      </w:tblGrid>
      <w:tr w14:paraId="3FF3BB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0" w:hRule="atLeast"/>
        </w:trPr>
        <w:tc>
          <w:tcPr>
            <w:tcW w:w="4961" w:type="dxa"/>
            <w:vAlign w:val="center"/>
          </w:tcPr>
          <w:p w14:paraId="77781E4A">
            <w:pPr>
              <w:pStyle w:val="40"/>
              <w:spacing w:line="440" w:lineRule="exact"/>
              <w:jc w:val="center"/>
              <w:rPr>
                <w:rFonts w:ascii="仿宋_GB2312" w:eastAsia="仿宋_GB2312"/>
                <w:color w:val="000000" w:themeColor="text1"/>
                <w:highlight w:val="none"/>
                <w14:textFill>
                  <w14:solidFill>
                    <w14:schemeClr w14:val="tx1"/>
                  </w14:solidFill>
                </w14:textFill>
              </w:rPr>
            </w:pPr>
            <w:r>
              <w:rPr>
                <w:rFonts w:hint="eastAsia" w:ascii="仿宋_GB2312" w:eastAsia="仿宋_GB2312"/>
                <w:color w:val="000000" w:themeColor="text1"/>
                <w:kern w:val="2"/>
                <w:highlight w:val="none"/>
                <w14:textFill>
                  <w14:solidFill>
                    <w14:schemeClr w14:val="tx1"/>
                  </w14:solidFill>
                </w14:textFill>
              </w:rPr>
              <w:t>（被授权人身份证</w:t>
            </w:r>
            <w:r>
              <w:rPr>
                <w:rFonts w:hint="eastAsia" w:ascii="仿宋_GB2312" w:eastAsia="仿宋_GB2312"/>
                <w:color w:val="000000" w:themeColor="text1"/>
                <w:kern w:val="2"/>
                <w:highlight w:val="none"/>
                <w:lang w:val="en-US" w:eastAsia="zh-CN"/>
                <w14:textFill>
                  <w14:solidFill>
                    <w14:schemeClr w14:val="tx1"/>
                  </w14:solidFill>
                </w14:textFill>
              </w:rPr>
              <w:t>正反面</w:t>
            </w:r>
            <w:r>
              <w:rPr>
                <w:rFonts w:hint="eastAsia" w:ascii="仿宋_GB2312" w:eastAsia="仿宋_GB2312"/>
                <w:color w:val="000000" w:themeColor="text1"/>
                <w:kern w:val="2"/>
                <w:highlight w:val="none"/>
                <w14:textFill>
                  <w14:solidFill>
                    <w14:schemeClr w14:val="tx1"/>
                  </w14:solidFill>
                </w14:textFill>
              </w:rPr>
              <w:t>扫描件）</w:t>
            </w:r>
          </w:p>
        </w:tc>
      </w:tr>
    </w:tbl>
    <w:p w14:paraId="30E275C8">
      <w:pPr>
        <w:pStyle w:val="24"/>
        <w:spacing w:line="520" w:lineRule="exact"/>
        <w:jc w:val="center"/>
        <w:rPr>
          <w:rFonts w:ascii="仿宋_GB2312" w:hAnsi="宋体" w:eastAsia="仿宋_GB2312"/>
          <w:b/>
          <w:color w:val="000000" w:themeColor="text1"/>
          <w:sz w:val="36"/>
          <w:highlight w:val="none"/>
          <w14:textFill>
            <w14:solidFill>
              <w14:schemeClr w14:val="tx1"/>
            </w14:solidFill>
          </w14:textFill>
        </w:rPr>
      </w:pPr>
    </w:p>
    <w:p w14:paraId="0E9E19BE">
      <w:pPr>
        <w:rPr>
          <w:rFonts w:ascii="仿宋_GB2312" w:eastAsia="仿宋_GB2312"/>
          <w:color w:val="000000" w:themeColor="text1"/>
          <w:highlight w:val="none"/>
          <w14:textFill>
            <w14:solidFill>
              <w14:schemeClr w14:val="tx1"/>
            </w14:solidFill>
          </w14:textFill>
        </w:rPr>
      </w:pPr>
    </w:p>
    <w:p w14:paraId="6AC8763B">
      <w:pPr>
        <w:rPr>
          <w:rFonts w:ascii="仿宋_GB2312" w:eastAsia="仿宋_GB2312"/>
          <w:color w:val="000000" w:themeColor="text1"/>
          <w:highlight w:val="none"/>
          <w14:textFill>
            <w14:solidFill>
              <w14:schemeClr w14:val="tx1"/>
            </w14:solidFill>
          </w14:textFill>
        </w:rPr>
      </w:pPr>
    </w:p>
    <w:p w14:paraId="04CFBC77">
      <w:pPr>
        <w:rPr>
          <w:rFonts w:ascii="仿宋_GB2312" w:eastAsia="仿宋_GB2312"/>
          <w:color w:val="000000" w:themeColor="text1"/>
          <w:highlight w:val="none"/>
          <w14:textFill>
            <w14:solidFill>
              <w14:schemeClr w14:val="tx1"/>
            </w14:solidFill>
          </w14:textFill>
        </w:rPr>
      </w:pPr>
    </w:p>
    <w:p w14:paraId="5B1F5FF5">
      <w:pPr>
        <w:rPr>
          <w:rFonts w:ascii="仿宋_GB2312" w:eastAsia="仿宋_GB2312"/>
          <w:color w:val="000000" w:themeColor="text1"/>
          <w:highlight w:val="none"/>
          <w14:textFill>
            <w14:solidFill>
              <w14:schemeClr w14:val="tx1"/>
            </w14:solidFill>
          </w14:textFill>
        </w:rPr>
      </w:pPr>
    </w:p>
    <w:p w14:paraId="0F9D88DE">
      <w:pPr>
        <w:rPr>
          <w:rFonts w:ascii="仿宋_GB2312" w:eastAsia="仿宋_GB2312"/>
          <w:color w:val="000000" w:themeColor="text1"/>
          <w:highlight w:val="none"/>
          <w14:textFill>
            <w14:solidFill>
              <w14:schemeClr w14:val="tx1"/>
            </w14:solidFill>
          </w14:textFill>
        </w:rPr>
      </w:pPr>
    </w:p>
    <w:p w14:paraId="55706FDE">
      <w:pPr>
        <w:ind w:firstLine="420" w:firstLineChars="200"/>
        <w:rPr>
          <w:rFonts w:ascii="仿宋_GB2312" w:eastAsia="仿宋_GB2312"/>
          <w:color w:val="000000" w:themeColor="text1"/>
          <w:highlight w:val="none"/>
          <w14:textFill>
            <w14:solidFill>
              <w14:schemeClr w14:val="tx1"/>
            </w14:solidFill>
          </w14:textFill>
        </w:rPr>
      </w:pPr>
    </w:p>
    <w:p w14:paraId="4E28B946">
      <w:pPr>
        <w:ind w:firstLine="420" w:firstLineChars="200"/>
        <w:rPr>
          <w:rFonts w:ascii="仿宋_GB2312" w:eastAsia="仿宋_GB2312"/>
          <w:color w:val="000000" w:themeColor="text1"/>
          <w:highlight w:val="none"/>
          <w14:textFill>
            <w14:solidFill>
              <w14:schemeClr w14:val="tx1"/>
            </w14:solidFill>
          </w14:textFill>
        </w:rPr>
      </w:pPr>
    </w:p>
    <w:p w14:paraId="773ED463">
      <w:pPr>
        <w:ind w:firstLine="420" w:firstLineChars="200"/>
        <w:rPr>
          <w:rFonts w:ascii="仿宋_GB2312" w:eastAsia="仿宋_GB2312"/>
          <w:color w:val="000000" w:themeColor="text1"/>
          <w:highlight w:val="none"/>
          <w14:textFill>
            <w14:solidFill>
              <w14:schemeClr w14:val="tx1"/>
            </w14:solidFill>
          </w14:textFill>
        </w:rPr>
      </w:pPr>
    </w:p>
    <w:p w14:paraId="67088232">
      <w:pPr>
        <w:ind w:firstLine="420" w:firstLineChars="200"/>
        <w:rPr>
          <w:rFonts w:ascii="仿宋_GB2312" w:eastAsia="仿宋_GB2312"/>
          <w:color w:val="000000" w:themeColor="text1"/>
          <w:highlight w:val="none"/>
          <w14:textFill>
            <w14:solidFill>
              <w14:schemeClr w14:val="tx1"/>
            </w14:solidFill>
          </w14:textFill>
        </w:rPr>
      </w:pPr>
    </w:p>
    <w:p w14:paraId="11DDA564">
      <w:pPr>
        <w:ind w:firstLine="420" w:firstLineChars="200"/>
        <w:rPr>
          <w:rFonts w:ascii="仿宋_GB2312" w:eastAsia="仿宋_GB2312"/>
          <w:color w:val="000000" w:themeColor="text1"/>
          <w:highlight w:val="none"/>
          <w14:textFill>
            <w14:solidFill>
              <w14:schemeClr w14:val="tx1"/>
            </w14:solidFill>
          </w14:textFill>
        </w:rPr>
      </w:pPr>
    </w:p>
    <w:p w14:paraId="21420BC0">
      <w:pPr>
        <w:spacing w:line="560" w:lineRule="exact"/>
        <w:jc w:val="center"/>
        <w:rPr>
          <w:rFonts w:ascii="宋体" w:hAnsi="宋体"/>
          <w:b/>
          <w:color w:val="000000" w:themeColor="text1"/>
          <w:sz w:val="44"/>
          <w:szCs w:val="44"/>
          <w:highlight w:val="none"/>
          <w14:textFill>
            <w14:solidFill>
              <w14:schemeClr w14:val="tx1"/>
            </w14:solidFill>
          </w14:textFill>
        </w:rPr>
      </w:pPr>
    </w:p>
    <w:p w14:paraId="472AA123">
      <w:pPr>
        <w:spacing w:line="560" w:lineRule="exact"/>
        <w:jc w:val="center"/>
        <w:rPr>
          <w:rFonts w:ascii="宋体" w:hAnsi="宋体"/>
          <w:b/>
          <w:color w:val="000000" w:themeColor="text1"/>
          <w:sz w:val="44"/>
          <w:szCs w:val="44"/>
          <w:highlight w:val="none"/>
          <w14:textFill>
            <w14:solidFill>
              <w14:schemeClr w14:val="tx1"/>
            </w14:solidFill>
          </w14:textFill>
        </w:rPr>
      </w:pPr>
    </w:p>
    <w:p w14:paraId="499B8B1D">
      <w:pPr>
        <w:spacing w:line="560" w:lineRule="exact"/>
        <w:jc w:val="center"/>
        <w:rPr>
          <w:rFonts w:ascii="宋体" w:hAnsi="宋体"/>
          <w:b/>
          <w:color w:val="000000" w:themeColor="text1"/>
          <w:sz w:val="44"/>
          <w:szCs w:val="44"/>
          <w:highlight w:val="none"/>
          <w14:textFill>
            <w14:solidFill>
              <w14:schemeClr w14:val="tx1"/>
            </w14:solidFill>
          </w14:textFill>
        </w:rPr>
      </w:pPr>
    </w:p>
    <w:p w14:paraId="17BEB128">
      <w:pPr>
        <w:spacing w:line="560" w:lineRule="exact"/>
        <w:jc w:val="center"/>
        <w:rPr>
          <w:rFonts w:ascii="宋体" w:hAnsi="宋体"/>
          <w:b/>
          <w:color w:val="000000" w:themeColor="text1"/>
          <w:sz w:val="44"/>
          <w:szCs w:val="44"/>
          <w:highlight w:val="none"/>
          <w14:textFill>
            <w14:solidFill>
              <w14:schemeClr w14:val="tx1"/>
            </w14:solidFill>
          </w14:textFill>
        </w:rPr>
      </w:pPr>
      <w:r>
        <w:rPr>
          <w:rFonts w:hint="eastAsia" w:ascii="宋体" w:hAnsi="宋体"/>
          <w:b/>
          <w:color w:val="000000" w:themeColor="text1"/>
          <w:sz w:val="44"/>
          <w:szCs w:val="44"/>
          <w:highlight w:val="none"/>
          <w14:textFill>
            <w14:solidFill>
              <w14:schemeClr w14:val="tx1"/>
            </w14:solidFill>
          </w14:textFill>
        </w:rPr>
        <w:t>投标人的依法缴纳税收和社会保障资金的声明</w:t>
      </w:r>
    </w:p>
    <w:p w14:paraId="0DB787A4">
      <w:pPr>
        <w:spacing w:line="560" w:lineRule="exact"/>
        <w:jc w:val="center"/>
        <w:rPr>
          <w:rFonts w:ascii="宋体" w:hAnsi="宋体"/>
          <w:b/>
          <w:color w:val="000000" w:themeColor="text1"/>
          <w:sz w:val="44"/>
          <w:szCs w:val="44"/>
          <w:highlight w:val="none"/>
          <w14:textFill>
            <w14:solidFill>
              <w14:schemeClr w14:val="tx1"/>
            </w14:solidFill>
          </w14:textFill>
        </w:rPr>
      </w:pPr>
    </w:p>
    <w:p w14:paraId="1BC9A59A">
      <w:pPr>
        <w:spacing w:line="560" w:lineRule="exact"/>
        <w:jc w:val="center"/>
        <w:rPr>
          <w:rFonts w:ascii="宋体" w:hAnsi="宋体"/>
          <w:b/>
          <w:color w:val="000000" w:themeColor="text1"/>
          <w:sz w:val="44"/>
          <w:szCs w:val="44"/>
          <w:highlight w:val="none"/>
          <w14:textFill>
            <w14:solidFill>
              <w14:schemeClr w14:val="tx1"/>
            </w14:solidFill>
          </w14:textFill>
        </w:rPr>
      </w:pPr>
      <w:bookmarkStart w:id="19" w:name="OLE_LINK1"/>
    </w:p>
    <w:p w14:paraId="1D1E5FC0">
      <w:pPr>
        <w:spacing w:line="560" w:lineRule="exact"/>
        <w:jc w:val="center"/>
        <w:rPr>
          <w:rFonts w:ascii="宋体" w:hAnsi="宋体"/>
          <w:b/>
          <w:color w:val="000000" w:themeColor="text1"/>
          <w:sz w:val="44"/>
          <w:szCs w:val="44"/>
          <w:highlight w:val="none"/>
          <w14:textFill>
            <w14:solidFill>
              <w14:schemeClr w14:val="tx1"/>
            </w14:solidFill>
          </w14:textFill>
        </w:rPr>
      </w:pPr>
    </w:p>
    <w:p w14:paraId="15B840AC">
      <w:pPr>
        <w:spacing w:line="560" w:lineRule="exact"/>
        <w:jc w:val="center"/>
        <w:rPr>
          <w:rFonts w:ascii="宋体" w:hAnsi="宋体"/>
          <w:b/>
          <w:color w:val="000000" w:themeColor="text1"/>
          <w:sz w:val="44"/>
          <w:szCs w:val="44"/>
          <w:highlight w:val="none"/>
          <w14:textFill>
            <w14:solidFill>
              <w14:schemeClr w14:val="tx1"/>
            </w14:solidFill>
          </w14:textFill>
        </w:rPr>
      </w:pPr>
    </w:p>
    <w:p w14:paraId="194ED268">
      <w:pPr>
        <w:spacing w:line="560" w:lineRule="exact"/>
        <w:jc w:val="center"/>
        <w:rPr>
          <w:rFonts w:ascii="宋体" w:hAnsi="宋体"/>
          <w:b/>
          <w:color w:val="000000" w:themeColor="text1"/>
          <w:sz w:val="44"/>
          <w:szCs w:val="44"/>
          <w:highlight w:val="none"/>
          <w14:textFill>
            <w14:solidFill>
              <w14:schemeClr w14:val="tx1"/>
            </w14:solidFill>
          </w14:textFill>
        </w:rPr>
      </w:pPr>
    </w:p>
    <w:p w14:paraId="4EE892B1">
      <w:pPr>
        <w:spacing w:line="560" w:lineRule="exact"/>
        <w:jc w:val="center"/>
        <w:rPr>
          <w:rFonts w:ascii="宋体" w:hAnsi="宋体"/>
          <w:b/>
          <w:color w:val="000000" w:themeColor="text1"/>
          <w:sz w:val="44"/>
          <w:szCs w:val="44"/>
          <w:highlight w:val="none"/>
          <w14:textFill>
            <w14:solidFill>
              <w14:schemeClr w14:val="tx1"/>
            </w14:solidFill>
          </w14:textFill>
        </w:rPr>
      </w:pPr>
    </w:p>
    <w:p w14:paraId="61443637">
      <w:pPr>
        <w:spacing w:line="560" w:lineRule="exact"/>
        <w:jc w:val="center"/>
        <w:rPr>
          <w:rFonts w:ascii="宋体" w:hAnsi="宋体"/>
          <w:b/>
          <w:color w:val="000000" w:themeColor="text1"/>
          <w:sz w:val="44"/>
          <w:szCs w:val="44"/>
          <w:highlight w:val="none"/>
          <w14:textFill>
            <w14:solidFill>
              <w14:schemeClr w14:val="tx1"/>
            </w14:solidFill>
          </w14:textFill>
        </w:rPr>
      </w:pPr>
    </w:p>
    <w:p w14:paraId="30C350B8">
      <w:pPr>
        <w:spacing w:line="560" w:lineRule="exact"/>
        <w:jc w:val="center"/>
        <w:rPr>
          <w:rFonts w:ascii="宋体" w:hAnsi="宋体"/>
          <w:b/>
          <w:color w:val="000000" w:themeColor="text1"/>
          <w:sz w:val="44"/>
          <w:szCs w:val="44"/>
          <w:highlight w:val="none"/>
          <w14:textFill>
            <w14:solidFill>
              <w14:schemeClr w14:val="tx1"/>
            </w14:solidFill>
          </w14:textFill>
        </w:rPr>
      </w:pPr>
    </w:p>
    <w:p w14:paraId="2C4F50E0">
      <w:pPr>
        <w:spacing w:line="560" w:lineRule="exact"/>
        <w:jc w:val="center"/>
        <w:rPr>
          <w:rFonts w:ascii="宋体" w:hAnsi="宋体"/>
          <w:b/>
          <w:color w:val="000000" w:themeColor="text1"/>
          <w:sz w:val="44"/>
          <w:szCs w:val="44"/>
          <w:highlight w:val="none"/>
          <w14:textFill>
            <w14:solidFill>
              <w14:schemeClr w14:val="tx1"/>
            </w14:solidFill>
          </w14:textFill>
        </w:rPr>
      </w:pPr>
    </w:p>
    <w:p w14:paraId="096CDF72">
      <w:pPr>
        <w:spacing w:line="560" w:lineRule="exact"/>
        <w:jc w:val="center"/>
        <w:rPr>
          <w:rFonts w:ascii="宋体" w:hAnsi="宋体"/>
          <w:b/>
          <w:color w:val="000000" w:themeColor="text1"/>
          <w:sz w:val="44"/>
          <w:szCs w:val="44"/>
          <w:highlight w:val="none"/>
          <w14:textFill>
            <w14:solidFill>
              <w14:schemeClr w14:val="tx1"/>
            </w14:solidFill>
          </w14:textFill>
        </w:rPr>
      </w:pPr>
    </w:p>
    <w:p w14:paraId="48EF5EFA">
      <w:pPr>
        <w:spacing w:line="560" w:lineRule="exact"/>
        <w:jc w:val="center"/>
        <w:rPr>
          <w:rFonts w:ascii="宋体" w:hAnsi="宋体"/>
          <w:b/>
          <w:color w:val="000000" w:themeColor="text1"/>
          <w:sz w:val="44"/>
          <w:szCs w:val="44"/>
          <w:highlight w:val="none"/>
          <w14:textFill>
            <w14:solidFill>
              <w14:schemeClr w14:val="tx1"/>
            </w14:solidFill>
          </w14:textFill>
        </w:rPr>
      </w:pPr>
    </w:p>
    <w:p w14:paraId="7AF502CC">
      <w:pPr>
        <w:spacing w:line="560" w:lineRule="exact"/>
        <w:jc w:val="center"/>
        <w:rPr>
          <w:rFonts w:ascii="宋体" w:hAnsi="宋体"/>
          <w:b/>
          <w:color w:val="000000" w:themeColor="text1"/>
          <w:sz w:val="44"/>
          <w:szCs w:val="44"/>
          <w:highlight w:val="none"/>
          <w14:textFill>
            <w14:solidFill>
              <w14:schemeClr w14:val="tx1"/>
            </w14:solidFill>
          </w14:textFill>
        </w:rPr>
      </w:pPr>
    </w:p>
    <w:p w14:paraId="385E2B47">
      <w:pPr>
        <w:spacing w:line="560" w:lineRule="exact"/>
        <w:jc w:val="center"/>
        <w:rPr>
          <w:rFonts w:ascii="宋体" w:hAnsi="宋体"/>
          <w:b/>
          <w:color w:val="000000" w:themeColor="text1"/>
          <w:sz w:val="44"/>
          <w:szCs w:val="44"/>
          <w:highlight w:val="none"/>
          <w14:textFill>
            <w14:solidFill>
              <w14:schemeClr w14:val="tx1"/>
            </w14:solidFill>
          </w14:textFill>
        </w:rPr>
      </w:pPr>
    </w:p>
    <w:p w14:paraId="5395EFBD">
      <w:pPr>
        <w:spacing w:line="560" w:lineRule="exact"/>
        <w:jc w:val="center"/>
        <w:rPr>
          <w:rFonts w:ascii="宋体" w:hAnsi="宋体"/>
          <w:b/>
          <w:color w:val="000000" w:themeColor="text1"/>
          <w:sz w:val="44"/>
          <w:szCs w:val="44"/>
          <w:highlight w:val="none"/>
          <w14:textFill>
            <w14:solidFill>
              <w14:schemeClr w14:val="tx1"/>
            </w14:solidFill>
          </w14:textFill>
        </w:rPr>
      </w:pPr>
    </w:p>
    <w:p w14:paraId="0A8614B1">
      <w:pPr>
        <w:spacing w:line="560" w:lineRule="exact"/>
        <w:jc w:val="center"/>
        <w:rPr>
          <w:rFonts w:ascii="宋体" w:hAnsi="宋体"/>
          <w:b/>
          <w:color w:val="000000" w:themeColor="text1"/>
          <w:sz w:val="44"/>
          <w:szCs w:val="44"/>
          <w:highlight w:val="none"/>
          <w14:textFill>
            <w14:solidFill>
              <w14:schemeClr w14:val="tx1"/>
            </w14:solidFill>
          </w14:textFill>
        </w:rPr>
      </w:pPr>
    </w:p>
    <w:p w14:paraId="56AEE523">
      <w:pPr>
        <w:spacing w:line="560" w:lineRule="exact"/>
        <w:jc w:val="center"/>
        <w:rPr>
          <w:rFonts w:ascii="宋体" w:hAnsi="宋体"/>
          <w:b/>
          <w:color w:val="000000" w:themeColor="text1"/>
          <w:sz w:val="44"/>
          <w:szCs w:val="44"/>
          <w:highlight w:val="none"/>
          <w14:textFill>
            <w14:solidFill>
              <w14:schemeClr w14:val="tx1"/>
            </w14:solidFill>
          </w14:textFill>
        </w:rPr>
      </w:pPr>
    </w:p>
    <w:p w14:paraId="387F7355">
      <w:pPr>
        <w:spacing w:line="560" w:lineRule="exact"/>
        <w:jc w:val="center"/>
        <w:rPr>
          <w:rFonts w:ascii="宋体" w:hAnsi="宋体"/>
          <w:b/>
          <w:color w:val="000000" w:themeColor="text1"/>
          <w:sz w:val="44"/>
          <w:szCs w:val="44"/>
          <w:highlight w:val="none"/>
          <w14:textFill>
            <w14:solidFill>
              <w14:schemeClr w14:val="tx1"/>
            </w14:solidFill>
          </w14:textFill>
        </w:rPr>
      </w:pPr>
    </w:p>
    <w:p w14:paraId="30FE6B4E">
      <w:pPr>
        <w:spacing w:line="560" w:lineRule="exact"/>
        <w:jc w:val="center"/>
        <w:rPr>
          <w:rFonts w:ascii="宋体" w:hAnsi="宋体"/>
          <w:b/>
          <w:color w:val="000000" w:themeColor="text1"/>
          <w:sz w:val="44"/>
          <w:szCs w:val="44"/>
          <w:highlight w:val="none"/>
          <w14:textFill>
            <w14:solidFill>
              <w14:schemeClr w14:val="tx1"/>
            </w14:solidFill>
          </w14:textFill>
        </w:rPr>
      </w:pPr>
    </w:p>
    <w:p w14:paraId="3DA91601">
      <w:pPr>
        <w:spacing w:line="560" w:lineRule="exact"/>
        <w:jc w:val="center"/>
        <w:rPr>
          <w:rFonts w:ascii="宋体" w:hAnsi="宋体"/>
          <w:b/>
          <w:color w:val="000000" w:themeColor="text1"/>
          <w:sz w:val="44"/>
          <w:szCs w:val="44"/>
          <w:highlight w:val="none"/>
          <w14:textFill>
            <w14:solidFill>
              <w14:schemeClr w14:val="tx1"/>
            </w14:solidFill>
          </w14:textFill>
        </w:rPr>
      </w:pPr>
    </w:p>
    <w:p w14:paraId="583CE60A">
      <w:pPr>
        <w:spacing w:line="560" w:lineRule="exact"/>
        <w:jc w:val="center"/>
        <w:rPr>
          <w:rFonts w:ascii="宋体" w:hAnsi="宋体"/>
          <w:b/>
          <w:color w:val="000000" w:themeColor="text1"/>
          <w:sz w:val="44"/>
          <w:szCs w:val="44"/>
          <w:highlight w:val="none"/>
          <w14:textFill>
            <w14:solidFill>
              <w14:schemeClr w14:val="tx1"/>
            </w14:solidFill>
          </w14:textFill>
        </w:rPr>
      </w:pPr>
    </w:p>
    <w:p w14:paraId="7614B487">
      <w:pPr>
        <w:ind w:right="600"/>
        <w:jc w:val="center"/>
        <w:rPr>
          <w:rFonts w:ascii="仿宋_GB2312" w:hAnsi="宋体" w:eastAsia="仿宋_GB2312"/>
          <w:color w:val="000000" w:themeColor="text1"/>
          <w:sz w:val="30"/>
          <w:szCs w:val="30"/>
          <w:highlight w:val="none"/>
          <w14:textFill>
            <w14:solidFill>
              <w14:schemeClr w14:val="tx1"/>
            </w14:solidFill>
          </w14:textFill>
        </w:rPr>
        <w:sectPr>
          <w:footerReference r:id="rId15" w:type="default"/>
          <w:pgSz w:w="11906" w:h="16838"/>
          <w:pgMar w:top="1440" w:right="1080" w:bottom="1440" w:left="1080" w:header="851" w:footer="992" w:gutter="0"/>
          <w:cols w:space="720" w:num="1"/>
          <w:docGrid w:type="lines" w:linePitch="312" w:charSpace="0"/>
        </w:sectPr>
      </w:pPr>
      <w:r>
        <w:rPr>
          <w:rFonts w:hint="eastAsia" w:ascii="仿宋_GB2312" w:hAnsi="宋体" w:eastAsia="仿宋_GB2312"/>
          <w:color w:val="000000" w:themeColor="text1"/>
          <w:sz w:val="30"/>
          <w:szCs w:val="30"/>
          <w:highlight w:val="none"/>
          <w14:textFill>
            <w14:solidFill>
              <w14:schemeClr w14:val="tx1"/>
            </w14:solidFill>
          </w14:textFill>
        </w:rPr>
        <w:t>投标人(盖章)：</w:t>
      </w:r>
      <w:bookmarkEnd w:id="19"/>
    </w:p>
    <w:p w14:paraId="5D0EA1FC">
      <w:pPr>
        <w:ind w:right="600"/>
        <w:jc w:val="center"/>
        <w:rPr>
          <w:rFonts w:ascii="宋体" w:hAnsi="宋体"/>
          <w:b/>
          <w:bCs/>
          <w:color w:val="000000" w:themeColor="text1"/>
          <w:sz w:val="44"/>
          <w:szCs w:val="44"/>
          <w:highlight w:val="none"/>
          <w14:textFill>
            <w14:solidFill>
              <w14:schemeClr w14:val="tx1"/>
            </w14:solidFill>
          </w14:textFill>
        </w:rPr>
      </w:pPr>
      <w:r>
        <w:rPr>
          <w:rFonts w:hint="eastAsia" w:ascii="宋体" w:hAnsi="宋体"/>
          <w:b/>
          <w:bCs/>
          <w:color w:val="000000" w:themeColor="text1"/>
          <w:sz w:val="44"/>
          <w:szCs w:val="44"/>
          <w:highlight w:val="none"/>
          <w14:textFill>
            <w14:solidFill>
              <w14:schemeClr w14:val="tx1"/>
            </w14:solidFill>
          </w14:textFill>
        </w:rPr>
        <w:t>近期的完税凭证扫描件及交纳社保资金凭证的扫描件</w:t>
      </w:r>
      <w:r>
        <w:rPr>
          <w:rFonts w:hint="eastAsia" w:ascii="宋体" w:hAnsi="宋体"/>
          <w:b/>
          <w:bCs/>
          <w:color w:val="000000" w:themeColor="text1"/>
          <w:sz w:val="44"/>
          <w:szCs w:val="44"/>
          <w:highlight w:val="none"/>
          <w:lang w:val="en-US" w:eastAsia="zh-CN"/>
          <w14:textFill>
            <w14:solidFill>
              <w14:schemeClr w14:val="tx1"/>
            </w14:solidFill>
          </w14:textFill>
        </w:rPr>
        <w:t>（无须缴纳税收的投标人须提供税务部门开具的无欠税证明）</w:t>
      </w:r>
    </w:p>
    <w:p w14:paraId="13BF33FF">
      <w:pPr>
        <w:ind w:right="600"/>
        <w:jc w:val="center"/>
        <w:rPr>
          <w:rFonts w:ascii="宋体" w:hAnsi="宋体"/>
          <w:b/>
          <w:bCs/>
          <w:color w:val="000000" w:themeColor="text1"/>
          <w:sz w:val="44"/>
          <w:szCs w:val="44"/>
          <w:highlight w:val="none"/>
          <w14:textFill>
            <w14:solidFill>
              <w14:schemeClr w14:val="tx1"/>
            </w14:solidFill>
          </w14:textFill>
        </w:rPr>
      </w:pPr>
    </w:p>
    <w:p w14:paraId="5ABD9A61">
      <w:pPr>
        <w:spacing w:line="560" w:lineRule="exact"/>
        <w:jc w:val="center"/>
        <w:rPr>
          <w:rFonts w:ascii="宋体" w:hAnsi="宋体"/>
          <w:b/>
          <w:color w:val="000000" w:themeColor="text1"/>
          <w:sz w:val="44"/>
          <w:szCs w:val="44"/>
          <w:highlight w:val="none"/>
          <w14:textFill>
            <w14:solidFill>
              <w14:schemeClr w14:val="tx1"/>
            </w14:solidFill>
          </w14:textFill>
        </w:rPr>
      </w:pPr>
    </w:p>
    <w:p w14:paraId="67B38AE3">
      <w:pPr>
        <w:spacing w:line="560" w:lineRule="exact"/>
        <w:jc w:val="center"/>
        <w:rPr>
          <w:rFonts w:ascii="宋体" w:hAnsi="宋体"/>
          <w:b/>
          <w:color w:val="000000" w:themeColor="text1"/>
          <w:sz w:val="44"/>
          <w:szCs w:val="44"/>
          <w:highlight w:val="none"/>
          <w14:textFill>
            <w14:solidFill>
              <w14:schemeClr w14:val="tx1"/>
            </w14:solidFill>
          </w14:textFill>
        </w:rPr>
      </w:pPr>
    </w:p>
    <w:p w14:paraId="122E556B">
      <w:pPr>
        <w:spacing w:line="560" w:lineRule="exact"/>
        <w:jc w:val="center"/>
        <w:rPr>
          <w:rFonts w:ascii="宋体" w:hAnsi="宋体"/>
          <w:b/>
          <w:color w:val="000000" w:themeColor="text1"/>
          <w:sz w:val="44"/>
          <w:szCs w:val="44"/>
          <w:highlight w:val="none"/>
          <w14:textFill>
            <w14:solidFill>
              <w14:schemeClr w14:val="tx1"/>
            </w14:solidFill>
          </w14:textFill>
        </w:rPr>
      </w:pPr>
    </w:p>
    <w:p w14:paraId="445CF4D7">
      <w:pPr>
        <w:spacing w:line="560" w:lineRule="exact"/>
        <w:jc w:val="center"/>
        <w:rPr>
          <w:rFonts w:ascii="宋体" w:hAnsi="宋体"/>
          <w:b/>
          <w:color w:val="000000" w:themeColor="text1"/>
          <w:sz w:val="44"/>
          <w:szCs w:val="44"/>
          <w:highlight w:val="none"/>
          <w14:textFill>
            <w14:solidFill>
              <w14:schemeClr w14:val="tx1"/>
            </w14:solidFill>
          </w14:textFill>
        </w:rPr>
      </w:pPr>
    </w:p>
    <w:p w14:paraId="6578AF4F">
      <w:pPr>
        <w:spacing w:line="560" w:lineRule="exact"/>
        <w:jc w:val="center"/>
        <w:rPr>
          <w:rFonts w:ascii="宋体" w:hAnsi="宋体"/>
          <w:b/>
          <w:color w:val="000000" w:themeColor="text1"/>
          <w:sz w:val="44"/>
          <w:szCs w:val="44"/>
          <w:highlight w:val="none"/>
          <w14:textFill>
            <w14:solidFill>
              <w14:schemeClr w14:val="tx1"/>
            </w14:solidFill>
          </w14:textFill>
        </w:rPr>
      </w:pPr>
    </w:p>
    <w:p w14:paraId="29AF2928">
      <w:pPr>
        <w:spacing w:line="560" w:lineRule="exact"/>
        <w:jc w:val="center"/>
        <w:rPr>
          <w:rFonts w:ascii="宋体" w:hAnsi="宋体"/>
          <w:b/>
          <w:color w:val="000000" w:themeColor="text1"/>
          <w:sz w:val="44"/>
          <w:szCs w:val="44"/>
          <w:highlight w:val="none"/>
          <w14:textFill>
            <w14:solidFill>
              <w14:schemeClr w14:val="tx1"/>
            </w14:solidFill>
          </w14:textFill>
        </w:rPr>
      </w:pPr>
    </w:p>
    <w:p w14:paraId="20C814B3">
      <w:pPr>
        <w:spacing w:line="560" w:lineRule="exact"/>
        <w:jc w:val="center"/>
        <w:rPr>
          <w:rFonts w:ascii="宋体" w:hAnsi="宋体"/>
          <w:b/>
          <w:color w:val="000000" w:themeColor="text1"/>
          <w:sz w:val="44"/>
          <w:szCs w:val="44"/>
          <w:highlight w:val="none"/>
          <w14:textFill>
            <w14:solidFill>
              <w14:schemeClr w14:val="tx1"/>
            </w14:solidFill>
          </w14:textFill>
        </w:rPr>
      </w:pPr>
    </w:p>
    <w:p w14:paraId="39D937BB">
      <w:pPr>
        <w:spacing w:line="560" w:lineRule="exact"/>
        <w:jc w:val="center"/>
        <w:rPr>
          <w:rFonts w:ascii="宋体" w:hAnsi="宋体"/>
          <w:b/>
          <w:color w:val="000000" w:themeColor="text1"/>
          <w:sz w:val="44"/>
          <w:szCs w:val="44"/>
          <w:highlight w:val="none"/>
          <w14:textFill>
            <w14:solidFill>
              <w14:schemeClr w14:val="tx1"/>
            </w14:solidFill>
          </w14:textFill>
        </w:rPr>
      </w:pPr>
    </w:p>
    <w:p w14:paraId="16C771F2">
      <w:pPr>
        <w:spacing w:line="560" w:lineRule="exact"/>
        <w:jc w:val="center"/>
        <w:rPr>
          <w:rFonts w:ascii="宋体" w:hAnsi="宋体"/>
          <w:b/>
          <w:color w:val="000000" w:themeColor="text1"/>
          <w:sz w:val="44"/>
          <w:szCs w:val="44"/>
          <w:highlight w:val="none"/>
          <w14:textFill>
            <w14:solidFill>
              <w14:schemeClr w14:val="tx1"/>
            </w14:solidFill>
          </w14:textFill>
        </w:rPr>
      </w:pPr>
    </w:p>
    <w:p w14:paraId="48208F78">
      <w:pPr>
        <w:spacing w:line="560" w:lineRule="exact"/>
        <w:jc w:val="center"/>
        <w:rPr>
          <w:rFonts w:ascii="宋体" w:hAnsi="宋体"/>
          <w:b/>
          <w:color w:val="000000" w:themeColor="text1"/>
          <w:sz w:val="44"/>
          <w:szCs w:val="44"/>
          <w:highlight w:val="none"/>
          <w14:textFill>
            <w14:solidFill>
              <w14:schemeClr w14:val="tx1"/>
            </w14:solidFill>
          </w14:textFill>
        </w:rPr>
      </w:pPr>
    </w:p>
    <w:p w14:paraId="746FBEA2">
      <w:pPr>
        <w:spacing w:line="560" w:lineRule="exact"/>
        <w:jc w:val="center"/>
        <w:rPr>
          <w:rFonts w:ascii="宋体" w:hAnsi="宋体"/>
          <w:b/>
          <w:color w:val="000000" w:themeColor="text1"/>
          <w:sz w:val="44"/>
          <w:szCs w:val="44"/>
          <w:highlight w:val="none"/>
          <w14:textFill>
            <w14:solidFill>
              <w14:schemeClr w14:val="tx1"/>
            </w14:solidFill>
          </w14:textFill>
        </w:rPr>
      </w:pPr>
    </w:p>
    <w:p w14:paraId="4307325B">
      <w:pPr>
        <w:spacing w:line="560" w:lineRule="exact"/>
        <w:jc w:val="center"/>
        <w:rPr>
          <w:rFonts w:ascii="宋体" w:hAnsi="宋体"/>
          <w:b/>
          <w:color w:val="000000" w:themeColor="text1"/>
          <w:sz w:val="44"/>
          <w:szCs w:val="44"/>
          <w:highlight w:val="none"/>
          <w14:textFill>
            <w14:solidFill>
              <w14:schemeClr w14:val="tx1"/>
            </w14:solidFill>
          </w14:textFill>
        </w:rPr>
      </w:pPr>
    </w:p>
    <w:p w14:paraId="59E3EAD2">
      <w:pPr>
        <w:spacing w:line="560" w:lineRule="exact"/>
        <w:jc w:val="center"/>
        <w:rPr>
          <w:rFonts w:ascii="宋体" w:hAnsi="宋体"/>
          <w:b/>
          <w:color w:val="000000" w:themeColor="text1"/>
          <w:sz w:val="44"/>
          <w:szCs w:val="44"/>
          <w:highlight w:val="none"/>
          <w14:textFill>
            <w14:solidFill>
              <w14:schemeClr w14:val="tx1"/>
            </w14:solidFill>
          </w14:textFill>
        </w:rPr>
      </w:pPr>
    </w:p>
    <w:p w14:paraId="6264B329">
      <w:pPr>
        <w:spacing w:line="560" w:lineRule="exact"/>
        <w:jc w:val="center"/>
        <w:rPr>
          <w:rFonts w:ascii="宋体" w:hAnsi="宋体"/>
          <w:b/>
          <w:color w:val="000000" w:themeColor="text1"/>
          <w:sz w:val="44"/>
          <w:szCs w:val="44"/>
          <w:highlight w:val="none"/>
          <w14:textFill>
            <w14:solidFill>
              <w14:schemeClr w14:val="tx1"/>
            </w14:solidFill>
          </w14:textFill>
        </w:rPr>
      </w:pPr>
    </w:p>
    <w:p w14:paraId="2DBB90F4">
      <w:pPr>
        <w:spacing w:line="560" w:lineRule="exact"/>
        <w:jc w:val="center"/>
        <w:rPr>
          <w:rFonts w:ascii="宋体" w:hAnsi="宋体"/>
          <w:b/>
          <w:color w:val="000000" w:themeColor="text1"/>
          <w:sz w:val="44"/>
          <w:szCs w:val="44"/>
          <w:highlight w:val="none"/>
          <w14:textFill>
            <w14:solidFill>
              <w14:schemeClr w14:val="tx1"/>
            </w14:solidFill>
          </w14:textFill>
        </w:rPr>
      </w:pPr>
    </w:p>
    <w:p w14:paraId="485487F5">
      <w:pPr>
        <w:spacing w:line="560" w:lineRule="exact"/>
        <w:jc w:val="center"/>
        <w:rPr>
          <w:rFonts w:ascii="宋体" w:hAnsi="宋体"/>
          <w:b/>
          <w:color w:val="000000" w:themeColor="text1"/>
          <w:sz w:val="44"/>
          <w:szCs w:val="44"/>
          <w:highlight w:val="none"/>
          <w14:textFill>
            <w14:solidFill>
              <w14:schemeClr w14:val="tx1"/>
            </w14:solidFill>
          </w14:textFill>
        </w:rPr>
      </w:pPr>
    </w:p>
    <w:p w14:paraId="188287B9">
      <w:pPr>
        <w:spacing w:line="560" w:lineRule="exact"/>
        <w:jc w:val="center"/>
        <w:rPr>
          <w:rFonts w:ascii="宋体" w:hAnsi="宋体"/>
          <w:b/>
          <w:color w:val="000000" w:themeColor="text1"/>
          <w:sz w:val="44"/>
          <w:szCs w:val="44"/>
          <w:highlight w:val="none"/>
          <w14:textFill>
            <w14:solidFill>
              <w14:schemeClr w14:val="tx1"/>
            </w14:solidFill>
          </w14:textFill>
        </w:rPr>
      </w:pPr>
    </w:p>
    <w:p w14:paraId="6CA296C2">
      <w:pPr>
        <w:spacing w:line="560" w:lineRule="exact"/>
        <w:jc w:val="center"/>
        <w:rPr>
          <w:rFonts w:ascii="宋体" w:hAnsi="宋体"/>
          <w:b/>
          <w:color w:val="000000" w:themeColor="text1"/>
          <w:sz w:val="44"/>
          <w:szCs w:val="44"/>
          <w:highlight w:val="none"/>
          <w14:textFill>
            <w14:solidFill>
              <w14:schemeClr w14:val="tx1"/>
            </w14:solidFill>
          </w14:textFill>
        </w:rPr>
      </w:pPr>
    </w:p>
    <w:p w14:paraId="2800C4AB">
      <w:pPr>
        <w:spacing w:line="560" w:lineRule="exact"/>
        <w:jc w:val="center"/>
        <w:rPr>
          <w:rFonts w:ascii="宋体" w:hAnsi="宋体"/>
          <w:b/>
          <w:color w:val="000000" w:themeColor="text1"/>
          <w:sz w:val="44"/>
          <w:szCs w:val="44"/>
          <w:highlight w:val="none"/>
          <w14:textFill>
            <w14:solidFill>
              <w14:schemeClr w14:val="tx1"/>
            </w14:solidFill>
          </w14:textFill>
        </w:rPr>
      </w:pPr>
    </w:p>
    <w:p w14:paraId="391F7D4B">
      <w:pPr>
        <w:ind w:right="600"/>
        <w:jc w:val="center"/>
        <w:rPr>
          <w:rFonts w:ascii="宋体" w:hAnsi="宋体"/>
          <w:b/>
          <w:bCs/>
          <w:color w:val="000000" w:themeColor="text1"/>
          <w:sz w:val="44"/>
          <w:szCs w:val="44"/>
          <w:highlight w:val="none"/>
          <w14:textFill>
            <w14:solidFill>
              <w14:schemeClr w14:val="tx1"/>
            </w14:solidFill>
          </w14:textFill>
        </w:rPr>
        <w:sectPr>
          <w:pgSz w:w="11906" w:h="16838"/>
          <w:pgMar w:top="1440" w:right="1080" w:bottom="1440" w:left="1080" w:header="851" w:footer="992" w:gutter="0"/>
          <w:cols w:space="720" w:num="1"/>
          <w:docGrid w:type="lines" w:linePitch="312" w:charSpace="0"/>
        </w:sectPr>
      </w:pPr>
      <w:r>
        <w:rPr>
          <w:rFonts w:hint="eastAsia" w:ascii="仿宋_GB2312" w:hAnsi="宋体" w:eastAsia="仿宋_GB2312"/>
          <w:color w:val="000000" w:themeColor="text1"/>
          <w:sz w:val="30"/>
          <w:szCs w:val="30"/>
          <w:highlight w:val="none"/>
          <w14:textFill>
            <w14:solidFill>
              <w14:schemeClr w14:val="tx1"/>
            </w14:solidFill>
          </w14:textFill>
        </w:rPr>
        <w:t>投标人(盖章)：</w:t>
      </w:r>
    </w:p>
    <w:p w14:paraId="2081867E">
      <w:pPr>
        <w:spacing w:line="560" w:lineRule="exact"/>
        <w:rPr>
          <w:rFonts w:ascii="宋体" w:hAnsi="宋体"/>
          <w:b/>
          <w:color w:val="000000" w:themeColor="text1"/>
          <w:sz w:val="44"/>
          <w:szCs w:val="44"/>
          <w:highlight w:val="none"/>
          <w14:textFill>
            <w14:solidFill>
              <w14:schemeClr w14:val="tx1"/>
            </w14:solidFill>
          </w14:textFill>
        </w:rPr>
      </w:pPr>
    </w:p>
    <w:p w14:paraId="60CB69BE">
      <w:pPr>
        <w:spacing w:line="560" w:lineRule="exact"/>
        <w:jc w:val="center"/>
        <w:rPr>
          <w:rFonts w:ascii="宋体" w:hAnsi="宋体"/>
          <w:b/>
          <w:bCs/>
          <w:color w:val="000000" w:themeColor="text1"/>
          <w:sz w:val="44"/>
          <w:szCs w:val="44"/>
          <w:highlight w:val="none"/>
          <w14:textFill>
            <w14:solidFill>
              <w14:schemeClr w14:val="tx1"/>
            </w14:solidFill>
          </w14:textFill>
        </w:rPr>
      </w:pPr>
      <w:r>
        <w:rPr>
          <w:rFonts w:hint="eastAsia" w:ascii="宋体" w:hAnsi="宋体"/>
          <w:b/>
          <w:bCs/>
          <w:color w:val="000000" w:themeColor="text1"/>
          <w:sz w:val="44"/>
          <w:szCs w:val="44"/>
          <w:highlight w:val="none"/>
          <w14:textFill>
            <w14:solidFill>
              <w14:schemeClr w14:val="tx1"/>
            </w14:solidFill>
          </w14:textFill>
        </w:rPr>
        <w:t>投标人参加本项目投标前三年内无重大违法违纪行为声明原件（格式自定）</w:t>
      </w:r>
    </w:p>
    <w:p w14:paraId="49AB1837">
      <w:pPr>
        <w:jc w:val="right"/>
        <w:rPr>
          <w:rFonts w:ascii="仿宋_GB2312" w:hAnsi="宋体" w:eastAsia="仿宋_GB2312"/>
          <w:b/>
          <w:bCs/>
          <w:color w:val="000000" w:themeColor="text1"/>
          <w:sz w:val="30"/>
          <w:szCs w:val="30"/>
          <w:highlight w:val="none"/>
          <w14:textFill>
            <w14:solidFill>
              <w14:schemeClr w14:val="tx1"/>
            </w14:solidFill>
          </w14:textFill>
        </w:rPr>
      </w:pPr>
    </w:p>
    <w:p w14:paraId="7B10823C">
      <w:pPr>
        <w:jc w:val="right"/>
        <w:rPr>
          <w:rFonts w:ascii="仿宋_GB2312" w:hAnsi="宋体" w:eastAsia="仿宋_GB2312"/>
          <w:b/>
          <w:bCs/>
          <w:color w:val="000000" w:themeColor="text1"/>
          <w:sz w:val="30"/>
          <w:szCs w:val="30"/>
          <w:highlight w:val="none"/>
          <w14:textFill>
            <w14:solidFill>
              <w14:schemeClr w14:val="tx1"/>
            </w14:solidFill>
          </w14:textFill>
        </w:rPr>
      </w:pPr>
    </w:p>
    <w:p w14:paraId="541B7F46">
      <w:pPr>
        <w:jc w:val="right"/>
        <w:rPr>
          <w:rFonts w:ascii="仿宋_GB2312" w:hAnsi="宋体" w:eastAsia="仿宋_GB2312"/>
          <w:b/>
          <w:bCs/>
          <w:color w:val="000000" w:themeColor="text1"/>
          <w:sz w:val="30"/>
          <w:szCs w:val="30"/>
          <w:highlight w:val="none"/>
          <w14:textFill>
            <w14:solidFill>
              <w14:schemeClr w14:val="tx1"/>
            </w14:solidFill>
          </w14:textFill>
        </w:rPr>
      </w:pPr>
    </w:p>
    <w:p w14:paraId="731B66FA">
      <w:pPr>
        <w:jc w:val="right"/>
        <w:rPr>
          <w:rFonts w:ascii="仿宋_GB2312" w:hAnsi="宋体" w:eastAsia="仿宋_GB2312"/>
          <w:b/>
          <w:bCs/>
          <w:color w:val="000000" w:themeColor="text1"/>
          <w:sz w:val="30"/>
          <w:szCs w:val="30"/>
          <w:highlight w:val="none"/>
          <w14:textFill>
            <w14:solidFill>
              <w14:schemeClr w14:val="tx1"/>
            </w14:solidFill>
          </w14:textFill>
        </w:rPr>
      </w:pPr>
    </w:p>
    <w:p w14:paraId="59C24FC8">
      <w:pPr>
        <w:jc w:val="right"/>
        <w:rPr>
          <w:rFonts w:ascii="仿宋_GB2312" w:hAnsi="宋体" w:eastAsia="仿宋_GB2312"/>
          <w:b/>
          <w:bCs/>
          <w:color w:val="000000" w:themeColor="text1"/>
          <w:sz w:val="30"/>
          <w:szCs w:val="30"/>
          <w:highlight w:val="none"/>
          <w14:textFill>
            <w14:solidFill>
              <w14:schemeClr w14:val="tx1"/>
            </w14:solidFill>
          </w14:textFill>
        </w:rPr>
      </w:pPr>
    </w:p>
    <w:p w14:paraId="2F16CCB0">
      <w:pPr>
        <w:jc w:val="right"/>
        <w:rPr>
          <w:rFonts w:ascii="仿宋_GB2312" w:hAnsi="宋体" w:eastAsia="仿宋_GB2312"/>
          <w:b/>
          <w:bCs/>
          <w:color w:val="000000" w:themeColor="text1"/>
          <w:sz w:val="30"/>
          <w:szCs w:val="30"/>
          <w:highlight w:val="none"/>
          <w14:textFill>
            <w14:solidFill>
              <w14:schemeClr w14:val="tx1"/>
            </w14:solidFill>
          </w14:textFill>
        </w:rPr>
      </w:pPr>
    </w:p>
    <w:p w14:paraId="3906670C">
      <w:pPr>
        <w:jc w:val="right"/>
        <w:rPr>
          <w:rFonts w:ascii="仿宋_GB2312" w:hAnsi="宋体" w:eastAsia="仿宋_GB2312"/>
          <w:b/>
          <w:bCs/>
          <w:color w:val="000000" w:themeColor="text1"/>
          <w:sz w:val="30"/>
          <w:szCs w:val="30"/>
          <w:highlight w:val="none"/>
          <w14:textFill>
            <w14:solidFill>
              <w14:schemeClr w14:val="tx1"/>
            </w14:solidFill>
          </w14:textFill>
        </w:rPr>
      </w:pPr>
    </w:p>
    <w:p w14:paraId="6A0960B5">
      <w:pPr>
        <w:jc w:val="right"/>
        <w:rPr>
          <w:rFonts w:ascii="仿宋_GB2312" w:hAnsi="宋体" w:eastAsia="仿宋_GB2312"/>
          <w:b/>
          <w:bCs/>
          <w:color w:val="000000" w:themeColor="text1"/>
          <w:sz w:val="30"/>
          <w:szCs w:val="30"/>
          <w:highlight w:val="none"/>
          <w14:textFill>
            <w14:solidFill>
              <w14:schemeClr w14:val="tx1"/>
            </w14:solidFill>
          </w14:textFill>
        </w:rPr>
      </w:pPr>
    </w:p>
    <w:p w14:paraId="5A33ED68">
      <w:pPr>
        <w:jc w:val="right"/>
        <w:rPr>
          <w:rFonts w:ascii="仿宋_GB2312" w:hAnsi="宋体" w:eastAsia="仿宋_GB2312"/>
          <w:b/>
          <w:bCs/>
          <w:color w:val="000000" w:themeColor="text1"/>
          <w:sz w:val="30"/>
          <w:szCs w:val="30"/>
          <w:highlight w:val="none"/>
          <w14:textFill>
            <w14:solidFill>
              <w14:schemeClr w14:val="tx1"/>
            </w14:solidFill>
          </w14:textFill>
        </w:rPr>
      </w:pPr>
    </w:p>
    <w:p w14:paraId="6CDAF629">
      <w:pPr>
        <w:jc w:val="right"/>
        <w:rPr>
          <w:rFonts w:ascii="仿宋_GB2312" w:hAnsi="宋体" w:eastAsia="仿宋_GB2312"/>
          <w:b/>
          <w:bCs/>
          <w:color w:val="000000" w:themeColor="text1"/>
          <w:sz w:val="30"/>
          <w:szCs w:val="30"/>
          <w:highlight w:val="none"/>
          <w14:textFill>
            <w14:solidFill>
              <w14:schemeClr w14:val="tx1"/>
            </w14:solidFill>
          </w14:textFill>
        </w:rPr>
      </w:pPr>
    </w:p>
    <w:p w14:paraId="706DF582">
      <w:pPr>
        <w:jc w:val="right"/>
        <w:rPr>
          <w:rFonts w:ascii="仿宋_GB2312" w:hAnsi="宋体" w:eastAsia="仿宋_GB2312"/>
          <w:b/>
          <w:bCs/>
          <w:color w:val="000000" w:themeColor="text1"/>
          <w:sz w:val="30"/>
          <w:szCs w:val="30"/>
          <w:highlight w:val="none"/>
          <w14:textFill>
            <w14:solidFill>
              <w14:schemeClr w14:val="tx1"/>
            </w14:solidFill>
          </w14:textFill>
        </w:rPr>
      </w:pPr>
    </w:p>
    <w:p w14:paraId="030CB811">
      <w:pPr>
        <w:jc w:val="right"/>
        <w:rPr>
          <w:rFonts w:ascii="仿宋_GB2312" w:hAnsi="宋体" w:eastAsia="仿宋_GB2312"/>
          <w:b/>
          <w:bCs/>
          <w:color w:val="000000" w:themeColor="text1"/>
          <w:sz w:val="30"/>
          <w:szCs w:val="30"/>
          <w:highlight w:val="none"/>
          <w14:textFill>
            <w14:solidFill>
              <w14:schemeClr w14:val="tx1"/>
            </w14:solidFill>
          </w14:textFill>
        </w:rPr>
      </w:pPr>
    </w:p>
    <w:p w14:paraId="06727392">
      <w:pPr>
        <w:jc w:val="right"/>
        <w:rPr>
          <w:rFonts w:ascii="仿宋_GB2312" w:hAnsi="宋体" w:eastAsia="仿宋_GB2312"/>
          <w:b/>
          <w:bCs/>
          <w:color w:val="000000" w:themeColor="text1"/>
          <w:sz w:val="30"/>
          <w:szCs w:val="30"/>
          <w:highlight w:val="none"/>
          <w14:textFill>
            <w14:solidFill>
              <w14:schemeClr w14:val="tx1"/>
            </w14:solidFill>
          </w14:textFill>
        </w:rPr>
      </w:pPr>
    </w:p>
    <w:p w14:paraId="2909DC2F">
      <w:pPr>
        <w:ind w:right="1204"/>
        <w:rPr>
          <w:rFonts w:ascii="仿宋_GB2312" w:hAnsi="宋体" w:eastAsia="仿宋_GB2312"/>
          <w:b/>
          <w:bCs/>
          <w:color w:val="000000" w:themeColor="text1"/>
          <w:sz w:val="30"/>
          <w:szCs w:val="30"/>
          <w:highlight w:val="none"/>
          <w14:textFill>
            <w14:solidFill>
              <w14:schemeClr w14:val="tx1"/>
            </w14:solidFill>
          </w14:textFill>
        </w:rPr>
      </w:pPr>
    </w:p>
    <w:p w14:paraId="0E73B708">
      <w:pPr>
        <w:jc w:val="right"/>
        <w:rPr>
          <w:rFonts w:ascii="仿宋_GB2312" w:hAnsi="宋体" w:eastAsia="仿宋_GB2312"/>
          <w:b/>
          <w:bCs/>
          <w:color w:val="000000" w:themeColor="text1"/>
          <w:sz w:val="30"/>
          <w:szCs w:val="30"/>
          <w:highlight w:val="none"/>
          <w14:textFill>
            <w14:solidFill>
              <w14:schemeClr w14:val="tx1"/>
            </w14:solidFill>
          </w14:textFill>
        </w:rPr>
      </w:pPr>
    </w:p>
    <w:p w14:paraId="0259FD0F">
      <w:pPr>
        <w:jc w:val="right"/>
        <w:rPr>
          <w:rFonts w:ascii="仿宋_GB2312" w:hAnsi="宋体" w:eastAsia="仿宋_GB2312"/>
          <w:b/>
          <w:bCs/>
          <w:color w:val="000000" w:themeColor="text1"/>
          <w:sz w:val="30"/>
          <w:szCs w:val="30"/>
          <w:highlight w:val="none"/>
          <w14:textFill>
            <w14:solidFill>
              <w14:schemeClr w14:val="tx1"/>
            </w14:solidFill>
          </w14:textFill>
        </w:rPr>
      </w:pPr>
    </w:p>
    <w:p w14:paraId="7D92B5E3">
      <w:pPr>
        <w:pStyle w:val="13"/>
        <w:rPr>
          <w:color w:val="000000" w:themeColor="text1"/>
          <w:highlight w:val="none"/>
          <w14:textFill>
            <w14:solidFill>
              <w14:schemeClr w14:val="tx1"/>
            </w14:solidFill>
          </w14:textFill>
        </w:rPr>
      </w:pPr>
    </w:p>
    <w:p w14:paraId="13558739">
      <w:pPr>
        <w:jc w:val="right"/>
        <w:rPr>
          <w:rFonts w:ascii="仿宋_GB2312" w:hAnsi="宋体" w:eastAsia="仿宋_GB2312"/>
          <w:b/>
          <w:bCs/>
          <w:color w:val="000000" w:themeColor="text1"/>
          <w:sz w:val="30"/>
          <w:szCs w:val="30"/>
          <w:highlight w:val="none"/>
          <w14:textFill>
            <w14:solidFill>
              <w14:schemeClr w14:val="tx1"/>
            </w14:solidFill>
          </w14:textFill>
        </w:rPr>
      </w:pPr>
    </w:p>
    <w:p w14:paraId="6AEA76A0">
      <w:pPr>
        <w:pStyle w:val="13"/>
        <w:rPr>
          <w:color w:val="000000" w:themeColor="text1"/>
          <w:highlight w:val="none"/>
          <w14:textFill>
            <w14:solidFill>
              <w14:schemeClr w14:val="tx1"/>
            </w14:solidFill>
          </w14:textFill>
        </w:rPr>
      </w:pPr>
    </w:p>
    <w:p w14:paraId="704F158D">
      <w:pPr>
        <w:ind w:right="600" w:firstLine="4200" w:firstLineChars="1400"/>
        <w:rPr>
          <w:rFonts w:ascii="仿宋_GB2312" w:hAnsi="宋体" w:eastAsia="仿宋_GB2312"/>
          <w:b/>
          <w:bCs/>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投标人(盖章)：</w:t>
      </w:r>
    </w:p>
    <w:p w14:paraId="2AE6945F">
      <w:pPr>
        <w:rPr>
          <w:rFonts w:ascii="宋体" w:hAnsi="宋体"/>
          <w:b/>
          <w:color w:val="000000" w:themeColor="text1"/>
          <w:sz w:val="44"/>
          <w:szCs w:val="44"/>
          <w:highlight w:val="none"/>
          <w14:textFill>
            <w14:solidFill>
              <w14:schemeClr w14:val="tx1"/>
            </w14:solidFill>
          </w14:textFill>
        </w:rPr>
      </w:pPr>
    </w:p>
    <w:p w14:paraId="425396E7">
      <w:pPr>
        <w:jc w:val="center"/>
        <w:rPr>
          <w:rFonts w:ascii="宋体" w:hAnsi="宋体"/>
          <w:b/>
          <w:bCs/>
          <w:color w:val="000000" w:themeColor="text1"/>
          <w:sz w:val="44"/>
          <w:szCs w:val="44"/>
          <w:highlight w:val="none"/>
          <w14:textFill>
            <w14:solidFill>
              <w14:schemeClr w14:val="tx1"/>
            </w14:solidFill>
          </w14:textFill>
        </w:rPr>
      </w:pPr>
      <w:r>
        <w:rPr>
          <w:rFonts w:hint="eastAsia" w:ascii="宋体" w:hAnsi="宋体"/>
          <w:b/>
          <w:bCs/>
          <w:color w:val="000000" w:themeColor="text1"/>
          <w:sz w:val="44"/>
          <w:szCs w:val="44"/>
          <w:highlight w:val="none"/>
          <w14:textFill>
            <w14:solidFill>
              <w14:schemeClr w14:val="tx1"/>
            </w14:solidFill>
          </w14:textFill>
        </w:rPr>
        <w:t>投标人、法定代表人（依法登记的负责人）、授权委托人未被最高法院列入失信被执行人</w:t>
      </w:r>
    </w:p>
    <w:p w14:paraId="27FA22A8">
      <w:pPr>
        <w:jc w:val="center"/>
        <w:rPr>
          <w:rFonts w:ascii="宋体" w:hAnsi="宋体"/>
          <w:b/>
          <w:bCs/>
          <w:color w:val="000000" w:themeColor="text1"/>
          <w:sz w:val="44"/>
          <w:szCs w:val="44"/>
          <w:highlight w:val="none"/>
          <w14:textFill>
            <w14:solidFill>
              <w14:schemeClr w14:val="tx1"/>
            </w14:solidFill>
          </w14:textFill>
        </w:rPr>
      </w:pPr>
      <w:r>
        <w:rPr>
          <w:rFonts w:hint="eastAsia" w:ascii="宋体" w:hAnsi="宋体"/>
          <w:b/>
          <w:bCs/>
          <w:color w:val="000000" w:themeColor="text1"/>
          <w:sz w:val="44"/>
          <w:szCs w:val="44"/>
          <w:highlight w:val="none"/>
          <w14:textFill>
            <w14:solidFill>
              <w14:schemeClr w14:val="tx1"/>
            </w14:solidFill>
          </w14:textFill>
        </w:rPr>
        <w:t>（网址http://zxgk.court.gov.cn/zhzxgk/）</w:t>
      </w:r>
    </w:p>
    <w:p w14:paraId="509FC44E">
      <w:pPr>
        <w:jc w:val="center"/>
        <w:rPr>
          <w:rFonts w:ascii="仿宋" w:hAnsi="仿宋" w:eastAsia="仿宋"/>
          <w:color w:val="000000" w:themeColor="text1"/>
          <w:sz w:val="40"/>
          <w:szCs w:val="44"/>
          <w:highlight w:val="none"/>
          <w14:textFill>
            <w14:solidFill>
              <w14:schemeClr w14:val="tx1"/>
            </w14:solidFill>
          </w14:textFill>
        </w:rPr>
      </w:pPr>
    </w:p>
    <w:p w14:paraId="548AC94A">
      <w:pPr>
        <w:jc w:val="center"/>
        <w:rPr>
          <w:rFonts w:ascii="仿宋" w:hAnsi="仿宋" w:eastAsia="仿宋"/>
          <w:color w:val="000000" w:themeColor="text1"/>
          <w:sz w:val="40"/>
          <w:szCs w:val="44"/>
          <w:highlight w:val="none"/>
          <w14:textFill>
            <w14:solidFill>
              <w14:schemeClr w14:val="tx1"/>
            </w14:solidFill>
          </w14:textFill>
        </w:rPr>
      </w:pPr>
    </w:p>
    <w:p w14:paraId="1DBB0E53">
      <w:pPr>
        <w:pStyle w:val="13"/>
        <w:rPr>
          <w:color w:val="000000" w:themeColor="text1"/>
          <w:highlight w:val="none"/>
          <w14:textFill>
            <w14:solidFill>
              <w14:schemeClr w14:val="tx1"/>
            </w14:solidFill>
          </w14:textFill>
        </w:rPr>
      </w:pPr>
    </w:p>
    <w:p w14:paraId="45191570">
      <w:pPr>
        <w:pStyle w:val="13"/>
        <w:rPr>
          <w:color w:val="000000" w:themeColor="text1"/>
          <w:highlight w:val="none"/>
          <w14:textFill>
            <w14:solidFill>
              <w14:schemeClr w14:val="tx1"/>
            </w14:solidFill>
          </w14:textFill>
        </w:rPr>
      </w:pPr>
    </w:p>
    <w:p w14:paraId="5F988448">
      <w:pPr>
        <w:pStyle w:val="13"/>
        <w:rPr>
          <w:color w:val="000000" w:themeColor="text1"/>
          <w:highlight w:val="none"/>
          <w14:textFill>
            <w14:solidFill>
              <w14:schemeClr w14:val="tx1"/>
            </w14:solidFill>
          </w14:textFill>
        </w:rPr>
      </w:pPr>
    </w:p>
    <w:p w14:paraId="11738EC4">
      <w:pPr>
        <w:pStyle w:val="13"/>
        <w:rPr>
          <w:color w:val="000000" w:themeColor="text1"/>
          <w:highlight w:val="none"/>
          <w14:textFill>
            <w14:solidFill>
              <w14:schemeClr w14:val="tx1"/>
            </w14:solidFill>
          </w14:textFill>
        </w:rPr>
      </w:pPr>
    </w:p>
    <w:p w14:paraId="10A1B346">
      <w:pPr>
        <w:pStyle w:val="13"/>
        <w:rPr>
          <w:color w:val="000000" w:themeColor="text1"/>
          <w:highlight w:val="none"/>
          <w14:textFill>
            <w14:solidFill>
              <w14:schemeClr w14:val="tx1"/>
            </w14:solidFill>
          </w14:textFill>
        </w:rPr>
      </w:pPr>
    </w:p>
    <w:p w14:paraId="6A0C77AF">
      <w:pPr>
        <w:pStyle w:val="13"/>
        <w:rPr>
          <w:color w:val="000000" w:themeColor="text1"/>
          <w:highlight w:val="none"/>
          <w14:textFill>
            <w14:solidFill>
              <w14:schemeClr w14:val="tx1"/>
            </w14:solidFill>
          </w14:textFill>
        </w:rPr>
      </w:pPr>
    </w:p>
    <w:p w14:paraId="097DCDCA">
      <w:pPr>
        <w:pStyle w:val="13"/>
        <w:rPr>
          <w:color w:val="000000" w:themeColor="text1"/>
          <w:highlight w:val="none"/>
          <w14:textFill>
            <w14:solidFill>
              <w14:schemeClr w14:val="tx1"/>
            </w14:solidFill>
          </w14:textFill>
        </w:rPr>
      </w:pPr>
    </w:p>
    <w:p w14:paraId="692B554F">
      <w:pPr>
        <w:pStyle w:val="13"/>
        <w:rPr>
          <w:color w:val="000000" w:themeColor="text1"/>
          <w:highlight w:val="none"/>
          <w14:textFill>
            <w14:solidFill>
              <w14:schemeClr w14:val="tx1"/>
            </w14:solidFill>
          </w14:textFill>
        </w:rPr>
      </w:pPr>
    </w:p>
    <w:p w14:paraId="0AB78578">
      <w:pPr>
        <w:pStyle w:val="13"/>
        <w:rPr>
          <w:color w:val="000000" w:themeColor="text1"/>
          <w:highlight w:val="none"/>
          <w14:textFill>
            <w14:solidFill>
              <w14:schemeClr w14:val="tx1"/>
            </w14:solidFill>
          </w14:textFill>
        </w:rPr>
      </w:pPr>
    </w:p>
    <w:p w14:paraId="4160B450">
      <w:pPr>
        <w:pStyle w:val="13"/>
        <w:rPr>
          <w:color w:val="000000" w:themeColor="text1"/>
          <w:highlight w:val="none"/>
          <w14:textFill>
            <w14:solidFill>
              <w14:schemeClr w14:val="tx1"/>
            </w14:solidFill>
          </w14:textFill>
        </w:rPr>
      </w:pPr>
    </w:p>
    <w:p w14:paraId="7E596A27">
      <w:pPr>
        <w:pStyle w:val="13"/>
        <w:rPr>
          <w:color w:val="000000" w:themeColor="text1"/>
          <w:highlight w:val="none"/>
          <w14:textFill>
            <w14:solidFill>
              <w14:schemeClr w14:val="tx1"/>
            </w14:solidFill>
          </w14:textFill>
        </w:rPr>
      </w:pPr>
    </w:p>
    <w:p w14:paraId="13E5A1EA">
      <w:pPr>
        <w:pStyle w:val="13"/>
        <w:rPr>
          <w:color w:val="000000" w:themeColor="text1"/>
          <w:highlight w:val="none"/>
          <w14:textFill>
            <w14:solidFill>
              <w14:schemeClr w14:val="tx1"/>
            </w14:solidFill>
          </w14:textFill>
        </w:rPr>
      </w:pPr>
    </w:p>
    <w:p w14:paraId="68E408F8">
      <w:pPr>
        <w:pStyle w:val="13"/>
        <w:rPr>
          <w:color w:val="000000" w:themeColor="text1"/>
          <w:highlight w:val="none"/>
          <w14:textFill>
            <w14:solidFill>
              <w14:schemeClr w14:val="tx1"/>
            </w14:solidFill>
          </w14:textFill>
        </w:rPr>
      </w:pPr>
    </w:p>
    <w:p w14:paraId="7E7C0B80">
      <w:pPr>
        <w:pStyle w:val="13"/>
        <w:rPr>
          <w:color w:val="000000" w:themeColor="text1"/>
          <w:highlight w:val="none"/>
          <w14:textFill>
            <w14:solidFill>
              <w14:schemeClr w14:val="tx1"/>
            </w14:solidFill>
          </w14:textFill>
        </w:rPr>
      </w:pPr>
    </w:p>
    <w:p w14:paraId="6D037B7F">
      <w:pPr>
        <w:pStyle w:val="13"/>
        <w:rPr>
          <w:color w:val="000000" w:themeColor="text1"/>
          <w:highlight w:val="none"/>
          <w14:textFill>
            <w14:solidFill>
              <w14:schemeClr w14:val="tx1"/>
            </w14:solidFill>
          </w14:textFill>
        </w:rPr>
      </w:pPr>
    </w:p>
    <w:p w14:paraId="0C76707A">
      <w:pPr>
        <w:pStyle w:val="13"/>
        <w:rPr>
          <w:color w:val="000000" w:themeColor="text1"/>
          <w:highlight w:val="none"/>
          <w14:textFill>
            <w14:solidFill>
              <w14:schemeClr w14:val="tx1"/>
            </w14:solidFill>
          </w14:textFill>
        </w:rPr>
      </w:pPr>
    </w:p>
    <w:p w14:paraId="4D368010">
      <w:pPr>
        <w:pStyle w:val="13"/>
        <w:rPr>
          <w:color w:val="000000" w:themeColor="text1"/>
          <w:highlight w:val="none"/>
          <w14:textFill>
            <w14:solidFill>
              <w14:schemeClr w14:val="tx1"/>
            </w14:solidFill>
          </w14:textFill>
        </w:rPr>
      </w:pPr>
    </w:p>
    <w:p w14:paraId="1B931649">
      <w:pPr>
        <w:pStyle w:val="13"/>
        <w:rPr>
          <w:color w:val="000000" w:themeColor="text1"/>
          <w:highlight w:val="none"/>
          <w14:textFill>
            <w14:solidFill>
              <w14:schemeClr w14:val="tx1"/>
            </w14:solidFill>
          </w14:textFill>
        </w:rPr>
      </w:pPr>
    </w:p>
    <w:p w14:paraId="70D2023F">
      <w:pPr>
        <w:pStyle w:val="13"/>
        <w:rPr>
          <w:color w:val="000000" w:themeColor="text1"/>
          <w:highlight w:val="none"/>
          <w14:textFill>
            <w14:solidFill>
              <w14:schemeClr w14:val="tx1"/>
            </w14:solidFill>
          </w14:textFill>
        </w:rPr>
      </w:pPr>
    </w:p>
    <w:p w14:paraId="12FEA018">
      <w:pPr>
        <w:pStyle w:val="13"/>
        <w:rPr>
          <w:color w:val="000000" w:themeColor="text1"/>
          <w:highlight w:val="none"/>
          <w14:textFill>
            <w14:solidFill>
              <w14:schemeClr w14:val="tx1"/>
            </w14:solidFill>
          </w14:textFill>
        </w:rPr>
      </w:pPr>
    </w:p>
    <w:p w14:paraId="28CB0490">
      <w:pPr>
        <w:pStyle w:val="13"/>
        <w:rPr>
          <w:color w:val="000000" w:themeColor="text1"/>
          <w:highlight w:val="none"/>
          <w14:textFill>
            <w14:solidFill>
              <w14:schemeClr w14:val="tx1"/>
            </w14:solidFill>
          </w14:textFill>
        </w:rPr>
      </w:pPr>
    </w:p>
    <w:p w14:paraId="43F1338E">
      <w:pPr>
        <w:pStyle w:val="13"/>
        <w:rPr>
          <w:color w:val="000000" w:themeColor="text1"/>
          <w:highlight w:val="none"/>
          <w14:textFill>
            <w14:solidFill>
              <w14:schemeClr w14:val="tx1"/>
            </w14:solidFill>
          </w14:textFill>
        </w:rPr>
      </w:pPr>
    </w:p>
    <w:p w14:paraId="1E5684FD">
      <w:pPr>
        <w:pStyle w:val="13"/>
        <w:rPr>
          <w:color w:val="000000" w:themeColor="text1"/>
          <w:highlight w:val="none"/>
          <w14:textFill>
            <w14:solidFill>
              <w14:schemeClr w14:val="tx1"/>
            </w14:solidFill>
          </w14:textFill>
        </w:rPr>
      </w:pPr>
    </w:p>
    <w:p w14:paraId="0FF6BD98">
      <w:pPr>
        <w:pStyle w:val="13"/>
        <w:rPr>
          <w:color w:val="000000" w:themeColor="text1"/>
          <w:highlight w:val="none"/>
          <w14:textFill>
            <w14:solidFill>
              <w14:schemeClr w14:val="tx1"/>
            </w14:solidFill>
          </w14:textFill>
        </w:rPr>
      </w:pPr>
    </w:p>
    <w:p w14:paraId="7FFAFFAF">
      <w:pPr>
        <w:pStyle w:val="13"/>
        <w:rPr>
          <w:color w:val="000000" w:themeColor="text1"/>
          <w:highlight w:val="none"/>
          <w14:textFill>
            <w14:solidFill>
              <w14:schemeClr w14:val="tx1"/>
            </w14:solidFill>
          </w14:textFill>
        </w:rPr>
      </w:pPr>
    </w:p>
    <w:p w14:paraId="1826FEB5">
      <w:pPr>
        <w:pStyle w:val="13"/>
        <w:rPr>
          <w:color w:val="000000" w:themeColor="text1"/>
          <w:highlight w:val="none"/>
          <w14:textFill>
            <w14:solidFill>
              <w14:schemeClr w14:val="tx1"/>
            </w14:solidFill>
          </w14:textFill>
        </w:rPr>
      </w:pPr>
    </w:p>
    <w:p w14:paraId="605A1F31">
      <w:pPr>
        <w:pStyle w:val="13"/>
        <w:rPr>
          <w:color w:val="000000" w:themeColor="text1"/>
          <w:highlight w:val="none"/>
          <w14:textFill>
            <w14:solidFill>
              <w14:schemeClr w14:val="tx1"/>
            </w14:solidFill>
          </w14:textFill>
        </w:rPr>
      </w:pPr>
    </w:p>
    <w:p w14:paraId="22903D5A">
      <w:pPr>
        <w:pStyle w:val="13"/>
        <w:rPr>
          <w:color w:val="000000" w:themeColor="text1"/>
          <w:highlight w:val="none"/>
          <w14:textFill>
            <w14:solidFill>
              <w14:schemeClr w14:val="tx1"/>
            </w14:solidFill>
          </w14:textFill>
        </w:rPr>
      </w:pPr>
    </w:p>
    <w:p w14:paraId="3C476EA1">
      <w:pPr>
        <w:pStyle w:val="13"/>
        <w:rPr>
          <w:color w:val="000000" w:themeColor="text1"/>
          <w:highlight w:val="none"/>
          <w14:textFill>
            <w14:solidFill>
              <w14:schemeClr w14:val="tx1"/>
            </w14:solidFill>
          </w14:textFill>
        </w:rPr>
      </w:pPr>
    </w:p>
    <w:p w14:paraId="1C1B3CDF">
      <w:pPr>
        <w:pStyle w:val="13"/>
        <w:rPr>
          <w:color w:val="000000" w:themeColor="text1"/>
          <w:highlight w:val="none"/>
          <w14:textFill>
            <w14:solidFill>
              <w14:schemeClr w14:val="tx1"/>
            </w14:solidFill>
          </w14:textFill>
        </w:rPr>
      </w:pPr>
    </w:p>
    <w:p w14:paraId="57838D49">
      <w:pPr>
        <w:pStyle w:val="13"/>
        <w:rPr>
          <w:color w:val="000000" w:themeColor="text1"/>
          <w:highlight w:val="none"/>
          <w14:textFill>
            <w14:solidFill>
              <w14:schemeClr w14:val="tx1"/>
            </w14:solidFill>
          </w14:textFill>
        </w:rPr>
      </w:pPr>
    </w:p>
    <w:p w14:paraId="63E069A1">
      <w:pPr>
        <w:jc w:val="center"/>
        <w:rPr>
          <w:rFonts w:ascii="宋体" w:hAnsi="宋体"/>
          <w:b/>
          <w:bCs/>
          <w:color w:val="000000" w:themeColor="text1"/>
          <w:sz w:val="44"/>
          <w:szCs w:val="44"/>
          <w:highlight w:val="none"/>
          <w14:textFill>
            <w14:solidFill>
              <w14:schemeClr w14:val="tx1"/>
            </w14:solidFill>
          </w14:textFill>
        </w:rPr>
      </w:pPr>
      <w:r>
        <w:rPr>
          <w:rFonts w:hint="eastAsia" w:ascii="宋体" w:hAnsi="宋体"/>
          <w:b/>
          <w:bCs/>
          <w:color w:val="000000" w:themeColor="text1"/>
          <w:sz w:val="44"/>
          <w:szCs w:val="44"/>
          <w:highlight w:val="none"/>
          <w14:textFill>
            <w14:solidFill>
              <w14:schemeClr w14:val="tx1"/>
            </w14:solidFill>
          </w14:textFill>
        </w:rPr>
        <w:t>财务状况报告</w:t>
      </w:r>
    </w:p>
    <w:p w14:paraId="01C6026E">
      <w:pPr>
        <w:jc w:val="center"/>
        <w:rPr>
          <w:rFonts w:ascii="宋体" w:hAnsi="宋体"/>
          <w:b/>
          <w:bCs/>
          <w:color w:val="000000" w:themeColor="text1"/>
          <w:sz w:val="44"/>
          <w:szCs w:val="44"/>
          <w:highlight w:val="none"/>
          <w14:textFill>
            <w14:solidFill>
              <w14:schemeClr w14:val="tx1"/>
            </w14:solidFill>
          </w14:textFill>
        </w:rPr>
      </w:pPr>
      <w:r>
        <w:rPr>
          <w:rFonts w:hint="eastAsia" w:ascii="宋体" w:hAnsi="宋体"/>
          <w:b/>
          <w:bCs/>
          <w:color w:val="000000" w:themeColor="text1"/>
          <w:sz w:val="44"/>
          <w:szCs w:val="44"/>
          <w:highlight w:val="none"/>
          <w14:textFill>
            <w14:solidFill>
              <w14:schemeClr w14:val="tx1"/>
            </w14:solidFill>
          </w14:textFill>
        </w:rPr>
        <w:t>（加盖投标人签章）</w:t>
      </w:r>
    </w:p>
    <w:p w14:paraId="0660AB57">
      <w:pPr>
        <w:jc w:val="center"/>
        <w:rPr>
          <w:rFonts w:ascii="仿宋" w:hAnsi="仿宋" w:eastAsia="仿宋"/>
          <w:color w:val="000000" w:themeColor="text1"/>
          <w:sz w:val="40"/>
          <w:szCs w:val="44"/>
          <w:highlight w:val="none"/>
          <w14:textFill>
            <w14:solidFill>
              <w14:schemeClr w14:val="tx1"/>
            </w14:solidFill>
          </w14:textFill>
        </w:rPr>
      </w:pPr>
    </w:p>
    <w:p w14:paraId="36F77B3A">
      <w:pPr>
        <w:jc w:val="center"/>
        <w:rPr>
          <w:rFonts w:ascii="仿宋" w:hAnsi="仿宋" w:eastAsia="仿宋"/>
          <w:color w:val="000000" w:themeColor="text1"/>
          <w:sz w:val="40"/>
          <w:szCs w:val="44"/>
          <w:highlight w:val="none"/>
          <w14:textFill>
            <w14:solidFill>
              <w14:schemeClr w14:val="tx1"/>
            </w14:solidFill>
          </w14:textFill>
        </w:rPr>
      </w:pPr>
    </w:p>
    <w:p w14:paraId="78180FA8">
      <w:pPr>
        <w:jc w:val="center"/>
        <w:rPr>
          <w:rFonts w:ascii="仿宋" w:hAnsi="仿宋" w:eastAsia="仿宋"/>
          <w:color w:val="000000" w:themeColor="text1"/>
          <w:sz w:val="40"/>
          <w:szCs w:val="44"/>
          <w:highlight w:val="none"/>
          <w14:textFill>
            <w14:solidFill>
              <w14:schemeClr w14:val="tx1"/>
            </w14:solidFill>
          </w14:textFill>
        </w:rPr>
      </w:pPr>
    </w:p>
    <w:p w14:paraId="45971337">
      <w:pPr>
        <w:jc w:val="center"/>
        <w:rPr>
          <w:rFonts w:ascii="仿宋" w:hAnsi="仿宋" w:eastAsia="仿宋"/>
          <w:color w:val="000000" w:themeColor="text1"/>
          <w:sz w:val="40"/>
          <w:szCs w:val="44"/>
          <w:highlight w:val="none"/>
          <w14:textFill>
            <w14:solidFill>
              <w14:schemeClr w14:val="tx1"/>
            </w14:solidFill>
          </w14:textFill>
        </w:rPr>
      </w:pPr>
    </w:p>
    <w:p w14:paraId="7797E239">
      <w:pPr>
        <w:jc w:val="center"/>
        <w:rPr>
          <w:rFonts w:ascii="仿宋" w:hAnsi="仿宋" w:eastAsia="仿宋"/>
          <w:color w:val="000000" w:themeColor="text1"/>
          <w:sz w:val="40"/>
          <w:szCs w:val="44"/>
          <w:highlight w:val="none"/>
          <w14:textFill>
            <w14:solidFill>
              <w14:schemeClr w14:val="tx1"/>
            </w14:solidFill>
          </w14:textFill>
        </w:rPr>
      </w:pPr>
    </w:p>
    <w:p w14:paraId="2363CA35">
      <w:pPr>
        <w:jc w:val="center"/>
        <w:rPr>
          <w:rFonts w:ascii="仿宋" w:hAnsi="仿宋" w:eastAsia="仿宋"/>
          <w:color w:val="000000" w:themeColor="text1"/>
          <w:sz w:val="40"/>
          <w:szCs w:val="44"/>
          <w:highlight w:val="none"/>
          <w14:textFill>
            <w14:solidFill>
              <w14:schemeClr w14:val="tx1"/>
            </w14:solidFill>
          </w14:textFill>
        </w:rPr>
      </w:pPr>
    </w:p>
    <w:p w14:paraId="7F480582">
      <w:pPr>
        <w:jc w:val="center"/>
        <w:rPr>
          <w:rFonts w:ascii="仿宋" w:hAnsi="仿宋" w:eastAsia="仿宋"/>
          <w:color w:val="000000" w:themeColor="text1"/>
          <w:sz w:val="40"/>
          <w:szCs w:val="44"/>
          <w:highlight w:val="none"/>
          <w14:textFill>
            <w14:solidFill>
              <w14:schemeClr w14:val="tx1"/>
            </w14:solidFill>
          </w14:textFill>
        </w:rPr>
      </w:pPr>
    </w:p>
    <w:p w14:paraId="0534D0B5">
      <w:pPr>
        <w:jc w:val="center"/>
        <w:rPr>
          <w:rFonts w:ascii="仿宋" w:hAnsi="仿宋" w:eastAsia="仿宋"/>
          <w:color w:val="000000" w:themeColor="text1"/>
          <w:sz w:val="40"/>
          <w:szCs w:val="44"/>
          <w:highlight w:val="none"/>
          <w14:textFill>
            <w14:solidFill>
              <w14:schemeClr w14:val="tx1"/>
            </w14:solidFill>
          </w14:textFill>
        </w:rPr>
      </w:pPr>
    </w:p>
    <w:p w14:paraId="697DB7AC">
      <w:pPr>
        <w:jc w:val="center"/>
        <w:rPr>
          <w:rFonts w:ascii="仿宋" w:hAnsi="仿宋" w:eastAsia="仿宋"/>
          <w:color w:val="000000" w:themeColor="text1"/>
          <w:sz w:val="40"/>
          <w:szCs w:val="44"/>
          <w:highlight w:val="none"/>
          <w14:textFill>
            <w14:solidFill>
              <w14:schemeClr w14:val="tx1"/>
            </w14:solidFill>
          </w14:textFill>
        </w:rPr>
      </w:pPr>
    </w:p>
    <w:p w14:paraId="6763B2CE">
      <w:pPr>
        <w:jc w:val="center"/>
        <w:rPr>
          <w:rFonts w:ascii="仿宋" w:hAnsi="仿宋" w:eastAsia="仿宋"/>
          <w:color w:val="000000" w:themeColor="text1"/>
          <w:sz w:val="40"/>
          <w:szCs w:val="44"/>
          <w:highlight w:val="none"/>
          <w14:textFill>
            <w14:solidFill>
              <w14:schemeClr w14:val="tx1"/>
            </w14:solidFill>
          </w14:textFill>
        </w:rPr>
      </w:pPr>
    </w:p>
    <w:p w14:paraId="402039D7">
      <w:pPr>
        <w:jc w:val="center"/>
        <w:rPr>
          <w:rFonts w:ascii="仿宋" w:hAnsi="仿宋" w:eastAsia="仿宋"/>
          <w:color w:val="000000" w:themeColor="text1"/>
          <w:sz w:val="40"/>
          <w:szCs w:val="44"/>
          <w:highlight w:val="none"/>
          <w14:textFill>
            <w14:solidFill>
              <w14:schemeClr w14:val="tx1"/>
            </w14:solidFill>
          </w14:textFill>
        </w:rPr>
      </w:pPr>
    </w:p>
    <w:p w14:paraId="08F94305">
      <w:pPr>
        <w:jc w:val="center"/>
        <w:rPr>
          <w:rFonts w:ascii="仿宋" w:hAnsi="仿宋" w:eastAsia="仿宋"/>
          <w:color w:val="000000" w:themeColor="text1"/>
          <w:sz w:val="40"/>
          <w:szCs w:val="44"/>
          <w:highlight w:val="none"/>
          <w14:textFill>
            <w14:solidFill>
              <w14:schemeClr w14:val="tx1"/>
            </w14:solidFill>
          </w14:textFill>
        </w:rPr>
      </w:pPr>
    </w:p>
    <w:p w14:paraId="2BD9CD0E">
      <w:pPr>
        <w:jc w:val="center"/>
        <w:rPr>
          <w:rFonts w:ascii="仿宋" w:hAnsi="仿宋" w:eastAsia="仿宋"/>
          <w:color w:val="000000" w:themeColor="text1"/>
          <w:sz w:val="40"/>
          <w:szCs w:val="44"/>
          <w:highlight w:val="none"/>
          <w14:textFill>
            <w14:solidFill>
              <w14:schemeClr w14:val="tx1"/>
            </w14:solidFill>
          </w14:textFill>
        </w:rPr>
      </w:pPr>
    </w:p>
    <w:p w14:paraId="44DEDB0C">
      <w:pPr>
        <w:jc w:val="center"/>
        <w:rPr>
          <w:rFonts w:ascii="宋体" w:hAnsi="宋体"/>
          <w:b/>
          <w:bCs/>
          <w:color w:val="000000" w:themeColor="text1"/>
          <w:sz w:val="44"/>
          <w:szCs w:val="44"/>
          <w:highlight w:val="none"/>
          <w14:textFill>
            <w14:solidFill>
              <w14:schemeClr w14:val="tx1"/>
            </w14:solidFill>
          </w14:textFill>
        </w:rPr>
        <w:sectPr>
          <w:pgSz w:w="11906" w:h="16838"/>
          <w:pgMar w:top="1440" w:right="1080" w:bottom="1440" w:left="1080" w:header="851" w:footer="992" w:gutter="0"/>
          <w:cols w:space="720" w:num="1"/>
          <w:docGrid w:type="lines" w:linePitch="312" w:charSpace="0"/>
        </w:sectPr>
      </w:pPr>
    </w:p>
    <w:p w14:paraId="61AC9FBA">
      <w:pPr>
        <w:jc w:val="center"/>
        <w:rPr>
          <w:rFonts w:ascii="宋体" w:hAnsi="宋体"/>
          <w:b/>
          <w:bCs/>
          <w:color w:val="000000" w:themeColor="text1"/>
          <w:sz w:val="44"/>
          <w:szCs w:val="44"/>
          <w:highlight w:val="none"/>
          <w14:textFill>
            <w14:solidFill>
              <w14:schemeClr w14:val="tx1"/>
            </w14:solidFill>
          </w14:textFill>
        </w:rPr>
      </w:pPr>
      <w:r>
        <w:rPr>
          <w:rFonts w:hint="eastAsia" w:ascii="宋体" w:hAnsi="宋体"/>
          <w:b/>
          <w:bCs/>
          <w:color w:val="000000" w:themeColor="text1"/>
          <w:sz w:val="44"/>
          <w:szCs w:val="44"/>
          <w:highlight w:val="none"/>
          <w14:textFill>
            <w14:solidFill>
              <w14:schemeClr w14:val="tx1"/>
            </w14:solidFill>
          </w14:textFill>
        </w:rPr>
        <w:t>投标人基本情况表</w:t>
      </w:r>
    </w:p>
    <w:tbl>
      <w:tblPr>
        <w:tblStyle w:val="47"/>
        <w:tblW w:w="92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7"/>
        <w:gridCol w:w="1647"/>
        <w:gridCol w:w="567"/>
        <w:gridCol w:w="1098"/>
        <w:gridCol w:w="567"/>
        <w:gridCol w:w="657"/>
        <w:gridCol w:w="1557"/>
        <w:gridCol w:w="46"/>
        <w:gridCol w:w="503"/>
        <w:gridCol w:w="2049"/>
      </w:tblGrid>
      <w:tr w14:paraId="54222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2214" w:type="dxa"/>
            <w:gridSpan w:val="2"/>
            <w:vAlign w:val="center"/>
          </w:tcPr>
          <w:p w14:paraId="5D1C5D3D">
            <w:pPr>
              <w:spacing w:line="440" w:lineRule="exact"/>
              <w:jc w:val="center"/>
              <w:rPr>
                <w:rFonts w:ascii="仿宋" w:hAnsi="仿宋" w:eastAsia="仿宋"/>
                <w:color w:val="000000" w:themeColor="text1"/>
                <w:sz w:val="28"/>
                <w:szCs w:val="28"/>
                <w:highlight w:val="none"/>
                <w14:textFill>
                  <w14:solidFill>
                    <w14:schemeClr w14:val="tx1"/>
                  </w14:solidFill>
                </w14:textFill>
              </w:rPr>
            </w:pPr>
            <w:r>
              <w:rPr>
                <w:rFonts w:hint="eastAsia" w:ascii="仿宋" w:hAnsi="仿宋" w:eastAsia="仿宋"/>
                <w:color w:val="000000" w:themeColor="text1"/>
                <w:sz w:val="28"/>
                <w:szCs w:val="28"/>
                <w:highlight w:val="none"/>
                <w14:textFill>
                  <w14:solidFill>
                    <w14:schemeClr w14:val="tx1"/>
                  </w14:solidFill>
                </w14:textFill>
              </w:rPr>
              <w:t>单位名称</w:t>
            </w:r>
          </w:p>
        </w:tc>
        <w:tc>
          <w:tcPr>
            <w:tcW w:w="2889" w:type="dxa"/>
            <w:gridSpan w:val="4"/>
            <w:vAlign w:val="center"/>
          </w:tcPr>
          <w:p w14:paraId="34C56D63">
            <w:pPr>
              <w:spacing w:line="440" w:lineRule="exact"/>
              <w:jc w:val="center"/>
              <w:rPr>
                <w:rFonts w:ascii="仿宋" w:hAnsi="仿宋" w:eastAsia="仿宋"/>
                <w:color w:val="000000" w:themeColor="text1"/>
                <w:sz w:val="28"/>
                <w:szCs w:val="28"/>
                <w:highlight w:val="none"/>
                <w14:textFill>
                  <w14:solidFill>
                    <w14:schemeClr w14:val="tx1"/>
                  </w14:solidFill>
                </w14:textFill>
              </w:rPr>
            </w:pPr>
          </w:p>
        </w:tc>
        <w:tc>
          <w:tcPr>
            <w:tcW w:w="2106" w:type="dxa"/>
            <w:gridSpan w:val="3"/>
            <w:vAlign w:val="center"/>
          </w:tcPr>
          <w:p w14:paraId="5EA5700B">
            <w:pPr>
              <w:spacing w:line="440" w:lineRule="exact"/>
              <w:jc w:val="center"/>
              <w:rPr>
                <w:rFonts w:ascii="仿宋" w:hAnsi="仿宋" w:eastAsia="仿宋"/>
                <w:color w:val="000000" w:themeColor="text1"/>
                <w:sz w:val="28"/>
                <w:szCs w:val="28"/>
                <w:highlight w:val="none"/>
                <w14:textFill>
                  <w14:solidFill>
                    <w14:schemeClr w14:val="tx1"/>
                  </w14:solidFill>
                </w14:textFill>
              </w:rPr>
            </w:pPr>
            <w:r>
              <w:rPr>
                <w:rFonts w:hint="eastAsia" w:ascii="仿宋" w:hAnsi="仿宋" w:eastAsia="仿宋"/>
                <w:color w:val="000000" w:themeColor="text1"/>
                <w:sz w:val="28"/>
                <w:szCs w:val="28"/>
                <w:highlight w:val="none"/>
                <w14:textFill>
                  <w14:solidFill>
                    <w14:schemeClr w14:val="tx1"/>
                  </w14:solidFill>
                </w14:textFill>
              </w:rPr>
              <w:t>地址</w:t>
            </w:r>
          </w:p>
        </w:tc>
        <w:tc>
          <w:tcPr>
            <w:tcW w:w="2049" w:type="dxa"/>
            <w:vAlign w:val="center"/>
          </w:tcPr>
          <w:p w14:paraId="3ECA2B9A">
            <w:pPr>
              <w:spacing w:line="440" w:lineRule="exact"/>
              <w:jc w:val="center"/>
              <w:rPr>
                <w:rFonts w:ascii="仿宋" w:hAnsi="仿宋" w:eastAsia="仿宋"/>
                <w:color w:val="000000" w:themeColor="text1"/>
                <w:sz w:val="28"/>
                <w:szCs w:val="28"/>
                <w:highlight w:val="none"/>
                <w14:textFill>
                  <w14:solidFill>
                    <w14:schemeClr w14:val="tx1"/>
                  </w14:solidFill>
                </w14:textFill>
              </w:rPr>
            </w:pPr>
          </w:p>
        </w:tc>
      </w:tr>
      <w:tr w14:paraId="1F4057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2214" w:type="dxa"/>
            <w:gridSpan w:val="2"/>
            <w:vAlign w:val="center"/>
          </w:tcPr>
          <w:p w14:paraId="215CB005">
            <w:pPr>
              <w:spacing w:line="440" w:lineRule="exact"/>
              <w:jc w:val="center"/>
              <w:rPr>
                <w:rFonts w:ascii="仿宋" w:hAnsi="仿宋" w:eastAsia="仿宋"/>
                <w:color w:val="000000" w:themeColor="text1"/>
                <w:sz w:val="28"/>
                <w:szCs w:val="28"/>
                <w:highlight w:val="none"/>
                <w14:textFill>
                  <w14:solidFill>
                    <w14:schemeClr w14:val="tx1"/>
                  </w14:solidFill>
                </w14:textFill>
              </w:rPr>
            </w:pPr>
            <w:r>
              <w:rPr>
                <w:rFonts w:hint="eastAsia" w:ascii="仿宋" w:hAnsi="仿宋" w:eastAsia="仿宋"/>
                <w:color w:val="000000" w:themeColor="text1"/>
                <w:sz w:val="28"/>
                <w:szCs w:val="28"/>
                <w:highlight w:val="none"/>
                <w14:textFill>
                  <w14:solidFill>
                    <w14:schemeClr w14:val="tx1"/>
                  </w14:solidFill>
                </w14:textFill>
              </w:rPr>
              <w:t>办公电话/传真</w:t>
            </w:r>
          </w:p>
        </w:tc>
        <w:tc>
          <w:tcPr>
            <w:tcW w:w="2889" w:type="dxa"/>
            <w:gridSpan w:val="4"/>
            <w:vAlign w:val="center"/>
          </w:tcPr>
          <w:p w14:paraId="32A4959D">
            <w:pPr>
              <w:spacing w:line="440" w:lineRule="exact"/>
              <w:jc w:val="center"/>
              <w:rPr>
                <w:rFonts w:ascii="仿宋" w:hAnsi="仿宋" w:eastAsia="仿宋"/>
                <w:color w:val="000000" w:themeColor="text1"/>
                <w:sz w:val="28"/>
                <w:szCs w:val="28"/>
                <w:highlight w:val="none"/>
                <w14:textFill>
                  <w14:solidFill>
                    <w14:schemeClr w14:val="tx1"/>
                  </w14:solidFill>
                </w14:textFill>
              </w:rPr>
            </w:pPr>
          </w:p>
        </w:tc>
        <w:tc>
          <w:tcPr>
            <w:tcW w:w="2106" w:type="dxa"/>
            <w:gridSpan w:val="3"/>
            <w:vAlign w:val="center"/>
          </w:tcPr>
          <w:p w14:paraId="53571585">
            <w:pPr>
              <w:spacing w:line="440" w:lineRule="exact"/>
              <w:jc w:val="center"/>
              <w:rPr>
                <w:rFonts w:ascii="仿宋" w:hAnsi="仿宋" w:eastAsia="仿宋"/>
                <w:color w:val="000000" w:themeColor="text1"/>
                <w:sz w:val="28"/>
                <w:szCs w:val="28"/>
                <w:highlight w:val="none"/>
                <w14:textFill>
                  <w14:solidFill>
                    <w14:schemeClr w14:val="tx1"/>
                  </w14:solidFill>
                </w14:textFill>
              </w:rPr>
            </w:pPr>
            <w:r>
              <w:rPr>
                <w:rFonts w:hint="eastAsia" w:ascii="仿宋" w:hAnsi="仿宋" w:eastAsia="仿宋"/>
                <w:color w:val="000000" w:themeColor="text1"/>
                <w:sz w:val="28"/>
                <w:szCs w:val="28"/>
                <w:highlight w:val="none"/>
                <w14:textFill>
                  <w14:solidFill>
                    <w14:schemeClr w14:val="tx1"/>
                  </w14:solidFill>
                </w14:textFill>
              </w:rPr>
              <w:t>联系人</w:t>
            </w:r>
          </w:p>
        </w:tc>
        <w:tc>
          <w:tcPr>
            <w:tcW w:w="2049" w:type="dxa"/>
            <w:vAlign w:val="center"/>
          </w:tcPr>
          <w:p w14:paraId="2382AF34">
            <w:pPr>
              <w:spacing w:line="440" w:lineRule="exact"/>
              <w:jc w:val="center"/>
              <w:rPr>
                <w:rFonts w:ascii="仿宋" w:hAnsi="仿宋" w:eastAsia="仿宋"/>
                <w:color w:val="000000" w:themeColor="text1"/>
                <w:sz w:val="28"/>
                <w:szCs w:val="28"/>
                <w:highlight w:val="none"/>
                <w14:textFill>
                  <w14:solidFill>
                    <w14:schemeClr w14:val="tx1"/>
                  </w14:solidFill>
                </w14:textFill>
              </w:rPr>
            </w:pPr>
          </w:p>
        </w:tc>
      </w:tr>
      <w:tr w14:paraId="370D13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2214" w:type="dxa"/>
            <w:gridSpan w:val="2"/>
            <w:vAlign w:val="center"/>
          </w:tcPr>
          <w:p w14:paraId="7377A1D9">
            <w:pPr>
              <w:spacing w:line="440" w:lineRule="exact"/>
              <w:jc w:val="center"/>
              <w:rPr>
                <w:rFonts w:ascii="仿宋" w:hAnsi="仿宋" w:eastAsia="仿宋"/>
                <w:color w:val="000000" w:themeColor="text1"/>
                <w:sz w:val="28"/>
                <w:szCs w:val="28"/>
                <w:highlight w:val="none"/>
                <w14:textFill>
                  <w14:solidFill>
                    <w14:schemeClr w14:val="tx1"/>
                  </w14:solidFill>
                </w14:textFill>
              </w:rPr>
            </w:pPr>
            <w:r>
              <w:rPr>
                <w:rFonts w:hint="eastAsia" w:ascii="仿宋" w:hAnsi="仿宋" w:eastAsia="仿宋"/>
                <w:color w:val="000000" w:themeColor="text1"/>
                <w:sz w:val="28"/>
                <w:szCs w:val="28"/>
                <w:highlight w:val="none"/>
                <w14:textFill>
                  <w14:solidFill>
                    <w14:schemeClr w14:val="tx1"/>
                  </w14:solidFill>
                </w14:textFill>
              </w:rPr>
              <w:t>所属/主管部门</w:t>
            </w:r>
          </w:p>
        </w:tc>
        <w:tc>
          <w:tcPr>
            <w:tcW w:w="7044" w:type="dxa"/>
            <w:gridSpan w:val="8"/>
            <w:vAlign w:val="center"/>
          </w:tcPr>
          <w:p w14:paraId="187209FE">
            <w:pPr>
              <w:spacing w:line="440" w:lineRule="exact"/>
              <w:jc w:val="center"/>
              <w:rPr>
                <w:rFonts w:ascii="仿宋" w:hAnsi="仿宋" w:eastAsia="仿宋"/>
                <w:color w:val="000000" w:themeColor="text1"/>
                <w:sz w:val="28"/>
                <w:szCs w:val="28"/>
                <w:highlight w:val="none"/>
                <w14:textFill>
                  <w14:solidFill>
                    <w14:schemeClr w14:val="tx1"/>
                  </w14:solidFill>
                </w14:textFill>
              </w:rPr>
            </w:pPr>
          </w:p>
        </w:tc>
      </w:tr>
      <w:tr w14:paraId="2796D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2214" w:type="dxa"/>
            <w:gridSpan w:val="2"/>
            <w:vAlign w:val="center"/>
          </w:tcPr>
          <w:p w14:paraId="68D0D72A">
            <w:pPr>
              <w:spacing w:line="440" w:lineRule="exact"/>
              <w:jc w:val="center"/>
              <w:rPr>
                <w:rFonts w:ascii="仿宋" w:hAnsi="仿宋" w:eastAsia="仿宋"/>
                <w:color w:val="000000" w:themeColor="text1"/>
                <w:sz w:val="28"/>
                <w:szCs w:val="28"/>
                <w:highlight w:val="none"/>
                <w14:textFill>
                  <w14:solidFill>
                    <w14:schemeClr w14:val="tx1"/>
                  </w14:solidFill>
                </w14:textFill>
              </w:rPr>
            </w:pPr>
            <w:r>
              <w:rPr>
                <w:rFonts w:hint="eastAsia" w:ascii="仿宋" w:hAnsi="仿宋" w:eastAsia="仿宋"/>
                <w:color w:val="000000" w:themeColor="text1"/>
                <w:sz w:val="28"/>
                <w:szCs w:val="28"/>
                <w:highlight w:val="none"/>
                <w14:textFill>
                  <w14:solidFill>
                    <w14:schemeClr w14:val="tx1"/>
                  </w14:solidFill>
                </w14:textFill>
              </w:rPr>
              <w:t>总经理</w:t>
            </w:r>
          </w:p>
        </w:tc>
        <w:tc>
          <w:tcPr>
            <w:tcW w:w="1665" w:type="dxa"/>
            <w:gridSpan w:val="2"/>
            <w:vAlign w:val="center"/>
          </w:tcPr>
          <w:p w14:paraId="12E05D60">
            <w:pPr>
              <w:spacing w:line="440" w:lineRule="exact"/>
              <w:jc w:val="center"/>
              <w:rPr>
                <w:rFonts w:ascii="仿宋" w:hAnsi="仿宋" w:eastAsia="仿宋"/>
                <w:color w:val="000000" w:themeColor="text1"/>
                <w:sz w:val="28"/>
                <w:szCs w:val="28"/>
                <w:highlight w:val="none"/>
                <w14:textFill>
                  <w14:solidFill>
                    <w14:schemeClr w14:val="tx1"/>
                  </w14:solidFill>
                </w14:textFill>
              </w:rPr>
            </w:pPr>
          </w:p>
        </w:tc>
        <w:tc>
          <w:tcPr>
            <w:tcW w:w="2827" w:type="dxa"/>
            <w:gridSpan w:val="4"/>
            <w:vAlign w:val="center"/>
          </w:tcPr>
          <w:p w14:paraId="2446CA91">
            <w:pPr>
              <w:spacing w:line="440" w:lineRule="exact"/>
              <w:jc w:val="center"/>
              <w:rPr>
                <w:rFonts w:ascii="仿宋" w:hAnsi="仿宋" w:eastAsia="仿宋"/>
                <w:color w:val="000000" w:themeColor="text1"/>
                <w:sz w:val="28"/>
                <w:szCs w:val="28"/>
                <w:highlight w:val="none"/>
                <w14:textFill>
                  <w14:solidFill>
                    <w14:schemeClr w14:val="tx1"/>
                  </w14:solidFill>
                </w14:textFill>
              </w:rPr>
            </w:pPr>
            <w:r>
              <w:rPr>
                <w:rFonts w:hint="eastAsia" w:ascii="仿宋" w:hAnsi="仿宋" w:eastAsia="仿宋"/>
                <w:color w:val="000000" w:themeColor="text1"/>
                <w:sz w:val="28"/>
                <w:szCs w:val="28"/>
                <w:highlight w:val="none"/>
                <w14:textFill>
                  <w14:solidFill>
                    <w14:schemeClr w14:val="tx1"/>
                  </w14:solidFill>
                </w14:textFill>
              </w:rPr>
              <w:t>固定办公面积（平米）</w:t>
            </w:r>
          </w:p>
        </w:tc>
        <w:tc>
          <w:tcPr>
            <w:tcW w:w="2552" w:type="dxa"/>
            <w:gridSpan w:val="2"/>
            <w:vAlign w:val="center"/>
          </w:tcPr>
          <w:p w14:paraId="3CB35E5C">
            <w:pPr>
              <w:spacing w:line="440" w:lineRule="exact"/>
              <w:jc w:val="center"/>
              <w:rPr>
                <w:rFonts w:ascii="仿宋" w:hAnsi="仿宋" w:eastAsia="仿宋"/>
                <w:color w:val="000000" w:themeColor="text1"/>
                <w:sz w:val="28"/>
                <w:szCs w:val="28"/>
                <w:highlight w:val="none"/>
                <w14:textFill>
                  <w14:solidFill>
                    <w14:schemeClr w14:val="tx1"/>
                  </w14:solidFill>
                </w14:textFill>
              </w:rPr>
            </w:pPr>
          </w:p>
        </w:tc>
      </w:tr>
      <w:tr w14:paraId="27A46D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567" w:type="dxa"/>
            <w:vMerge w:val="restart"/>
            <w:vAlign w:val="center"/>
          </w:tcPr>
          <w:p w14:paraId="020A9E0C">
            <w:pPr>
              <w:spacing w:line="440" w:lineRule="exact"/>
              <w:jc w:val="center"/>
              <w:rPr>
                <w:rFonts w:ascii="仿宋" w:hAnsi="仿宋" w:eastAsia="仿宋"/>
                <w:color w:val="000000" w:themeColor="text1"/>
                <w:sz w:val="28"/>
                <w:szCs w:val="28"/>
                <w:highlight w:val="none"/>
                <w14:textFill>
                  <w14:solidFill>
                    <w14:schemeClr w14:val="tx1"/>
                  </w14:solidFill>
                </w14:textFill>
              </w:rPr>
            </w:pPr>
            <w:r>
              <w:rPr>
                <w:rFonts w:hint="eastAsia" w:ascii="仿宋" w:hAnsi="仿宋" w:eastAsia="仿宋"/>
                <w:color w:val="000000" w:themeColor="text1"/>
                <w:sz w:val="28"/>
                <w:szCs w:val="28"/>
                <w:highlight w:val="none"/>
                <w14:textFill>
                  <w14:solidFill>
                    <w14:schemeClr w14:val="tx1"/>
                  </w14:solidFill>
                </w14:textFill>
              </w:rPr>
              <w:t>注册情况</w:t>
            </w:r>
          </w:p>
        </w:tc>
        <w:tc>
          <w:tcPr>
            <w:tcW w:w="2214" w:type="dxa"/>
            <w:gridSpan w:val="2"/>
            <w:vAlign w:val="center"/>
          </w:tcPr>
          <w:p w14:paraId="61ABA9CC">
            <w:pPr>
              <w:spacing w:line="440" w:lineRule="exact"/>
              <w:jc w:val="center"/>
              <w:rPr>
                <w:rFonts w:ascii="仿宋" w:hAnsi="仿宋" w:eastAsia="仿宋"/>
                <w:color w:val="000000" w:themeColor="text1"/>
                <w:sz w:val="28"/>
                <w:szCs w:val="28"/>
                <w:highlight w:val="none"/>
                <w14:textFill>
                  <w14:solidFill>
                    <w14:schemeClr w14:val="tx1"/>
                  </w14:solidFill>
                </w14:textFill>
              </w:rPr>
            </w:pPr>
            <w:r>
              <w:rPr>
                <w:rFonts w:hint="eastAsia" w:ascii="仿宋" w:hAnsi="仿宋" w:eastAsia="仿宋"/>
                <w:color w:val="000000" w:themeColor="text1"/>
                <w:sz w:val="28"/>
                <w:szCs w:val="28"/>
                <w:highlight w:val="none"/>
                <w14:textFill>
                  <w14:solidFill>
                    <w14:schemeClr w14:val="tx1"/>
                  </w14:solidFill>
                </w14:textFill>
              </w:rPr>
              <w:t>工商注册号</w:t>
            </w:r>
          </w:p>
        </w:tc>
        <w:tc>
          <w:tcPr>
            <w:tcW w:w="6477" w:type="dxa"/>
            <w:gridSpan w:val="7"/>
            <w:vAlign w:val="center"/>
          </w:tcPr>
          <w:p w14:paraId="7EF30AFD">
            <w:pPr>
              <w:spacing w:line="440" w:lineRule="exact"/>
              <w:jc w:val="center"/>
              <w:rPr>
                <w:rFonts w:ascii="仿宋" w:hAnsi="仿宋" w:eastAsia="仿宋"/>
                <w:color w:val="000000" w:themeColor="text1"/>
                <w:sz w:val="28"/>
                <w:szCs w:val="28"/>
                <w:highlight w:val="none"/>
                <w14:textFill>
                  <w14:solidFill>
                    <w14:schemeClr w14:val="tx1"/>
                  </w14:solidFill>
                </w14:textFill>
              </w:rPr>
            </w:pPr>
          </w:p>
        </w:tc>
      </w:tr>
      <w:tr w14:paraId="451C09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567" w:type="dxa"/>
            <w:vMerge w:val="continue"/>
            <w:textDirection w:val="tbRlV"/>
            <w:vAlign w:val="center"/>
          </w:tcPr>
          <w:p w14:paraId="4ADA41C0">
            <w:pPr>
              <w:spacing w:line="440" w:lineRule="exact"/>
              <w:jc w:val="center"/>
              <w:rPr>
                <w:rFonts w:ascii="仿宋" w:hAnsi="仿宋" w:eastAsia="仿宋"/>
                <w:color w:val="000000" w:themeColor="text1"/>
                <w:sz w:val="28"/>
                <w:szCs w:val="28"/>
                <w:highlight w:val="none"/>
                <w14:textFill>
                  <w14:solidFill>
                    <w14:schemeClr w14:val="tx1"/>
                  </w14:solidFill>
                </w14:textFill>
              </w:rPr>
            </w:pPr>
          </w:p>
        </w:tc>
        <w:tc>
          <w:tcPr>
            <w:tcW w:w="2214" w:type="dxa"/>
            <w:gridSpan w:val="2"/>
            <w:vAlign w:val="center"/>
          </w:tcPr>
          <w:p w14:paraId="20004F9E">
            <w:pPr>
              <w:spacing w:line="440" w:lineRule="exact"/>
              <w:jc w:val="center"/>
              <w:rPr>
                <w:rFonts w:ascii="仿宋" w:hAnsi="仿宋" w:eastAsia="仿宋"/>
                <w:color w:val="000000" w:themeColor="text1"/>
                <w:sz w:val="28"/>
                <w:szCs w:val="28"/>
                <w:highlight w:val="none"/>
                <w14:textFill>
                  <w14:solidFill>
                    <w14:schemeClr w14:val="tx1"/>
                  </w14:solidFill>
                </w14:textFill>
              </w:rPr>
            </w:pPr>
            <w:r>
              <w:rPr>
                <w:rFonts w:hint="eastAsia" w:ascii="仿宋" w:hAnsi="仿宋" w:eastAsia="仿宋"/>
                <w:color w:val="000000" w:themeColor="text1"/>
                <w:sz w:val="28"/>
                <w:szCs w:val="28"/>
                <w:highlight w:val="none"/>
                <w14:textFill>
                  <w14:solidFill>
                    <w14:schemeClr w14:val="tx1"/>
                  </w14:solidFill>
                </w14:textFill>
              </w:rPr>
              <w:t>注册资本（万元）</w:t>
            </w:r>
          </w:p>
        </w:tc>
        <w:tc>
          <w:tcPr>
            <w:tcW w:w="6477" w:type="dxa"/>
            <w:gridSpan w:val="7"/>
            <w:vAlign w:val="center"/>
          </w:tcPr>
          <w:p w14:paraId="6EBBCF0B">
            <w:pPr>
              <w:spacing w:line="440" w:lineRule="exact"/>
              <w:jc w:val="center"/>
              <w:rPr>
                <w:rFonts w:ascii="仿宋" w:hAnsi="仿宋" w:eastAsia="仿宋"/>
                <w:color w:val="000000" w:themeColor="text1"/>
                <w:sz w:val="28"/>
                <w:szCs w:val="28"/>
                <w:highlight w:val="none"/>
                <w14:textFill>
                  <w14:solidFill>
                    <w14:schemeClr w14:val="tx1"/>
                  </w14:solidFill>
                </w14:textFill>
              </w:rPr>
            </w:pPr>
          </w:p>
        </w:tc>
      </w:tr>
      <w:tr w14:paraId="0D44A4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567" w:type="dxa"/>
            <w:vMerge w:val="continue"/>
            <w:textDirection w:val="tbRlV"/>
            <w:vAlign w:val="center"/>
          </w:tcPr>
          <w:p w14:paraId="6AA97445">
            <w:pPr>
              <w:spacing w:line="440" w:lineRule="exact"/>
              <w:jc w:val="center"/>
              <w:rPr>
                <w:rFonts w:ascii="仿宋" w:hAnsi="仿宋" w:eastAsia="仿宋"/>
                <w:color w:val="000000" w:themeColor="text1"/>
                <w:sz w:val="28"/>
                <w:szCs w:val="28"/>
                <w:highlight w:val="none"/>
                <w14:textFill>
                  <w14:solidFill>
                    <w14:schemeClr w14:val="tx1"/>
                  </w14:solidFill>
                </w14:textFill>
              </w:rPr>
            </w:pPr>
          </w:p>
        </w:tc>
        <w:tc>
          <w:tcPr>
            <w:tcW w:w="2214" w:type="dxa"/>
            <w:gridSpan w:val="2"/>
            <w:vAlign w:val="center"/>
          </w:tcPr>
          <w:p w14:paraId="71D9F090">
            <w:pPr>
              <w:spacing w:line="440" w:lineRule="exact"/>
              <w:jc w:val="center"/>
              <w:rPr>
                <w:rFonts w:ascii="仿宋" w:hAnsi="仿宋" w:eastAsia="仿宋"/>
                <w:color w:val="000000" w:themeColor="text1"/>
                <w:sz w:val="28"/>
                <w:szCs w:val="28"/>
                <w:highlight w:val="none"/>
                <w14:textFill>
                  <w14:solidFill>
                    <w14:schemeClr w14:val="tx1"/>
                  </w14:solidFill>
                </w14:textFill>
              </w:rPr>
            </w:pPr>
            <w:r>
              <w:rPr>
                <w:rFonts w:hint="eastAsia" w:ascii="仿宋" w:hAnsi="仿宋" w:eastAsia="仿宋"/>
                <w:color w:val="000000" w:themeColor="text1"/>
                <w:sz w:val="28"/>
                <w:szCs w:val="28"/>
                <w:highlight w:val="none"/>
                <w14:textFill>
                  <w14:solidFill>
                    <w14:schemeClr w14:val="tx1"/>
                  </w14:solidFill>
                </w14:textFill>
              </w:rPr>
              <w:t>法定代表人（依法登记的负责人）</w:t>
            </w:r>
          </w:p>
        </w:tc>
        <w:tc>
          <w:tcPr>
            <w:tcW w:w="1665" w:type="dxa"/>
            <w:gridSpan w:val="2"/>
            <w:vAlign w:val="center"/>
          </w:tcPr>
          <w:p w14:paraId="2C09D4B6">
            <w:pPr>
              <w:spacing w:line="440" w:lineRule="exact"/>
              <w:jc w:val="center"/>
              <w:rPr>
                <w:rFonts w:ascii="仿宋" w:hAnsi="仿宋" w:eastAsia="仿宋"/>
                <w:color w:val="000000" w:themeColor="text1"/>
                <w:sz w:val="28"/>
                <w:szCs w:val="28"/>
                <w:highlight w:val="none"/>
                <w14:textFill>
                  <w14:solidFill>
                    <w14:schemeClr w14:val="tx1"/>
                  </w14:solidFill>
                </w14:textFill>
              </w:rPr>
            </w:pPr>
          </w:p>
        </w:tc>
        <w:tc>
          <w:tcPr>
            <w:tcW w:w="2214" w:type="dxa"/>
            <w:gridSpan w:val="2"/>
            <w:vAlign w:val="center"/>
          </w:tcPr>
          <w:p w14:paraId="174D8A70">
            <w:pPr>
              <w:spacing w:line="440" w:lineRule="exact"/>
              <w:jc w:val="center"/>
              <w:rPr>
                <w:rFonts w:ascii="仿宋" w:hAnsi="仿宋" w:eastAsia="仿宋"/>
                <w:color w:val="000000" w:themeColor="text1"/>
                <w:sz w:val="28"/>
                <w:szCs w:val="28"/>
                <w:highlight w:val="none"/>
                <w14:textFill>
                  <w14:solidFill>
                    <w14:schemeClr w14:val="tx1"/>
                  </w14:solidFill>
                </w14:textFill>
              </w:rPr>
            </w:pPr>
            <w:r>
              <w:rPr>
                <w:rFonts w:hint="eastAsia" w:ascii="仿宋" w:hAnsi="仿宋" w:eastAsia="仿宋"/>
                <w:color w:val="000000" w:themeColor="text1"/>
                <w:sz w:val="28"/>
                <w:szCs w:val="28"/>
                <w:highlight w:val="none"/>
                <w14:textFill>
                  <w14:solidFill>
                    <w14:schemeClr w14:val="tx1"/>
                  </w14:solidFill>
                </w14:textFill>
              </w:rPr>
              <w:t>单位类型</w:t>
            </w:r>
          </w:p>
        </w:tc>
        <w:tc>
          <w:tcPr>
            <w:tcW w:w="2598" w:type="dxa"/>
            <w:gridSpan w:val="3"/>
            <w:vAlign w:val="center"/>
          </w:tcPr>
          <w:p w14:paraId="187D839A">
            <w:pPr>
              <w:spacing w:line="440" w:lineRule="exact"/>
              <w:jc w:val="center"/>
              <w:rPr>
                <w:rFonts w:ascii="仿宋" w:hAnsi="仿宋" w:eastAsia="仿宋"/>
                <w:color w:val="000000" w:themeColor="text1"/>
                <w:sz w:val="28"/>
                <w:szCs w:val="28"/>
                <w:highlight w:val="none"/>
                <w14:textFill>
                  <w14:solidFill>
                    <w14:schemeClr w14:val="tx1"/>
                  </w14:solidFill>
                </w14:textFill>
              </w:rPr>
            </w:pPr>
          </w:p>
        </w:tc>
      </w:tr>
      <w:tr w14:paraId="5E28AC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567" w:type="dxa"/>
            <w:vMerge w:val="continue"/>
            <w:textDirection w:val="tbRlV"/>
            <w:vAlign w:val="center"/>
          </w:tcPr>
          <w:p w14:paraId="1FF16A9C">
            <w:pPr>
              <w:spacing w:line="440" w:lineRule="exact"/>
              <w:jc w:val="center"/>
              <w:rPr>
                <w:rFonts w:ascii="仿宋" w:hAnsi="仿宋" w:eastAsia="仿宋"/>
                <w:color w:val="000000" w:themeColor="text1"/>
                <w:sz w:val="28"/>
                <w:szCs w:val="28"/>
                <w:highlight w:val="none"/>
                <w14:textFill>
                  <w14:solidFill>
                    <w14:schemeClr w14:val="tx1"/>
                  </w14:solidFill>
                </w14:textFill>
              </w:rPr>
            </w:pPr>
          </w:p>
        </w:tc>
        <w:tc>
          <w:tcPr>
            <w:tcW w:w="2214" w:type="dxa"/>
            <w:gridSpan w:val="2"/>
            <w:vAlign w:val="center"/>
          </w:tcPr>
          <w:p w14:paraId="21E33F55">
            <w:pPr>
              <w:spacing w:line="440" w:lineRule="exact"/>
              <w:jc w:val="center"/>
              <w:rPr>
                <w:rFonts w:ascii="仿宋" w:hAnsi="仿宋" w:eastAsia="仿宋"/>
                <w:color w:val="000000" w:themeColor="text1"/>
                <w:sz w:val="28"/>
                <w:szCs w:val="28"/>
                <w:highlight w:val="none"/>
                <w14:textFill>
                  <w14:solidFill>
                    <w14:schemeClr w14:val="tx1"/>
                  </w14:solidFill>
                </w14:textFill>
              </w:rPr>
            </w:pPr>
            <w:r>
              <w:rPr>
                <w:rFonts w:hint="eastAsia" w:ascii="仿宋" w:hAnsi="仿宋" w:eastAsia="仿宋"/>
                <w:color w:val="000000" w:themeColor="text1"/>
                <w:sz w:val="28"/>
                <w:szCs w:val="28"/>
                <w:highlight w:val="none"/>
                <w14:textFill>
                  <w14:solidFill>
                    <w14:schemeClr w14:val="tx1"/>
                  </w14:solidFill>
                </w14:textFill>
              </w:rPr>
              <w:t>成立时间</w:t>
            </w:r>
          </w:p>
        </w:tc>
        <w:tc>
          <w:tcPr>
            <w:tcW w:w="1665" w:type="dxa"/>
            <w:gridSpan w:val="2"/>
            <w:vAlign w:val="center"/>
          </w:tcPr>
          <w:p w14:paraId="59E286C9">
            <w:pPr>
              <w:spacing w:line="440" w:lineRule="exact"/>
              <w:jc w:val="center"/>
              <w:rPr>
                <w:rFonts w:ascii="仿宋" w:hAnsi="仿宋" w:eastAsia="仿宋"/>
                <w:color w:val="000000" w:themeColor="text1"/>
                <w:sz w:val="28"/>
                <w:szCs w:val="28"/>
                <w:highlight w:val="none"/>
                <w14:textFill>
                  <w14:solidFill>
                    <w14:schemeClr w14:val="tx1"/>
                  </w14:solidFill>
                </w14:textFill>
              </w:rPr>
            </w:pPr>
          </w:p>
        </w:tc>
        <w:tc>
          <w:tcPr>
            <w:tcW w:w="2214" w:type="dxa"/>
            <w:gridSpan w:val="2"/>
            <w:vAlign w:val="center"/>
          </w:tcPr>
          <w:p w14:paraId="50A92FD7">
            <w:pPr>
              <w:spacing w:line="440" w:lineRule="exact"/>
              <w:jc w:val="center"/>
              <w:rPr>
                <w:rFonts w:ascii="仿宋" w:hAnsi="仿宋" w:eastAsia="仿宋"/>
                <w:color w:val="000000" w:themeColor="text1"/>
                <w:sz w:val="28"/>
                <w:szCs w:val="28"/>
                <w:highlight w:val="none"/>
                <w14:textFill>
                  <w14:solidFill>
                    <w14:schemeClr w14:val="tx1"/>
                  </w14:solidFill>
                </w14:textFill>
              </w:rPr>
            </w:pPr>
            <w:r>
              <w:rPr>
                <w:rFonts w:hint="eastAsia" w:ascii="仿宋" w:hAnsi="仿宋" w:eastAsia="仿宋"/>
                <w:color w:val="000000" w:themeColor="text1"/>
                <w:sz w:val="28"/>
                <w:szCs w:val="28"/>
                <w:highlight w:val="none"/>
                <w14:textFill>
                  <w14:solidFill>
                    <w14:schemeClr w14:val="tx1"/>
                  </w14:solidFill>
                </w14:textFill>
              </w:rPr>
              <w:t>营业期限</w:t>
            </w:r>
          </w:p>
        </w:tc>
        <w:tc>
          <w:tcPr>
            <w:tcW w:w="2598" w:type="dxa"/>
            <w:gridSpan w:val="3"/>
            <w:vAlign w:val="center"/>
          </w:tcPr>
          <w:p w14:paraId="703DF9DD">
            <w:pPr>
              <w:spacing w:line="440" w:lineRule="exact"/>
              <w:jc w:val="center"/>
              <w:rPr>
                <w:rFonts w:ascii="仿宋" w:hAnsi="仿宋" w:eastAsia="仿宋"/>
                <w:color w:val="000000" w:themeColor="text1"/>
                <w:sz w:val="28"/>
                <w:szCs w:val="28"/>
                <w:highlight w:val="none"/>
                <w14:textFill>
                  <w14:solidFill>
                    <w14:schemeClr w14:val="tx1"/>
                  </w14:solidFill>
                </w14:textFill>
              </w:rPr>
            </w:pPr>
          </w:p>
        </w:tc>
      </w:tr>
      <w:tr w14:paraId="4D98E1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567" w:type="dxa"/>
            <w:vMerge w:val="continue"/>
            <w:textDirection w:val="tbRlV"/>
            <w:vAlign w:val="center"/>
          </w:tcPr>
          <w:p w14:paraId="2E91F2FA">
            <w:pPr>
              <w:spacing w:line="440" w:lineRule="exact"/>
              <w:jc w:val="center"/>
              <w:rPr>
                <w:rFonts w:ascii="仿宋" w:hAnsi="仿宋" w:eastAsia="仿宋"/>
                <w:color w:val="000000" w:themeColor="text1"/>
                <w:sz w:val="28"/>
                <w:szCs w:val="28"/>
                <w:highlight w:val="none"/>
                <w14:textFill>
                  <w14:solidFill>
                    <w14:schemeClr w14:val="tx1"/>
                  </w14:solidFill>
                </w14:textFill>
              </w:rPr>
            </w:pPr>
          </w:p>
        </w:tc>
        <w:tc>
          <w:tcPr>
            <w:tcW w:w="2214" w:type="dxa"/>
            <w:gridSpan w:val="2"/>
            <w:vAlign w:val="center"/>
          </w:tcPr>
          <w:p w14:paraId="3E264DA8">
            <w:pPr>
              <w:spacing w:line="440" w:lineRule="exact"/>
              <w:jc w:val="center"/>
              <w:rPr>
                <w:rFonts w:ascii="仿宋" w:hAnsi="仿宋" w:eastAsia="仿宋"/>
                <w:color w:val="000000" w:themeColor="text1"/>
                <w:sz w:val="28"/>
                <w:szCs w:val="28"/>
                <w:highlight w:val="none"/>
                <w14:textFill>
                  <w14:solidFill>
                    <w14:schemeClr w14:val="tx1"/>
                  </w14:solidFill>
                </w14:textFill>
              </w:rPr>
            </w:pPr>
            <w:r>
              <w:rPr>
                <w:rFonts w:hint="eastAsia" w:ascii="仿宋" w:hAnsi="仿宋" w:eastAsia="仿宋"/>
                <w:color w:val="000000" w:themeColor="text1"/>
                <w:sz w:val="28"/>
                <w:szCs w:val="28"/>
                <w:highlight w:val="none"/>
                <w14:textFill>
                  <w14:solidFill>
                    <w14:schemeClr w14:val="tx1"/>
                  </w14:solidFill>
                </w14:textFill>
              </w:rPr>
              <w:t>经营范围</w:t>
            </w:r>
          </w:p>
        </w:tc>
        <w:tc>
          <w:tcPr>
            <w:tcW w:w="6477" w:type="dxa"/>
            <w:gridSpan w:val="7"/>
            <w:vAlign w:val="center"/>
          </w:tcPr>
          <w:p w14:paraId="48BA532E">
            <w:pPr>
              <w:spacing w:line="440" w:lineRule="exact"/>
              <w:jc w:val="center"/>
              <w:rPr>
                <w:rFonts w:ascii="仿宋" w:hAnsi="仿宋" w:eastAsia="仿宋"/>
                <w:color w:val="000000" w:themeColor="text1"/>
                <w:sz w:val="28"/>
                <w:szCs w:val="28"/>
                <w:highlight w:val="none"/>
                <w14:textFill>
                  <w14:solidFill>
                    <w14:schemeClr w14:val="tx1"/>
                  </w14:solidFill>
                </w14:textFill>
              </w:rPr>
            </w:pPr>
          </w:p>
        </w:tc>
      </w:tr>
      <w:tr w14:paraId="3DF6BA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9258" w:type="dxa"/>
            <w:gridSpan w:val="10"/>
            <w:vAlign w:val="center"/>
          </w:tcPr>
          <w:p w14:paraId="15C94896">
            <w:pPr>
              <w:spacing w:line="440" w:lineRule="exact"/>
              <w:jc w:val="center"/>
              <w:rPr>
                <w:rFonts w:ascii="仿宋" w:hAnsi="仿宋" w:eastAsia="仿宋"/>
                <w:color w:val="000000" w:themeColor="text1"/>
                <w:sz w:val="28"/>
                <w:szCs w:val="28"/>
                <w:highlight w:val="none"/>
                <w14:textFill>
                  <w14:solidFill>
                    <w14:schemeClr w14:val="tx1"/>
                  </w14:solidFill>
                </w14:textFill>
              </w:rPr>
            </w:pPr>
            <w:r>
              <w:rPr>
                <w:rFonts w:hint="eastAsia" w:ascii="仿宋" w:hAnsi="仿宋" w:eastAsia="仿宋"/>
                <w:color w:val="000000" w:themeColor="text1"/>
                <w:sz w:val="28"/>
                <w:szCs w:val="28"/>
                <w:highlight w:val="none"/>
                <w14:textFill>
                  <w14:solidFill>
                    <w14:schemeClr w14:val="tx1"/>
                  </w14:solidFill>
                </w14:textFill>
              </w:rPr>
              <w:t>投标人情况简介</w:t>
            </w:r>
          </w:p>
        </w:tc>
      </w:tr>
      <w:tr w14:paraId="6A2304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90" w:hRule="atLeast"/>
          <w:jc w:val="center"/>
        </w:trPr>
        <w:tc>
          <w:tcPr>
            <w:tcW w:w="9258" w:type="dxa"/>
            <w:gridSpan w:val="10"/>
          </w:tcPr>
          <w:p w14:paraId="55490CE1">
            <w:pPr>
              <w:spacing w:line="440" w:lineRule="exact"/>
              <w:rPr>
                <w:rFonts w:ascii="仿宋" w:hAnsi="仿宋" w:eastAsia="仿宋"/>
                <w:color w:val="000000" w:themeColor="text1"/>
                <w:sz w:val="28"/>
                <w:szCs w:val="28"/>
                <w:highlight w:val="none"/>
                <w14:textFill>
                  <w14:solidFill>
                    <w14:schemeClr w14:val="tx1"/>
                  </w14:solidFill>
                </w14:textFill>
              </w:rPr>
            </w:pPr>
          </w:p>
        </w:tc>
      </w:tr>
    </w:tbl>
    <w:p w14:paraId="7344FF40">
      <w:pPr>
        <w:jc w:val="center"/>
        <w:rPr>
          <w:rFonts w:ascii="仿宋" w:hAnsi="仿宋" w:eastAsia="仿宋"/>
          <w:b/>
          <w:color w:val="000000" w:themeColor="text1"/>
          <w:sz w:val="44"/>
          <w:szCs w:val="44"/>
          <w:highlight w:val="none"/>
          <w14:textFill>
            <w14:solidFill>
              <w14:schemeClr w14:val="tx1"/>
            </w14:solidFill>
          </w14:textFill>
        </w:rPr>
      </w:pPr>
    </w:p>
    <w:p w14:paraId="23D6290D">
      <w:pPr>
        <w:wordWrap w:val="0"/>
        <w:spacing w:line="560" w:lineRule="exact"/>
        <w:ind w:right="640" w:firstLine="4160" w:firstLineChars="1300"/>
        <w:rPr>
          <w:rFonts w:ascii="仿宋" w:hAnsi="仿宋" w:eastAsia="仿宋"/>
          <w:color w:val="000000" w:themeColor="text1"/>
          <w:sz w:val="32"/>
          <w:szCs w:val="32"/>
          <w:highlight w:val="none"/>
          <w14:textFill>
            <w14:solidFill>
              <w14:schemeClr w14:val="tx1"/>
            </w14:solidFill>
          </w14:textFill>
        </w:rPr>
      </w:pPr>
      <w:r>
        <w:rPr>
          <w:rFonts w:hint="eastAsia" w:ascii="仿宋" w:hAnsi="仿宋" w:eastAsia="仿宋"/>
          <w:color w:val="000000" w:themeColor="text1"/>
          <w:sz w:val="32"/>
          <w:szCs w:val="32"/>
          <w:highlight w:val="none"/>
          <w14:textFill>
            <w14:solidFill>
              <w14:schemeClr w14:val="tx1"/>
            </w14:solidFill>
          </w14:textFill>
        </w:rPr>
        <w:t xml:space="preserve">投标人单位（盖章）： </w:t>
      </w:r>
    </w:p>
    <w:p w14:paraId="5DE2F983">
      <w:pPr>
        <w:wordWrap w:val="0"/>
        <w:spacing w:line="560" w:lineRule="exact"/>
        <w:jc w:val="right"/>
        <w:rPr>
          <w:rFonts w:ascii="仿宋" w:hAnsi="仿宋" w:eastAsia="仿宋"/>
          <w:color w:val="000000" w:themeColor="text1"/>
          <w:sz w:val="32"/>
          <w:szCs w:val="32"/>
          <w:highlight w:val="none"/>
          <w14:textFill>
            <w14:solidFill>
              <w14:schemeClr w14:val="tx1"/>
            </w14:solidFill>
          </w14:textFill>
        </w:rPr>
      </w:pPr>
      <w:r>
        <w:rPr>
          <w:rFonts w:hint="eastAsia" w:ascii="仿宋" w:hAnsi="仿宋" w:eastAsia="仿宋"/>
          <w:color w:val="000000" w:themeColor="text1"/>
          <w:sz w:val="32"/>
          <w:szCs w:val="32"/>
          <w:highlight w:val="none"/>
          <w14:textFill>
            <w14:solidFill>
              <w14:schemeClr w14:val="tx1"/>
            </w14:solidFill>
          </w14:textFill>
        </w:rPr>
        <w:t xml:space="preserve">法定代表人（依法登记的负责人）或被授权人（签字或盖章） </w:t>
      </w:r>
    </w:p>
    <w:p w14:paraId="00517747">
      <w:pPr>
        <w:wordWrap w:val="0"/>
        <w:spacing w:line="560" w:lineRule="exact"/>
        <w:ind w:right="1280"/>
        <w:rPr>
          <w:rFonts w:ascii="仿宋_GB2312" w:hAnsi="仿宋" w:eastAsia="仿宋_GB2312"/>
          <w:color w:val="000000" w:themeColor="text1"/>
          <w:sz w:val="32"/>
          <w:szCs w:val="32"/>
          <w:highlight w:val="none"/>
          <w14:textFill>
            <w14:solidFill>
              <w14:schemeClr w14:val="tx1"/>
            </w14:solidFill>
          </w14:textFill>
        </w:rPr>
        <w:sectPr>
          <w:pgSz w:w="11906" w:h="16838"/>
          <w:pgMar w:top="1440" w:right="1080" w:bottom="1440" w:left="1080" w:header="851" w:footer="992" w:gutter="0"/>
          <w:cols w:space="720" w:num="1"/>
          <w:docGrid w:type="lines" w:linePitch="312" w:charSpace="0"/>
        </w:sectPr>
      </w:pPr>
    </w:p>
    <w:p w14:paraId="480FECD3">
      <w:pPr>
        <w:pStyle w:val="404"/>
        <w:snapToGrid w:val="0"/>
        <w:jc w:val="center"/>
        <w:rPr>
          <w:rFonts w:hAnsi="宋体"/>
          <w:b/>
          <w:bCs/>
          <w:color w:val="000000" w:themeColor="text1"/>
          <w:kern w:val="2"/>
          <w:sz w:val="44"/>
          <w:szCs w:val="44"/>
          <w:highlight w:val="none"/>
          <w14:textFill>
            <w14:solidFill>
              <w14:schemeClr w14:val="tx1"/>
            </w14:solidFill>
          </w14:textFill>
        </w:rPr>
      </w:pPr>
      <w:r>
        <w:rPr>
          <w:rFonts w:hint="eastAsia" w:hAnsi="宋体"/>
          <w:b/>
          <w:bCs/>
          <w:color w:val="000000" w:themeColor="text1"/>
          <w:kern w:val="2"/>
          <w:sz w:val="44"/>
          <w:szCs w:val="44"/>
          <w:highlight w:val="none"/>
          <w14:textFill>
            <w14:solidFill>
              <w14:schemeClr w14:val="tx1"/>
            </w14:solidFill>
          </w14:textFill>
        </w:rPr>
        <w:t>2023年至类似项目业绩表</w:t>
      </w:r>
    </w:p>
    <w:tbl>
      <w:tblPr>
        <w:tblStyle w:val="47"/>
        <w:tblW w:w="95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4"/>
        <w:gridCol w:w="1800"/>
        <w:gridCol w:w="2047"/>
        <w:gridCol w:w="1260"/>
        <w:gridCol w:w="1440"/>
        <w:gridCol w:w="1959"/>
      </w:tblGrid>
      <w:tr w14:paraId="4B197C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jc w:val="center"/>
        </w:trPr>
        <w:tc>
          <w:tcPr>
            <w:tcW w:w="1034" w:type="dxa"/>
            <w:noWrap/>
            <w:vAlign w:val="center"/>
          </w:tcPr>
          <w:p w14:paraId="53C4F541">
            <w:pPr>
              <w:jc w:val="center"/>
              <w:rPr>
                <w:rFonts w:ascii="仿宋" w:hAnsi="仿宋" w:eastAsia="仿宋"/>
                <w:color w:val="000000" w:themeColor="text1"/>
                <w:sz w:val="30"/>
                <w:szCs w:val="30"/>
                <w:highlight w:val="none"/>
                <w14:textFill>
                  <w14:solidFill>
                    <w14:schemeClr w14:val="tx1"/>
                  </w14:solidFill>
                </w14:textFill>
              </w:rPr>
            </w:pPr>
            <w:r>
              <w:rPr>
                <w:rFonts w:hint="eastAsia" w:ascii="仿宋" w:hAnsi="仿宋" w:eastAsia="仿宋"/>
                <w:color w:val="000000" w:themeColor="text1"/>
                <w:sz w:val="30"/>
                <w:szCs w:val="30"/>
                <w:highlight w:val="none"/>
                <w14:textFill>
                  <w14:solidFill>
                    <w14:schemeClr w14:val="tx1"/>
                  </w14:solidFill>
                </w14:textFill>
              </w:rPr>
              <w:t>序号</w:t>
            </w:r>
          </w:p>
        </w:tc>
        <w:tc>
          <w:tcPr>
            <w:tcW w:w="1800" w:type="dxa"/>
            <w:noWrap/>
            <w:vAlign w:val="center"/>
          </w:tcPr>
          <w:p w14:paraId="3952CAD0">
            <w:pPr>
              <w:jc w:val="center"/>
              <w:rPr>
                <w:rFonts w:ascii="仿宋" w:hAnsi="仿宋" w:eastAsia="仿宋"/>
                <w:color w:val="000000" w:themeColor="text1"/>
                <w:sz w:val="30"/>
                <w:szCs w:val="30"/>
                <w:highlight w:val="none"/>
                <w14:textFill>
                  <w14:solidFill>
                    <w14:schemeClr w14:val="tx1"/>
                  </w14:solidFill>
                </w14:textFill>
              </w:rPr>
            </w:pPr>
            <w:r>
              <w:rPr>
                <w:rFonts w:hint="eastAsia" w:ascii="仿宋" w:hAnsi="仿宋" w:eastAsia="仿宋"/>
                <w:color w:val="000000" w:themeColor="text1"/>
                <w:sz w:val="30"/>
                <w:szCs w:val="30"/>
                <w:highlight w:val="none"/>
                <w14:textFill>
                  <w14:solidFill>
                    <w14:schemeClr w14:val="tx1"/>
                  </w14:solidFill>
                </w14:textFill>
              </w:rPr>
              <w:t>用户名称</w:t>
            </w:r>
          </w:p>
        </w:tc>
        <w:tc>
          <w:tcPr>
            <w:tcW w:w="2047" w:type="dxa"/>
            <w:noWrap/>
            <w:vAlign w:val="center"/>
          </w:tcPr>
          <w:p w14:paraId="308C330E">
            <w:pPr>
              <w:jc w:val="center"/>
              <w:rPr>
                <w:rFonts w:ascii="仿宋" w:hAnsi="仿宋" w:eastAsia="仿宋"/>
                <w:color w:val="000000" w:themeColor="text1"/>
                <w:sz w:val="30"/>
                <w:szCs w:val="30"/>
                <w:highlight w:val="none"/>
                <w14:textFill>
                  <w14:solidFill>
                    <w14:schemeClr w14:val="tx1"/>
                  </w14:solidFill>
                </w14:textFill>
              </w:rPr>
            </w:pPr>
            <w:r>
              <w:rPr>
                <w:rFonts w:hint="eastAsia" w:ascii="仿宋" w:hAnsi="仿宋" w:eastAsia="仿宋"/>
                <w:color w:val="000000" w:themeColor="text1"/>
                <w:sz w:val="30"/>
                <w:szCs w:val="30"/>
                <w:highlight w:val="none"/>
                <w14:textFill>
                  <w14:solidFill>
                    <w14:schemeClr w14:val="tx1"/>
                  </w14:solidFill>
                </w14:textFill>
              </w:rPr>
              <w:t>项目名称</w:t>
            </w:r>
          </w:p>
        </w:tc>
        <w:tc>
          <w:tcPr>
            <w:tcW w:w="1260" w:type="dxa"/>
            <w:noWrap/>
            <w:vAlign w:val="center"/>
          </w:tcPr>
          <w:p w14:paraId="59F5927D">
            <w:pPr>
              <w:jc w:val="center"/>
              <w:rPr>
                <w:rFonts w:ascii="仿宋" w:hAnsi="仿宋" w:eastAsia="仿宋"/>
                <w:color w:val="000000" w:themeColor="text1"/>
                <w:sz w:val="30"/>
                <w:szCs w:val="30"/>
                <w:highlight w:val="none"/>
                <w14:textFill>
                  <w14:solidFill>
                    <w14:schemeClr w14:val="tx1"/>
                  </w14:solidFill>
                </w14:textFill>
              </w:rPr>
            </w:pPr>
            <w:r>
              <w:rPr>
                <w:rFonts w:hint="eastAsia" w:ascii="仿宋" w:hAnsi="仿宋" w:eastAsia="仿宋"/>
                <w:color w:val="000000" w:themeColor="text1"/>
                <w:sz w:val="30"/>
                <w:szCs w:val="30"/>
                <w:highlight w:val="none"/>
                <w14:textFill>
                  <w14:solidFill>
                    <w14:schemeClr w14:val="tx1"/>
                  </w14:solidFill>
                </w14:textFill>
              </w:rPr>
              <w:t>合同额</w:t>
            </w:r>
          </w:p>
        </w:tc>
        <w:tc>
          <w:tcPr>
            <w:tcW w:w="1440" w:type="dxa"/>
            <w:noWrap/>
            <w:vAlign w:val="center"/>
          </w:tcPr>
          <w:p w14:paraId="51D7C059">
            <w:pPr>
              <w:jc w:val="center"/>
              <w:rPr>
                <w:rFonts w:ascii="仿宋" w:hAnsi="仿宋" w:eastAsia="仿宋"/>
                <w:color w:val="000000" w:themeColor="text1"/>
                <w:sz w:val="30"/>
                <w:szCs w:val="30"/>
                <w:highlight w:val="none"/>
                <w14:textFill>
                  <w14:solidFill>
                    <w14:schemeClr w14:val="tx1"/>
                  </w14:solidFill>
                </w14:textFill>
              </w:rPr>
            </w:pPr>
            <w:r>
              <w:rPr>
                <w:rFonts w:hint="eastAsia" w:ascii="仿宋" w:hAnsi="仿宋" w:eastAsia="仿宋"/>
                <w:color w:val="000000" w:themeColor="text1"/>
                <w:sz w:val="30"/>
                <w:szCs w:val="30"/>
                <w:highlight w:val="none"/>
                <w14:textFill>
                  <w14:solidFill>
                    <w14:schemeClr w14:val="tx1"/>
                  </w14:solidFill>
                </w14:textFill>
              </w:rPr>
              <w:t>服务时间</w:t>
            </w:r>
          </w:p>
        </w:tc>
        <w:tc>
          <w:tcPr>
            <w:tcW w:w="1959" w:type="dxa"/>
            <w:noWrap/>
            <w:vAlign w:val="center"/>
          </w:tcPr>
          <w:p w14:paraId="336826DE">
            <w:pPr>
              <w:jc w:val="center"/>
              <w:rPr>
                <w:rFonts w:ascii="仿宋" w:hAnsi="仿宋" w:eastAsia="仿宋"/>
                <w:color w:val="000000" w:themeColor="text1"/>
                <w:sz w:val="30"/>
                <w:szCs w:val="30"/>
                <w:highlight w:val="none"/>
                <w14:textFill>
                  <w14:solidFill>
                    <w14:schemeClr w14:val="tx1"/>
                  </w14:solidFill>
                </w14:textFill>
              </w:rPr>
            </w:pPr>
            <w:r>
              <w:rPr>
                <w:rFonts w:hint="eastAsia" w:ascii="仿宋" w:hAnsi="仿宋" w:eastAsia="仿宋"/>
                <w:color w:val="000000" w:themeColor="text1"/>
                <w:sz w:val="30"/>
                <w:szCs w:val="30"/>
                <w:highlight w:val="none"/>
                <w14:textFill>
                  <w14:solidFill>
                    <w14:schemeClr w14:val="tx1"/>
                  </w14:solidFill>
                </w14:textFill>
              </w:rPr>
              <w:t>电话/联系人</w:t>
            </w:r>
          </w:p>
        </w:tc>
      </w:tr>
      <w:tr w14:paraId="22BDA6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4" w:type="dxa"/>
            <w:noWrap/>
            <w:vAlign w:val="center"/>
          </w:tcPr>
          <w:p w14:paraId="09D9AA46">
            <w:pPr>
              <w:jc w:val="center"/>
              <w:rPr>
                <w:rFonts w:ascii="仿宋" w:hAnsi="仿宋" w:eastAsia="仿宋"/>
                <w:color w:val="000000" w:themeColor="text1"/>
                <w:sz w:val="30"/>
                <w:szCs w:val="30"/>
                <w:highlight w:val="none"/>
                <w14:textFill>
                  <w14:solidFill>
                    <w14:schemeClr w14:val="tx1"/>
                  </w14:solidFill>
                </w14:textFill>
              </w:rPr>
            </w:pPr>
          </w:p>
        </w:tc>
        <w:tc>
          <w:tcPr>
            <w:tcW w:w="1800" w:type="dxa"/>
            <w:noWrap/>
            <w:vAlign w:val="center"/>
          </w:tcPr>
          <w:p w14:paraId="7D696319">
            <w:pPr>
              <w:jc w:val="center"/>
              <w:rPr>
                <w:rFonts w:ascii="仿宋" w:hAnsi="仿宋" w:eastAsia="仿宋"/>
                <w:color w:val="000000" w:themeColor="text1"/>
                <w:sz w:val="30"/>
                <w:szCs w:val="30"/>
                <w:highlight w:val="none"/>
                <w14:textFill>
                  <w14:solidFill>
                    <w14:schemeClr w14:val="tx1"/>
                  </w14:solidFill>
                </w14:textFill>
              </w:rPr>
            </w:pPr>
          </w:p>
        </w:tc>
        <w:tc>
          <w:tcPr>
            <w:tcW w:w="2047" w:type="dxa"/>
            <w:noWrap/>
            <w:vAlign w:val="center"/>
          </w:tcPr>
          <w:p w14:paraId="206BD3FC">
            <w:pPr>
              <w:jc w:val="center"/>
              <w:rPr>
                <w:rFonts w:ascii="仿宋" w:hAnsi="仿宋" w:eastAsia="仿宋"/>
                <w:color w:val="000000" w:themeColor="text1"/>
                <w:sz w:val="30"/>
                <w:szCs w:val="30"/>
                <w:highlight w:val="none"/>
                <w14:textFill>
                  <w14:solidFill>
                    <w14:schemeClr w14:val="tx1"/>
                  </w14:solidFill>
                </w14:textFill>
              </w:rPr>
            </w:pPr>
          </w:p>
        </w:tc>
        <w:tc>
          <w:tcPr>
            <w:tcW w:w="1260" w:type="dxa"/>
            <w:noWrap/>
            <w:vAlign w:val="center"/>
          </w:tcPr>
          <w:p w14:paraId="2942A662">
            <w:pPr>
              <w:jc w:val="center"/>
              <w:rPr>
                <w:rFonts w:ascii="仿宋" w:hAnsi="仿宋" w:eastAsia="仿宋"/>
                <w:color w:val="000000" w:themeColor="text1"/>
                <w:sz w:val="30"/>
                <w:szCs w:val="30"/>
                <w:highlight w:val="none"/>
                <w14:textFill>
                  <w14:solidFill>
                    <w14:schemeClr w14:val="tx1"/>
                  </w14:solidFill>
                </w14:textFill>
              </w:rPr>
            </w:pPr>
          </w:p>
        </w:tc>
        <w:tc>
          <w:tcPr>
            <w:tcW w:w="1440" w:type="dxa"/>
            <w:noWrap/>
            <w:vAlign w:val="center"/>
          </w:tcPr>
          <w:p w14:paraId="20ED2A54">
            <w:pPr>
              <w:jc w:val="center"/>
              <w:rPr>
                <w:rFonts w:ascii="仿宋" w:hAnsi="仿宋" w:eastAsia="仿宋"/>
                <w:color w:val="000000" w:themeColor="text1"/>
                <w:sz w:val="30"/>
                <w:szCs w:val="30"/>
                <w:highlight w:val="none"/>
                <w14:textFill>
                  <w14:solidFill>
                    <w14:schemeClr w14:val="tx1"/>
                  </w14:solidFill>
                </w14:textFill>
              </w:rPr>
            </w:pPr>
          </w:p>
        </w:tc>
        <w:tc>
          <w:tcPr>
            <w:tcW w:w="1959" w:type="dxa"/>
            <w:noWrap/>
            <w:vAlign w:val="center"/>
          </w:tcPr>
          <w:p w14:paraId="4F9D8340">
            <w:pPr>
              <w:jc w:val="center"/>
              <w:rPr>
                <w:rFonts w:ascii="仿宋" w:hAnsi="仿宋" w:eastAsia="仿宋"/>
                <w:color w:val="000000" w:themeColor="text1"/>
                <w:sz w:val="30"/>
                <w:szCs w:val="30"/>
                <w:highlight w:val="none"/>
                <w14:textFill>
                  <w14:solidFill>
                    <w14:schemeClr w14:val="tx1"/>
                  </w14:solidFill>
                </w14:textFill>
              </w:rPr>
            </w:pPr>
          </w:p>
        </w:tc>
      </w:tr>
      <w:tr w14:paraId="7E81B6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4" w:type="dxa"/>
            <w:noWrap/>
            <w:vAlign w:val="center"/>
          </w:tcPr>
          <w:p w14:paraId="182D1D92">
            <w:pPr>
              <w:rPr>
                <w:rFonts w:ascii="仿宋" w:hAnsi="仿宋" w:eastAsia="仿宋"/>
                <w:color w:val="000000" w:themeColor="text1"/>
                <w:sz w:val="30"/>
                <w:szCs w:val="30"/>
                <w:highlight w:val="none"/>
                <w14:textFill>
                  <w14:solidFill>
                    <w14:schemeClr w14:val="tx1"/>
                  </w14:solidFill>
                </w14:textFill>
              </w:rPr>
            </w:pPr>
          </w:p>
        </w:tc>
        <w:tc>
          <w:tcPr>
            <w:tcW w:w="1800" w:type="dxa"/>
            <w:noWrap/>
            <w:vAlign w:val="center"/>
          </w:tcPr>
          <w:p w14:paraId="798A2003">
            <w:pPr>
              <w:jc w:val="center"/>
              <w:rPr>
                <w:rFonts w:ascii="仿宋" w:hAnsi="仿宋" w:eastAsia="仿宋"/>
                <w:color w:val="000000" w:themeColor="text1"/>
                <w:sz w:val="30"/>
                <w:szCs w:val="30"/>
                <w:highlight w:val="none"/>
                <w14:textFill>
                  <w14:solidFill>
                    <w14:schemeClr w14:val="tx1"/>
                  </w14:solidFill>
                </w14:textFill>
              </w:rPr>
            </w:pPr>
          </w:p>
        </w:tc>
        <w:tc>
          <w:tcPr>
            <w:tcW w:w="2047" w:type="dxa"/>
            <w:noWrap/>
            <w:vAlign w:val="center"/>
          </w:tcPr>
          <w:p w14:paraId="5BCFB74E">
            <w:pPr>
              <w:jc w:val="center"/>
              <w:rPr>
                <w:rFonts w:ascii="仿宋" w:hAnsi="仿宋" w:eastAsia="仿宋"/>
                <w:color w:val="000000" w:themeColor="text1"/>
                <w:sz w:val="30"/>
                <w:szCs w:val="30"/>
                <w:highlight w:val="none"/>
                <w14:textFill>
                  <w14:solidFill>
                    <w14:schemeClr w14:val="tx1"/>
                  </w14:solidFill>
                </w14:textFill>
              </w:rPr>
            </w:pPr>
          </w:p>
        </w:tc>
        <w:tc>
          <w:tcPr>
            <w:tcW w:w="1260" w:type="dxa"/>
            <w:noWrap/>
            <w:vAlign w:val="center"/>
          </w:tcPr>
          <w:p w14:paraId="52806737">
            <w:pPr>
              <w:jc w:val="center"/>
              <w:rPr>
                <w:rFonts w:ascii="仿宋" w:hAnsi="仿宋" w:eastAsia="仿宋"/>
                <w:color w:val="000000" w:themeColor="text1"/>
                <w:sz w:val="30"/>
                <w:szCs w:val="30"/>
                <w:highlight w:val="none"/>
                <w14:textFill>
                  <w14:solidFill>
                    <w14:schemeClr w14:val="tx1"/>
                  </w14:solidFill>
                </w14:textFill>
              </w:rPr>
            </w:pPr>
          </w:p>
        </w:tc>
        <w:tc>
          <w:tcPr>
            <w:tcW w:w="1440" w:type="dxa"/>
            <w:noWrap/>
            <w:vAlign w:val="center"/>
          </w:tcPr>
          <w:p w14:paraId="21FA13AA">
            <w:pPr>
              <w:jc w:val="center"/>
              <w:rPr>
                <w:rFonts w:ascii="仿宋" w:hAnsi="仿宋" w:eastAsia="仿宋"/>
                <w:color w:val="000000" w:themeColor="text1"/>
                <w:sz w:val="30"/>
                <w:szCs w:val="30"/>
                <w:highlight w:val="none"/>
                <w14:textFill>
                  <w14:solidFill>
                    <w14:schemeClr w14:val="tx1"/>
                  </w14:solidFill>
                </w14:textFill>
              </w:rPr>
            </w:pPr>
          </w:p>
        </w:tc>
        <w:tc>
          <w:tcPr>
            <w:tcW w:w="1959" w:type="dxa"/>
            <w:noWrap/>
            <w:vAlign w:val="center"/>
          </w:tcPr>
          <w:p w14:paraId="189BC9EA">
            <w:pPr>
              <w:jc w:val="center"/>
              <w:rPr>
                <w:rFonts w:ascii="仿宋" w:hAnsi="仿宋" w:eastAsia="仿宋"/>
                <w:color w:val="000000" w:themeColor="text1"/>
                <w:sz w:val="30"/>
                <w:szCs w:val="30"/>
                <w:highlight w:val="none"/>
                <w14:textFill>
                  <w14:solidFill>
                    <w14:schemeClr w14:val="tx1"/>
                  </w14:solidFill>
                </w14:textFill>
              </w:rPr>
            </w:pPr>
          </w:p>
        </w:tc>
      </w:tr>
      <w:tr w14:paraId="50B22C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4" w:type="dxa"/>
            <w:noWrap/>
            <w:vAlign w:val="center"/>
          </w:tcPr>
          <w:p w14:paraId="2A529D42">
            <w:pPr>
              <w:rPr>
                <w:rFonts w:ascii="仿宋" w:hAnsi="仿宋" w:eastAsia="仿宋"/>
                <w:color w:val="000000" w:themeColor="text1"/>
                <w:sz w:val="30"/>
                <w:szCs w:val="30"/>
                <w:highlight w:val="none"/>
                <w14:textFill>
                  <w14:solidFill>
                    <w14:schemeClr w14:val="tx1"/>
                  </w14:solidFill>
                </w14:textFill>
              </w:rPr>
            </w:pPr>
          </w:p>
        </w:tc>
        <w:tc>
          <w:tcPr>
            <w:tcW w:w="1800" w:type="dxa"/>
            <w:noWrap/>
            <w:vAlign w:val="center"/>
          </w:tcPr>
          <w:p w14:paraId="6213D1A8">
            <w:pPr>
              <w:jc w:val="center"/>
              <w:rPr>
                <w:rFonts w:ascii="仿宋" w:hAnsi="仿宋" w:eastAsia="仿宋"/>
                <w:color w:val="000000" w:themeColor="text1"/>
                <w:sz w:val="30"/>
                <w:szCs w:val="30"/>
                <w:highlight w:val="none"/>
                <w14:textFill>
                  <w14:solidFill>
                    <w14:schemeClr w14:val="tx1"/>
                  </w14:solidFill>
                </w14:textFill>
              </w:rPr>
            </w:pPr>
          </w:p>
        </w:tc>
        <w:tc>
          <w:tcPr>
            <w:tcW w:w="2047" w:type="dxa"/>
            <w:noWrap/>
            <w:vAlign w:val="center"/>
          </w:tcPr>
          <w:p w14:paraId="6C07645C">
            <w:pPr>
              <w:jc w:val="center"/>
              <w:rPr>
                <w:rFonts w:ascii="仿宋" w:hAnsi="仿宋" w:eastAsia="仿宋"/>
                <w:color w:val="000000" w:themeColor="text1"/>
                <w:sz w:val="30"/>
                <w:szCs w:val="30"/>
                <w:highlight w:val="none"/>
                <w14:textFill>
                  <w14:solidFill>
                    <w14:schemeClr w14:val="tx1"/>
                  </w14:solidFill>
                </w14:textFill>
              </w:rPr>
            </w:pPr>
          </w:p>
        </w:tc>
        <w:tc>
          <w:tcPr>
            <w:tcW w:w="1260" w:type="dxa"/>
            <w:noWrap/>
            <w:vAlign w:val="center"/>
          </w:tcPr>
          <w:p w14:paraId="0EFE7EB2">
            <w:pPr>
              <w:jc w:val="center"/>
              <w:rPr>
                <w:rFonts w:ascii="仿宋" w:hAnsi="仿宋" w:eastAsia="仿宋"/>
                <w:color w:val="000000" w:themeColor="text1"/>
                <w:sz w:val="30"/>
                <w:szCs w:val="30"/>
                <w:highlight w:val="none"/>
                <w14:textFill>
                  <w14:solidFill>
                    <w14:schemeClr w14:val="tx1"/>
                  </w14:solidFill>
                </w14:textFill>
              </w:rPr>
            </w:pPr>
          </w:p>
        </w:tc>
        <w:tc>
          <w:tcPr>
            <w:tcW w:w="1440" w:type="dxa"/>
            <w:noWrap/>
            <w:vAlign w:val="center"/>
          </w:tcPr>
          <w:p w14:paraId="283DE2BF">
            <w:pPr>
              <w:jc w:val="center"/>
              <w:rPr>
                <w:rFonts w:ascii="仿宋" w:hAnsi="仿宋" w:eastAsia="仿宋"/>
                <w:color w:val="000000" w:themeColor="text1"/>
                <w:sz w:val="30"/>
                <w:szCs w:val="30"/>
                <w:highlight w:val="none"/>
                <w14:textFill>
                  <w14:solidFill>
                    <w14:schemeClr w14:val="tx1"/>
                  </w14:solidFill>
                </w14:textFill>
              </w:rPr>
            </w:pPr>
          </w:p>
        </w:tc>
        <w:tc>
          <w:tcPr>
            <w:tcW w:w="1959" w:type="dxa"/>
            <w:noWrap/>
            <w:vAlign w:val="center"/>
          </w:tcPr>
          <w:p w14:paraId="62F830B6">
            <w:pPr>
              <w:jc w:val="center"/>
              <w:rPr>
                <w:rFonts w:ascii="仿宋" w:hAnsi="仿宋" w:eastAsia="仿宋"/>
                <w:color w:val="000000" w:themeColor="text1"/>
                <w:sz w:val="30"/>
                <w:szCs w:val="30"/>
                <w:highlight w:val="none"/>
                <w14:textFill>
                  <w14:solidFill>
                    <w14:schemeClr w14:val="tx1"/>
                  </w14:solidFill>
                </w14:textFill>
              </w:rPr>
            </w:pPr>
          </w:p>
        </w:tc>
      </w:tr>
      <w:tr w14:paraId="449163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4" w:type="dxa"/>
            <w:noWrap/>
            <w:vAlign w:val="center"/>
          </w:tcPr>
          <w:p w14:paraId="6B1799A0">
            <w:pPr>
              <w:rPr>
                <w:rFonts w:ascii="仿宋" w:hAnsi="仿宋" w:eastAsia="仿宋"/>
                <w:color w:val="000000" w:themeColor="text1"/>
                <w:sz w:val="30"/>
                <w:szCs w:val="30"/>
                <w:highlight w:val="none"/>
                <w14:textFill>
                  <w14:solidFill>
                    <w14:schemeClr w14:val="tx1"/>
                  </w14:solidFill>
                </w14:textFill>
              </w:rPr>
            </w:pPr>
          </w:p>
        </w:tc>
        <w:tc>
          <w:tcPr>
            <w:tcW w:w="1800" w:type="dxa"/>
            <w:noWrap/>
            <w:vAlign w:val="center"/>
          </w:tcPr>
          <w:p w14:paraId="55102DAE">
            <w:pPr>
              <w:jc w:val="center"/>
              <w:rPr>
                <w:rFonts w:ascii="仿宋" w:hAnsi="仿宋" w:eastAsia="仿宋"/>
                <w:color w:val="000000" w:themeColor="text1"/>
                <w:sz w:val="30"/>
                <w:szCs w:val="30"/>
                <w:highlight w:val="none"/>
                <w14:textFill>
                  <w14:solidFill>
                    <w14:schemeClr w14:val="tx1"/>
                  </w14:solidFill>
                </w14:textFill>
              </w:rPr>
            </w:pPr>
          </w:p>
        </w:tc>
        <w:tc>
          <w:tcPr>
            <w:tcW w:w="2047" w:type="dxa"/>
            <w:noWrap/>
            <w:vAlign w:val="center"/>
          </w:tcPr>
          <w:p w14:paraId="39C1C49C">
            <w:pPr>
              <w:jc w:val="center"/>
              <w:rPr>
                <w:rFonts w:ascii="仿宋" w:hAnsi="仿宋" w:eastAsia="仿宋"/>
                <w:color w:val="000000" w:themeColor="text1"/>
                <w:sz w:val="30"/>
                <w:szCs w:val="30"/>
                <w:highlight w:val="none"/>
                <w14:textFill>
                  <w14:solidFill>
                    <w14:schemeClr w14:val="tx1"/>
                  </w14:solidFill>
                </w14:textFill>
              </w:rPr>
            </w:pPr>
          </w:p>
        </w:tc>
        <w:tc>
          <w:tcPr>
            <w:tcW w:w="1260" w:type="dxa"/>
            <w:noWrap/>
            <w:vAlign w:val="center"/>
          </w:tcPr>
          <w:p w14:paraId="54A871AF">
            <w:pPr>
              <w:jc w:val="center"/>
              <w:rPr>
                <w:rFonts w:ascii="仿宋" w:hAnsi="仿宋" w:eastAsia="仿宋"/>
                <w:color w:val="000000" w:themeColor="text1"/>
                <w:sz w:val="30"/>
                <w:szCs w:val="30"/>
                <w:highlight w:val="none"/>
                <w14:textFill>
                  <w14:solidFill>
                    <w14:schemeClr w14:val="tx1"/>
                  </w14:solidFill>
                </w14:textFill>
              </w:rPr>
            </w:pPr>
          </w:p>
        </w:tc>
        <w:tc>
          <w:tcPr>
            <w:tcW w:w="1440" w:type="dxa"/>
            <w:noWrap/>
            <w:vAlign w:val="center"/>
          </w:tcPr>
          <w:p w14:paraId="18831DF7">
            <w:pPr>
              <w:jc w:val="center"/>
              <w:rPr>
                <w:rFonts w:ascii="仿宋" w:hAnsi="仿宋" w:eastAsia="仿宋"/>
                <w:color w:val="000000" w:themeColor="text1"/>
                <w:sz w:val="30"/>
                <w:szCs w:val="30"/>
                <w:highlight w:val="none"/>
                <w14:textFill>
                  <w14:solidFill>
                    <w14:schemeClr w14:val="tx1"/>
                  </w14:solidFill>
                </w14:textFill>
              </w:rPr>
            </w:pPr>
          </w:p>
        </w:tc>
        <w:tc>
          <w:tcPr>
            <w:tcW w:w="1959" w:type="dxa"/>
            <w:noWrap/>
            <w:vAlign w:val="center"/>
          </w:tcPr>
          <w:p w14:paraId="28FC86BA">
            <w:pPr>
              <w:jc w:val="center"/>
              <w:rPr>
                <w:rFonts w:ascii="仿宋" w:hAnsi="仿宋" w:eastAsia="仿宋"/>
                <w:color w:val="000000" w:themeColor="text1"/>
                <w:sz w:val="30"/>
                <w:szCs w:val="30"/>
                <w:highlight w:val="none"/>
                <w14:textFill>
                  <w14:solidFill>
                    <w14:schemeClr w14:val="tx1"/>
                  </w14:solidFill>
                </w14:textFill>
              </w:rPr>
            </w:pPr>
          </w:p>
        </w:tc>
      </w:tr>
      <w:tr w14:paraId="6D49B3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4" w:type="dxa"/>
            <w:noWrap/>
            <w:vAlign w:val="center"/>
          </w:tcPr>
          <w:p w14:paraId="437284E2">
            <w:pPr>
              <w:rPr>
                <w:rFonts w:ascii="仿宋" w:hAnsi="仿宋" w:eastAsia="仿宋"/>
                <w:color w:val="000000" w:themeColor="text1"/>
                <w:sz w:val="30"/>
                <w:szCs w:val="30"/>
                <w:highlight w:val="none"/>
                <w14:textFill>
                  <w14:solidFill>
                    <w14:schemeClr w14:val="tx1"/>
                  </w14:solidFill>
                </w14:textFill>
              </w:rPr>
            </w:pPr>
          </w:p>
        </w:tc>
        <w:tc>
          <w:tcPr>
            <w:tcW w:w="1800" w:type="dxa"/>
            <w:noWrap/>
            <w:vAlign w:val="center"/>
          </w:tcPr>
          <w:p w14:paraId="6E494187">
            <w:pPr>
              <w:jc w:val="center"/>
              <w:rPr>
                <w:rFonts w:ascii="仿宋" w:hAnsi="仿宋" w:eastAsia="仿宋"/>
                <w:color w:val="000000" w:themeColor="text1"/>
                <w:sz w:val="30"/>
                <w:szCs w:val="30"/>
                <w:highlight w:val="none"/>
                <w14:textFill>
                  <w14:solidFill>
                    <w14:schemeClr w14:val="tx1"/>
                  </w14:solidFill>
                </w14:textFill>
              </w:rPr>
            </w:pPr>
          </w:p>
        </w:tc>
        <w:tc>
          <w:tcPr>
            <w:tcW w:w="2047" w:type="dxa"/>
            <w:noWrap/>
            <w:vAlign w:val="center"/>
          </w:tcPr>
          <w:p w14:paraId="32778205">
            <w:pPr>
              <w:jc w:val="center"/>
              <w:rPr>
                <w:rFonts w:ascii="仿宋" w:hAnsi="仿宋" w:eastAsia="仿宋"/>
                <w:color w:val="000000" w:themeColor="text1"/>
                <w:sz w:val="30"/>
                <w:szCs w:val="30"/>
                <w:highlight w:val="none"/>
                <w14:textFill>
                  <w14:solidFill>
                    <w14:schemeClr w14:val="tx1"/>
                  </w14:solidFill>
                </w14:textFill>
              </w:rPr>
            </w:pPr>
          </w:p>
        </w:tc>
        <w:tc>
          <w:tcPr>
            <w:tcW w:w="1260" w:type="dxa"/>
            <w:noWrap/>
            <w:vAlign w:val="center"/>
          </w:tcPr>
          <w:p w14:paraId="10523E81">
            <w:pPr>
              <w:jc w:val="center"/>
              <w:rPr>
                <w:rFonts w:ascii="仿宋" w:hAnsi="仿宋" w:eastAsia="仿宋"/>
                <w:color w:val="000000" w:themeColor="text1"/>
                <w:sz w:val="30"/>
                <w:szCs w:val="30"/>
                <w:highlight w:val="none"/>
                <w14:textFill>
                  <w14:solidFill>
                    <w14:schemeClr w14:val="tx1"/>
                  </w14:solidFill>
                </w14:textFill>
              </w:rPr>
            </w:pPr>
          </w:p>
        </w:tc>
        <w:tc>
          <w:tcPr>
            <w:tcW w:w="1440" w:type="dxa"/>
            <w:noWrap/>
            <w:vAlign w:val="center"/>
          </w:tcPr>
          <w:p w14:paraId="14F59D77">
            <w:pPr>
              <w:jc w:val="center"/>
              <w:rPr>
                <w:rFonts w:ascii="仿宋" w:hAnsi="仿宋" w:eastAsia="仿宋"/>
                <w:color w:val="000000" w:themeColor="text1"/>
                <w:sz w:val="30"/>
                <w:szCs w:val="30"/>
                <w:highlight w:val="none"/>
                <w14:textFill>
                  <w14:solidFill>
                    <w14:schemeClr w14:val="tx1"/>
                  </w14:solidFill>
                </w14:textFill>
              </w:rPr>
            </w:pPr>
          </w:p>
        </w:tc>
        <w:tc>
          <w:tcPr>
            <w:tcW w:w="1959" w:type="dxa"/>
            <w:noWrap/>
            <w:vAlign w:val="center"/>
          </w:tcPr>
          <w:p w14:paraId="72509519">
            <w:pPr>
              <w:jc w:val="center"/>
              <w:rPr>
                <w:rFonts w:ascii="仿宋" w:hAnsi="仿宋" w:eastAsia="仿宋"/>
                <w:color w:val="000000" w:themeColor="text1"/>
                <w:sz w:val="30"/>
                <w:szCs w:val="30"/>
                <w:highlight w:val="none"/>
                <w14:textFill>
                  <w14:solidFill>
                    <w14:schemeClr w14:val="tx1"/>
                  </w14:solidFill>
                </w14:textFill>
              </w:rPr>
            </w:pPr>
          </w:p>
        </w:tc>
      </w:tr>
      <w:tr w14:paraId="420397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4" w:type="dxa"/>
            <w:noWrap/>
            <w:vAlign w:val="center"/>
          </w:tcPr>
          <w:p w14:paraId="1F001AD7">
            <w:pPr>
              <w:rPr>
                <w:rFonts w:ascii="仿宋" w:hAnsi="仿宋" w:eastAsia="仿宋"/>
                <w:color w:val="000000" w:themeColor="text1"/>
                <w:sz w:val="30"/>
                <w:szCs w:val="30"/>
                <w:highlight w:val="none"/>
                <w14:textFill>
                  <w14:solidFill>
                    <w14:schemeClr w14:val="tx1"/>
                  </w14:solidFill>
                </w14:textFill>
              </w:rPr>
            </w:pPr>
          </w:p>
        </w:tc>
        <w:tc>
          <w:tcPr>
            <w:tcW w:w="1800" w:type="dxa"/>
            <w:noWrap/>
            <w:vAlign w:val="center"/>
          </w:tcPr>
          <w:p w14:paraId="3C8D8FBC">
            <w:pPr>
              <w:jc w:val="center"/>
              <w:rPr>
                <w:rFonts w:ascii="仿宋" w:hAnsi="仿宋" w:eastAsia="仿宋"/>
                <w:color w:val="000000" w:themeColor="text1"/>
                <w:sz w:val="30"/>
                <w:szCs w:val="30"/>
                <w:highlight w:val="none"/>
                <w14:textFill>
                  <w14:solidFill>
                    <w14:schemeClr w14:val="tx1"/>
                  </w14:solidFill>
                </w14:textFill>
              </w:rPr>
            </w:pPr>
          </w:p>
        </w:tc>
        <w:tc>
          <w:tcPr>
            <w:tcW w:w="2047" w:type="dxa"/>
            <w:noWrap/>
            <w:vAlign w:val="center"/>
          </w:tcPr>
          <w:p w14:paraId="278FFA12">
            <w:pPr>
              <w:jc w:val="center"/>
              <w:rPr>
                <w:rFonts w:ascii="仿宋" w:hAnsi="仿宋" w:eastAsia="仿宋"/>
                <w:color w:val="000000" w:themeColor="text1"/>
                <w:sz w:val="30"/>
                <w:szCs w:val="30"/>
                <w:highlight w:val="none"/>
                <w14:textFill>
                  <w14:solidFill>
                    <w14:schemeClr w14:val="tx1"/>
                  </w14:solidFill>
                </w14:textFill>
              </w:rPr>
            </w:pPr>
          </w:p>
        </w:tc>
        <w:tc>
          <w:tcPr>
            <w:tcW w:w="1260" w:type="dxa"/>
            <w:noWrap/>
            <w:vAlign w:val="center"/>
          </w:tcPr>
          <w:p w14:paraId="215E80D9">
            <w:pPr>
              <w:jc w:val="center"/>
              <w:rPr>
                <w:rFonts w:ascii="仿宋" w:hAnsi="仿宋" w:eastAsia="仿宋"/>
                <w:color w:val="000000" w:themeColor="text1"/>
                <w:sz w:val="30"/>
                <w:szCs w:val="30"/>
                <w:highlight w:val="none"/>
                <w14:textFill>
                  <w14:solidFill>
                    <w14:schemeClr w14:val="tx1"/>
                  </w14:solidFill>
                </w14:textFill>
              </w:rPr>
            </w:pPr>
          </w:p>
        </w:tc>
        <w:tc>
          <w:tcPr>
            <w:tcW w:w="1440" w:type="dxa"/>
            <w:noWrap/>
            <w:vAlign w:val="center"/>
          </w:tcPr>
          <w:p w14:paraId="204D4F21">
            <w:pPr>
              <w:jc w:val="center"/>
              <w:rPr>
                <w:rFonts w:ascii="仿宋" w:hAnsi="仿宋" w:eastAsia="仿宋"/>
                <w:color w:val="000000" w:themeColor="text1"/>
                <w:sz w:val="30"/>
                <w:szCs w:val="30"/>
                <w:highlight w:val="none"/>
                <w14:textFill>
                  <w14:solidFill>
                    <w14:schemeClr w14:val="tx1"/>
                  </w14:solidFill>
                </w14:textFill>
              </w:rPr>
            </w:pPr>
          </w:p>
        </w:tc>
        <w:tc>
          <w:tcPr>
            <w:tcW w:w="1959" w:type="dxa"/>
            <w:noWrap/>
            <w:vAlign w:val="center"/>
          </w:tcPr>
          <w:p w14:paraId="21D652C6">
            <w:pPr>
              <w:jc w:val="center"/>
              <w:rPr>
                <w:rFonts w:ascii="仿宋" w:hAnsi="仿宋" w:eastAsia="仿宋"/>
                <w:color w:val="000000" w:themeColor="text1"/>
                <w:sz w:val="30"/>
                <w:szCs w:val="30"/>
                <w:highlight w:val="none"/>
                <w14:textFill>
                  <w14:solidFill>
                    <w14:schemeClr w14:val="tx1"/>
                  </w14:solidFill>
                </w14:textFill>
              </w:rPr>
            </w:pPr>
          </w:p>
        </w:tc>
      </w:tr>
      <w:tr w14:paraId="6F78C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4" w:type="dxa"/>
            <w:noWrap/>
            <w:vAlign w:val="center"/>
          </w:tcPr>
          <w:p w14:paraId="57035EEF">
            <w:pPr>
              <w:rPr>
                <w:rFonts w:ascii="仿宋" w:hAnsi="仿宋" w:eastAsia="仿宋"/>
                <w:color w:val="000000" w:themeColor="text1"/>
                <w:sz w:val="30"/>
                <w:szCs w:val="30"/>
                <w:highlight w:val="none"/>
                <w14:textFill>
                  <w14:solidFill>
                    <w14:schemeClr w14:val="tx1"/>
                  </w14:solidFill>
                </w14:textFill>
              </w:rPr>
            </w:pPr>
          </w:p>
        </w:tc>
        <w:tc>
          <w:tcPr>
            <w:tcW w:w="1800" w:type="dxa"/>
            <w:noWrap/>
            <w:vAlign w:val="center"/>
          </w:tcPr>
          <w:p w14:paraId="7C5A997D">
            <w:pPr>
              <w:jc w:val="center"/>
              <w:rPr>
                <w:rFonts w:ascii="仿宋" w:hAnsi="仿宋" w:eastAsia="仿宋"/>
                <w:color w:val="000000" w:themeColor="text1"/>
                <w:sz w:val="30"/>
                <w:szCs w:val="30"/>
                <w:highlight w:val="none"/>
                <w14:textFill>
                  <w14:solidFill>
                    <w14:schemeClr w14:val="tx1"/>
                  </w14:solidFill>
                </w14:textFill>
              </w:rPr>
            </w:pPr>
          </w:p>
        </w:tc>
        <w:tc>
          <w:tcPr>
            <w:tcW w:w="2047" w:type="dxa"/>
            <w:noWrap/>
            <w:vAlign w:val="center"/>
          </w:tcPr>
          <w:p w14:paraId="2C3815A4">
            <w:pPr>
              <w:jc w:val="center"/>
              <w:rPr>
                <w:rFonts w:ascii="仿宋" w:hAnsi="仿宋" w:eastAsia="仿宋"/>
                <w:color w:val="000000" w:themeColor="text1"/>
                <w:sz w:val="30"/>
                <w:szCs w:val="30"/>
                <w:highlight w:val="none"/>
                <w14:textFill>
                  <w14:solidFill>
                    <w14:schemeClr w14:val="tx1"/>
                  </w14:solidFill>
                </w14:textFill>
              </w:rPr>
            </w:pPr>
          </w:p>
        </w:tc>
        <w:tc>
          <w:tcPr>
            <w:tcW w:w="1260" w:type="dxa"/>
            <w:noWrap/>
            <w:vAlign w:val="center"/>
          </w:tcPr>
          <w:p w14:paraId="18A651E3">
            <w:pPr>
              <w:jc w:val="center"/>
              <w:rPr>
                <w:rFonts w:ascii="仿宋" w:hAnsi="仿宋" w:eastAsia="仿宋"/>
                <w:color w:val="000000" w:themeColor="text1"/>
                <w:sz w:val="30"/>
                <w:szCs w:val="30"/>
                <w:highlight w:val="none"/>
                <w14:textFill>
                  <w14:solidFill>
                    <w14:schemeClr w14:val="tx1"/>
                  </w14:solidFill>
                </w14:textFill>
              </w:rPr>
            </w:pPr>
          </w:p>
        </w:tc>
        <w:tc>
          <w:tcPr>
            <w:tcW w:w="1440" w:type="dxa"/>
            <w:noWrap/>
            <w:vAlign w:val="center"/>
          </w:tcPr>
          <w:p w14:paraId="322E145B">
            <w:pPr>
              <w:jc w:val="center"/>
              <w:rPr>
                <w:rFonts w:ascii="仿宋" w:hAnsi="仿宋" w:eastAsia="仿宋"/>
                <w:color w:val="000000" w:themeColor="text1"/>
                <w:sz w:val="30"/>
                <w:szCs w:val="30"/>
                <w:highlight w:val="none"/>
                <w14:textFill>
                  <w14:solidFill>
                    <w14:schemeClr w14:val="tx1"/>
                  </w14:solidFill>
                </w14:textFill>
              </w:rPr>
            </w:pPr>
          </w:p>
        </w:tc>
        <w:tc>
          <w:tcPr>
            <w:tcW w:w="1959" w:type="dxa"/>
            <w:noWrap/>
            <w:vAlign w:val="center"/>
          </w:tcPr>
          <w:p w14:paraId="5A44FB04">
            <w:pPr>
              <w:jc w:val="center"/>
              <w:rPr>
                <w:rFonts w:ascii="仿宋" w:hAnsi="仿宋" w:eastAsia="仿宋"/>
                <w:color w:val="000000" w:themeColor="text1"/>
                <w:sz w:val="30"/>
                <w:szCs w:val="30"/>
                <w:highlight w:val="none"/>
                <w14:textFill>
                  <w14:solidFill>
                    <w14:schemeClr w14:val="tx1"/>
                  </w14:solidFill>
                </w14:textFill>
              </w:rPr>
            </w:pPr>
          </w:p>
        </w:tc>
      </w:tr>
      <w:tr w14:paraId="4B6978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4" w:type="dxa"/>
            <w:noWrap/>
            <w:vAlign w:val="center"/>
          </w:tcPr>
          <w:p w14:paraId="2A8B03CF">
            <w:pPr>
              <w:rPr>
                <w:rFonts w:ascii="仿宋" w:hAnsi="仿宋" w:eastAsia="仿宋"/>
                <w:color w:val="000000" w:themeColor="text1"/>
                <w:sz w:val="30"/>
                <w:szCs w:val="30"/>
                <w:highlight w:val="none"/>
                <w14:textFill>
                  <w14:solidFill>
                    <w14:schemeClr w14:val="tx1"/>
                  </w14:solidFill>
                </w14:textFill>
              </w:rPr>
            </w:pPr>
          </w:p>
        </w:tc>
        <w:tc>
          <w:tcPr>
            <w:tcW w:w="1800" w:type="dxa"/>
            <w:noWrap/>
            <w:vAlign w:val="center"/>
          </w:tcPr>
          <w:p w14:paraId="7FE9BF48">
            <w:pPr>
              <w:jc w:val="center"/>
              <w:rPr>
                <w:rFonts w:ascii="仿宋" w:hAnsi="仿宋" w:eastAsia="仿宋"/>
                <w:color w:val="000000" w:themeColor="text1"/>
                <w:sz w:val="30"/>
                <w:szCs w:val="30"/>
                <w:highlight w:val="none"/>
                <w14:textFill>
                  <w14:solidFill>
                    <w14:schemeClr w14:val="tx1"/>
                  </w14:solidFill>
                </w14:textFill>
              </w:rPr>
            </w:pPr>
          </w:p>
        </w:tc>
        <w:tc>
          <w:tcPr>
            <w:tcW w:w="2047" w:type="dxa"/>
            <w:noWrap/>
            <w:vAlign w:val="center"/>
          </w:tcPr>
          <w:p w14:paraId="06C6DE63">
            <w:pPr>
              <w:jc w:val="center"/>
              <w:rPr>
                <w:rFonts w:ascii="仿宋" w:hAnsi="仿宋" w:eastAsia="仿宋"/>
                <w:color w:val="000000" w:themeColor="text1"/>
                <w:sz w:val="30"/>
                <w:szCs w:val="30"/>
                <w:highlight w:val="none"/>
                <w14:textFill>
                  <w14:solidFill>
                    <w14:schemeClr w14:val="tx1"/>
                  </w14:solidFill>
                </w14:textFill>
              </w:rPr>
            </w:pPr>
          </w:p>
        </w:tc>
        <w:tc>
          <w:tcPr>
            <w:tcW w:w="1260" w:type="dxa"/>
            <w:noWrap/>
            <w:vAlign w:val="center"/>
          </w:tcPr>
          <w:p w14:paraId="4F7BB5AD">
            <w:pPr>
              <w:jc w:val="center"/>
              <w:rPr>
                <w:rFonts w:ascii="仿宋" w:hAnsi="仿宋" w:eastAsia="仿宋"/>
                <w:color w:val="000000" w:themeColor="text1"/>
                <w:sz w:val="30"/>
                <w:szCs w:val="30"/>
                <w:highlight w:val="none"/>
                <w14:textFill>
                  <w14:solidFill>
                    <w14:schemeClr w14:val="tx1"/>
                  </w14:solidFill>
                </w14:textFill>
              </w:rPr>
            </w:pPr>
          </w:p>
        </w:tc>
        <w:tc>
          <w:tcPr>
            <w:tcW w:w="1440" w:type="dxa"/>
            <w:noWrap/>
            <w:vAlign w:val="center"/>
          </w:tcPr>
          <w:p w14:paraId="07204036">
            <w:pPr>
              <w:jc w:val="center"/>
              <w:rPr>
                <w:rFonts w:ascii="仿宋" w:hAnsi="仿宋" w:eastAsia="仿宋"/>
                <w:color w:val="000000" w:themeColor="text1"/>
                <w:sz w:val="30"/>
                <w:szCs w:val="30"/>
                <w:highlight w:val="none"/>
                <w14:textFill>
                  <w14:solidFill>
                    <w14:schemeClr w14:val="tx1"/>
                  </w14:solidFill>
                </w14:textFill>
              </w:rPr>
            </w:pPr>
          </w:p>
        </w:tc>
        <w:tc>
          <w:tcPr>
            <w:tcW w:w="1959" w:type="dxa"/>
            <w:noWrap/>
            <w:vAlign w:val="center"/>
          </w:tcPr>
          <w:p w14:paraId="51DDC6EE">
            <w:pPr>
              <w:jc w:val="center"/>
              <w:rPr>
                <w:rFonts w:ascii="仿宋" w:hAnsi="仿宋" w:eastAsia="仿宋"/>
                <w:color w:val="000000" w:themeColor="text1"/>
                <w:sz w:val="30"/>
                <w:szCs w:val="30"/>
                <w:highlight w:val="none"/>
                <w14:textFill>
                  <w14:solidFill>
                    <w14:schemeClr w14:val="tx1"/>
                  </w14:solidFill>
                </w14:textFill>
              </w:rPr>
            </w:pPr>
          </w:p>
        </w:tc>
      </w:tr>
      <w:tr w14:paraId="2F1DC9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4" w:type="dxa"/>
            <w:noWrap/>
            <w:vAlign w:val="center"/>
          </w:tcPr>
          <w:p w14:paraId="07FF0DB7">
            <w:pPr>
              <w:rPr>
                <w:rFonts w:ascii="仿宋" w:hAnsi="仿宋" w:eastAsia="仿宋"/>
                <w:color w:val="000000" w:themeColor="text1"/>
                <w:sz w:val="30"/>
                <w:szCs w:val="30"/>
                <w:highlight w:val="none"/>
                <w14:textFill>
                  <w14:solidFill>
                    <w14:schemeClr w14:val="tx1"/>
                  </w14:solidFill>
                </w14:textFill>
              </w:rPr>
            </w:pPr>
          </w:p>
        </w:tc>
        <w:tc>
          <w:tcPr>
            <w:tcW w:w="1800" w:type="dxa"/>
            <w:noWrap/>
            <w:vAlign w:val="center"/>
          </w:tcPr>
          <w:p w14:paraId="5FCB7DEA">
            <w:pPr>
              <w:jc w:val="center"/>
              <w:rPr>
                <w:rFonts w:ascii="仿宋" w:hAnsi="仿宋" w:eastAsia="仿宋"/>
                <w:color w:val="000000" w:themeColor="text1"/>
                <w:sz w:val="30"/>
                <w:szCs w:val="30"/>
                <w:highlight w:val="none"/>
                <w14:textFill>
                  <w14:solidFill>
                    <w14:schemeClr w14:val="tx1"/>
                  </w14:solidFill>
                </w14:textFill>
              </w:rPr>
            </w:pPr>
          </w:p>
        </w:tc>
        <w:tc>
          <w:tcPr>
            <w:tcW w:w="2047" w:type="dxa"/>
            <w:noWrap/>
            <w:vAlign w:val="center"/>
          </w:tcPr>
          <w:p w14:paraId="64AD9B73">
            <w:pPr>
              <w:jc w:val="center"/>
              <w:rPr>
                <w:rFonts w:ascii="仿宋" w:hAnsi="仿宋" w:eastAsia="仿宋"/>
                <w:color w:val="000000" w:themeColor="text1"/>
                <w:sz w:val="30"/>
                <w:szCs w:val="30"/>
                <w:highlight w:val="none"/>
                <w14:textFill>
                  <w14:solidFill>
                    <w14:schemeClr w14:val="tx1"/>
                  </w14:solidFill>
                </w14:textFill>
              </w:rPr>
            </w:pPr>
          </w:p>
        </w:tc>
        <w:tc>
          <w:tcPr>
            <w:tcW w:w="1260" w:type="dxa"/>
            <w:noWrap/>
            <w:vAlign w:val="center"/>
          </w:tcPr>
          <w:p w14:paraId="1AE12917">
            <w:pPr>
              <w:jc w:val="center"/>
              <w:rPr>
                <w:rFonts w:ascii="仿宋" w:hAnsi="仿宋" w:eastAsia="仿宋"/>
                <w:color w:val="000000" w:themeColor="text1"/>
                <w:sz w:val="30"/>
                <w:szCs w:val="30"/>
                <w:highlight w:val="none"/>
                <w14:textFill>
                  <w14:solidFill>
                    <w14:schemeClr w14:val="tx1"/>
                  </w14:solidFill>
                </w14:textFill>
              </w:rPr>
            </w:pPr>
          </w:p>
        </w:tc>
        <w:tc>
          <w:tcPr>
            <w:tcW w:w="1440" w:type="dxa"/>
            <w:noWrap/>
            <w:vAlign w:val="center"/>
          </w:tcPr>
          <w:p w14:paraId="149022EA">
            <w:pPr>
              <w:jc w:val="center"/>
              <w:rPr>
                <w:rFonts w:ascii="仿宋" w:hAnsi="仿宋" w:eastAsia="仿宋"/>
                <w:color w:val="000000" w:themeColor="text1"/>
                <w:sz w:val="30"/>
                <w:szCs w:val="30"/>
                <w:highlight w:val="none"/>
                <w14:textFill>
                  <w14:solidFill>
                    <w14:schemeClr w14:val="tx1"/>
                  </w14:solidFill>
                </w14:textFill>
              </w:rPr>
            </w:pPr>
          </w:p>
        </w:tc>
        <w:tc>
          <w:tcPr>
            <w:tcW w:w="1959" w:type="dxa"/>
            <w:noWrap/>
            <w:vAlign w:val="center"/>
          </w:tcPr>
          <w:p w14:paraId="2E5EBEA2">
            <w:pPr>
              <w:jc w:val="center"/>
              <w:rPr>
                <w:rFonts w:ascii="仿宋" w:hAnsi="仿宋" w:eastAsia="仿宋"/>
                <w:color w:val="000000" w:themeColor="text1"/>
                <w:sz w:val="30"/>
                <w:szCs w:val="30"/>
                <w:highlight w:val="none"/>
                <w14:textFill>
                  <w14:solidFill>
                    <w14:schemeClr w14:val="tx1"/>
                  </w14:solidFill>
                </w14:textFill>
              </w:rPr>
            </w:pPr>
          </w:p>
        </w:tc>
      </w:tr>
      <w:tr w14:paraId="567D8E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4" w:type="dxa"/>
            <w:noWrap/>
            <w:vAlign w:val="center"/>
          </w:tcPr>
          <w:p w14:paraId="6F5C3CA8">
            <w:pPr>
              <w:rPr>
                <w:rFonts w:ascii="仿宋" w:hAnsi="仿宋" w:eastAsia="仿宋"/>
                <w:color w:val="000000" w:themeColor="text1"/>
                <w:sz w:val="30"/>
                <w:szCs w:val="30"/>
                <w:highlight w:val="none"/>
                <w14:textFill>
                  <w14:solidFill>
                    <w14:schemeClr w14:val="tx1"/>
                  </w14:solidFill>
                </w14:textFill>
              </w:rPr>
            </w:pPr>
          </w:p>
        </w:tc>
        <w:tc>
          <w:tcPr>
            <w:tcW w:w="1800" w:type="dxa"/>
            <w:noWrap/>
            <w:vAlign w:val="center"/>
          </w:tcPr>
          <w:p w14:paraId="46A309D5">
            <w:pPr>
              <w:jc w:val="center"/>
              <w:rPr>
                <w:rFonts w:ascii="仿宋" w:hAnsi="仿宋" w:eastAsia="仿宋"/>
                <w:color w:val="000000" w:themeColor="text1"/>
                <w:sz w:val="30"/>
                <w:szCs w:val="30"/>
                <w:highlight w:val="none"/>
                <w14:textFill>
                  <w14:solidFill>
                    <w14:schemeClr w14:val="tx1"/>
                  </w14:solidFill>
                </w14:textFill>
              </w:rPr>
            </w:pPr>
          </w:p>
        </w:tc>
        <w:tc>
          <w:tcPr>
            <w:tcW w:w="2047" w:type="dxa"/>
            <w:noWrap/>
            <w:vAlign w:val="center"/>
          </w:tcPr>
          <w:p w14:paraId="247EE9C3">
            <w:pPr>
              <w:jc w:val="center"/>
              <w:rPr>
                <w:rFonts w:ascii="仿宋" w:hAnsi="仿宋" w:eastAsia="仿宋"/>
                <w:color w:val="000000" w:themeColor="text1"/>
                <w:sz w:val="30"/>
                <w:szCs w:val="30"/>
                <w:highlight w:val="none"/>
                <w14:textFill>
                  <w14:solidFill>
                    <w14:schemeClr w14:val="tx1"/>
                  </w14:solidFill>
                </w14:textFill>
              </w:rPr>
            </w:pPr>
          </w:p>
        </w:tc>
        <w:tc>
          <w:tcPr>
            <w:tcW w:w="1260" w:type="dxa"/>
            <w:noWrap/>
            <w:vAlign w:val="center"/>
          </w:tcPr>
          <w:p w14:paraId="2D6DB33D">
            <w:pPr>
              <w:jc w:val="center"/>
              <w:rPr>
                <w:rFonts w:ascii="仿宋" w:hAnsi="仿宋" w:eastAsia="仿宋"/>
                <w:color w:val="000000" w:themeColor="text1"/>
                <w:sz w:val="30"/>
                <w:szCs w:val="30"/>
                <w:highlight w:val="none"/>
                <w14:textFill>
                  <w14:solidFill>
                    <w14:schemeClr w14:val="tx1"/>
                  </w14:solidFill>
                </w14:textFill>
              </w:rPr>
            </w:pPr>
          </w:p>
        </w:tc>
        <w:tc>
          <w:tcPr>
            <w:tcW w:w="1440" w:type="dxa"/>
            <w:noWrap/>
            <w:vAlign w:val="center"/>
          </w:tcPr>
          <w:p w14:paraId="17318ACF">
            <w:pPr>
              <w:jc w:val="center"/>
              <w:rPr>
                <w:rFonts w:ascii="仿宋" w:hAnsi="仿宋" w:eastAsia="仿宋"/>
                <w:color w:val="000000" w:themeColor="text1"/>
                <w:sz w:val="30"/>
                <w:szCs w:val="30"/>
                <w:highlight w:val="none"/>
                <w14:textFill>
                  <w14:solidFill>
                    <w14:schemeClr w14:val="tx1"/>
                  </w14:solidFill>
                </w14:textFill>
              </w:rPr>
            </w:pPr>
          </w:p>
        </w:tc>
        <w:tc>
          <w:tcPr>
            <w:tcW w:w="1959" w:type="dxa"/>
            <w:noWrap/>
            <w:vAlign w:val="center"/>
          </w:tcPr>
          <w:p w14:paraId="781135A8">
            <w:pPr>
              <w:jc w:val="center"/>
              <w:rPr>
                <w:rFonts w:ascii="仿宋" w:hAnsi="仿宋" w:eastAsia="仿宋"/>
                <w:color w:val="000000" w:themeColor="text1"/>
                <w:sz w:val="30"/>
                <w:szCs w:val="30"/>
                <w:highlight w:val="none"/>
                <w14:textFill>
                  <w14:solidFill>
                    <w14:schemeClr w14:val="tx1"/>
                  </w14:solidFill>
                </w14:textFill>
              </w:rPr>
            </w:pPr>
          </w:p>
        </w:tc>
      </w:tr>
      <w:tr w14:paraId="286DF5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4" w:type="dxa"/>
            <w:noWrap/>
            <w:vAlign w:val="center"/>
          </w:tcPr>
          <w:p w14:paraId="007E6CA5">
            <w:pPr>
              <w:rPr>
                <w:rFonts w:ascii="仿宋" w:hAnsi="仿宋" w:eastAsia="仿宋"/>
                <w:color w:val="000000" w:themeColor="text1"/>
                <w:sz w:val="30"/>
                <w:szCs w:val="30"/>
                <w:highlight w:val="none"/>
                <w14:textFill>
                  <w14:solidFill>
                    <w14:schemeClr w14:val="tx1"/>
                  </w14:solidFill>
                </w14:textFill>
              </w:rPr>
            </w:pPr>
          </w:p>
        </w:tc>
        <w:tc>
          <w:tcPr>
            <w:tcW w:w="1800" w:type="dxa"/>
            <w:noWrap/>
            <w:vAlign w:val="center"/>
          </w:tcPr>
          <w:p w14:paraId="493A9DC9">
            <w:pPr>
              <w:jc w:val="center"/>
              <w:rPr>
                <w:rFonts w:ascii="仿宋" w:hAnsi="仿宋" w:eastAsia="仿宋"/>
                <w:color w:val="000000" w:themeColor="text1"/>
                <w:sz w:val="30"/>
                <w:szCs w:val="30"/>
                <w:highlight w:val="none"/>
                <w14:textFill>
                  <w14:solidFill>
                    <w14:schemeClr w14:val="tx1"/>
                  </w14:solidFill>
                </w14:textFill>
              </w:rPr>
            </w:pPr>
          </w:p>
        </w:tc>
        <w:tc>
          <w:tcPr>
            <w:tcW w:w="2047" w:type="dxa"/>
            <w:noWrap/>
            <w:vAlign w:val="center"/>
          </w:tcPr>
          <w:p w14:paraId="10774581">
            <w:pPr>
              <w:jc w:val="center"/>
              <w:rPr>
                <w:rFonts w:ascii="仿宋" w:hAnsi="仿宋" w:eastAsia="仿宋"/>
                <w:color w:val="000000" w:themeColor="text1"/>
                <w:sz w:val="30"/>
                <w:szCs w:val="30"/>
                <w:highlight w:val="none"/>
                <w14:textFill>
                  <w14:solidFill>
                    <w14:schemeClr w14:val="tx1"/>
                  </w14:solidFill>
                </w14:textFill>
              </w:rPr>
            </w:pPr>
          </w:p>
        </w:tc>
        <w:tc>
          <w:tcPr>
            <w:tcW w:w="1260" w:type="dxa"/>
            <w:noWrap/>
            <w:vAlign w:val="center"/>
          </w:tcPr>
          <w:p w14:paraId="25DC005A">
            <w:pPr>
              <w:jc w:val="center"/>
              <w:rPr>
                <w:rFonts w:ascii="仿宋" w:hAnsi="仿宋" w:eastAsia="仿宋"/>
                <w:color w:val="000000" w:themeColor="text1"/>
                <w:sz w:val="30"/>
                <w:szCs w:val="30"/>
                <w:highlight w:val="none"/>
                <w14:textFill>
                  <w14:solidFill>
                    <w14:schemeClr w14:val="tx1"/>
                  </w14:solidFill>
                </w14:textFill>
              </w:rPr>
            </w:pPr>
          </w:p>
        </w:tc>
        <w:tc>
          <w:tcPr>
            <w:tcW w:w="1440" w:type="dxa"/>
            <w:noWrap/>
            <w:vAlign w:val="center"/>
          </w:tcPr>
          <w:p w14:paraId="126225D2">
            <w:pPr>
              <w:jc w:val="center"/>
              <w:rPr>
                <w:rFonts w:ascii="仿宋" w:hAnsi="仿宋" w:eastAsia="仿宋"/>
                <w:color w:val="000000" w:themeColor="text1"/>
                <w:sz w:val="30"/>
                <w:szCs w:val="30"/>
                <w:highlight w:val="none"/>
                <w14:textFill>
                  <w14:solidFill>
                    <w14:schemeClr w14:val="tx1"/>
                  </w14:solidFill>
                </w14:textFill>
              </w:rPr>
            </w:pPr>
          </w:p>
        </w:tc>
        <w:tc>
          <w:tcPr>
            <w:tcW w:w="1959" w:type="dxa"/>
            <w:noWrap/>
            <w:vAlign w:val="center"/>
          </w:tcPr>
          <w:p w14:paraId="791F6105">
            <w:pPr>
              <w:jc w:val="center"/>
              <w:rPr>
                <w:rFonts w:ascii="仿宋" w:hAnsi="仿宋" w:eastAsia="仿宋"/>
                <w:color w:val="000000" w:themeColor="text1"/>
                <w:sz w:val="30"/>
                <w:szCs w:val="30"/>
                <w:highlight w:val="none"/>
                <w14:textFill>
                  <w14:solidFill>
                    <w14:schemeClr w14:val="tx1"/>
                  </w14:solidFill>
                </w14:textFill>
              </w:rPr>
            </w:pPr>
          </w:p>
        </w:tc>
      </w:tr>
      <w:tr w14:paraId="02A32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4" w:type="dxa"/>
            <w:noWrap/>
            <w:vAlign w:val="center"/>
          </w:tcPr>
          <w:p w14:paraId="7D893E0C">
            <w:pPr>
              <w:rPr>
                <w:rFonts w:ascii="仿宋" w:hAnsi="仿宋" w:eastAsia="仿宋"/>
                <w:color w:val="000000" w:themeColor="text1"/>
                <w:sz w:val="30"/>
                <w:szCs w:val="30"/>
                <w:highlight w:val="none"/>
                <w14:textFill>
                  <w14:solidFill>
                    <w14:schemeClr w14:val="tx1"/>
                  </w14:solidFill>
                </w14:textFill>
              </w:rPr>
            </w:pPr>
          </w:p>
        </w:tc>
        <w:tc>
          <w:tcPr>
            <w:tcW w:w="1800" w:type="dxa"/>
            <w:noWrap/>
            <w:vAlign w:val="center"/>
          </w:tcPr>
          <w:p w14:paraId="1229E3C7">
            <w:pPr>
              <w:jc w:val="center"/>
              <w:rPr>
                <w:rFonts w:ascii="仿宋" w:hAnsi="仿宋" w:eastAsia="仿宋"/>
                <w:color w:val="000000" w:themeColor="text1"/>
                <w:sz w:val="30"/>
                <w:szCs w:val="30"/>
                <w:highlight w:val="none"/>
                <w14:textFill>
                  <w14:solidFill>
                    <w14:schemeClr w14:val="tx1"/>
                  </w14:solidFill>
                </w14:textFill>
              </w:rPr>
            </w:pPr>
          </w:p>
        </w:tc>
        <w:tc>
          <w:tcPr>
            <w:tcW w:w="2047" w:type="dxa"/>
            <w:noWrap/>
            <w:vAlign w:val="center"/>
          </w:tcPr>
          <w:p w14:paraId="36BA81C9">
            <w:pPr>
              <w:jc w:val="center"/>
              <w:rPr>
                <w:rFonts w:ascii="仿宋" w:hAnsi="仿宋" w:eastAsia="仿宋"/>
                <w:color w:val="000000" w:themeColor="text1"/>
                <w:sz w:val="30"/>
                <w:szCs w:val="30"/>
                <w:highlight w:val="none"/>
                <w14:textFill>
                  <w14:solidFill>
                    <w14:schemeClr w14:val="tx1"/>
                  </w14:solidFill>
                </w14:textFill>
              </w:rPr>
            </w:pPr>
          </w:p>
        </w:tc>
        <w:tc>
          <w:tcPr>
            <w:tcW w:w="1260" w:type="dxa"/>
            <w:noWrap/>
            <w:vAlign w:val="center"/>
          </w:tcPr>
          <w:p w14:paraId="280DE534">
            <w:pPr>
              <w:jc w:val="center"/>
              <w:rPr>
                <w:rFonts w:ascii="仿宋" w:hAnsi="仿宋" w:eastAsia="仿宋"/>
                <w:color w:val="000000" w:themeColor="text1"/>
                <w:sz w:val="30"/>
                <w:szCs w:val="30"/>
                <w:highlight w:val="none"/>
                <w14:textFill>
                  <w14:solidFill>
                    <w14:schemeClr w14:val="tx1"/>
                  </w14:solidFill>
                </w14:textFill>
              </w:rPr>
            </w:pPr>
          </w:p>
        </w:tc>
        <w:tc>
          <w:tcPr>
            <w:tcW w:w="1440" w:type="dxa"/>
            <w:noWrap/>
            <w:vAlign w:val="center"/>
          </w:tcPr>
          <w:p w14:paraId="095022E7">
            <w:pPr>
              <w:jc w:val="center"/>
              <w:rPr>
                <w:rFonts w:ascii="仿宋" w:hAnsi="仿宋" w:eastAsia="仿宋"/>
                <w:color w:val="000000" w:themeColor="text1"/>
                <w:sz w:val="30"/>
                <w:szCs w:val="30"/>
                <w:highlight w:val="none"/>
                <w14:textFill>
                  <w14:solidFill>
                    <w14:schemeClr w14:val="tx1"/>
                  </w14:solidFill>
                </w14:textFill>
              </w:rPr>
            </w:pPr>
          </w:p>
        </w:tc>
        <w:tc>
          <w:tcPr>
            <w:tcW w:w="1959" w:type="dxa"/>
            <w:noWrap/>
            <w:vAlign w:val="center"/>
          </w:tcPr>
          <w:p w14:paraId="481A2BA2">
            <w:pPr>
              <w:jc w:val="center"/>
              <w:rPr>
                <w:rFonts w:ascii="仿宋" w:hAnsi="仿宋" w:eastAsia="仿宋"/>
                <w:color w:val="000000" w:themeColor="text1"/>
                <w:sz w:val="30"/>
                <w:szCs w:val="30"/>
                <w:highlight w:val="none"/>
                <w14:textFill>
                  <w14:solidFill>
                    <w14:schemeClr w14:val="tx1"/>
                  </w14:solidFill>
                </w14:textFill>
              </w:rPr>
            </w:pPr>
          </w:p>
        </w:tc>
      </w:tr>
      <w:tr w14:paraId="0B050C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4" w:type="dxa"/>
            <w:noWrap/>
            <w:vAlign w:val="center"/>
          </w:tcPr>
          <w:p w14:paraId="3650DC3A">
            <w:pPr>
              <w:rPr>
                <w:rFonts w:ascii="仿宋" w:hAnsi="仿宋" w:eastAsia="仿宋"/>
                <w:color w:val="000000" w:themeColor="text1"/>
                <w:sz w:val="30"/>
                <w:szCs w:val="30"/>
                <w:highlight w:val="none"/>
                <w14:textFill>
                  <w14:solidFill>
                    <w14:schemeClr w14:val="tx1"/>
                  </w14:solidFill>
                </w14:textFill>
              </w:rPr>
            </w:pPr>
          </w:p>
        </w:tc>
        <w:tc>
          <w:tcPr>
            <w:tcW w:w="1800" w:type="dxa"/>
            <w:noWrap/>
            <w:vAlign w:val="center"/>
          </w:tcPr>
          <w:p w14:paraId="66D79D42">
            <w:pPr>
              <w:jc w:val="center"/>
              <w:rPr>
                <w:rFonts w:ascii="仿宋" w:hAnsi="仿宋" w:eastAsia="仿宋"/>
                <w:color w:val="000000" w:themeColor="text1"/>
                <w:sz w:val="30"/>
                <w:szCs w:val="30"/>
                <w:highlight w:val="none"/>
                <w14:textFill>
                  <w14:solidFill>
                    <w14:schemeClr w14:val="tx1"/>
                  </w14:solidFill>
                </w14:textFill>
              </w:rPr>
            </w:pPr>
          </w:p>
        </w:tc>
        <w:tc>
          <w:tcPr>
            <w:tcW w:w="2047" w:type="dxa"/>
            <w:noWrap/>
            <w:vAlign w:val="center"/>
          </w:tcPr>
          <w:p w14:paraId="71E020B6">
            <w:pPr>
              <w:jc w:val="center"/>
              <w:rPr>
                <w:rFonts w:ascii="仿宋" w:hAnsi="仿宋" w:eastAsia="仿宋"/>
                <w:color w:val="000000" w:themeColor="text1"/>
                <w:sz w:val="30"/>
                <w:szCs w:val="30"/>
                <w:highlight w:val="none"/>
                <w14:textFill>
                  <w14:solidFill>
                    <w14:schemeClr w14:val="tx1"/>
                  </w14:solidFill>
                </w14:textFill>
              </w:rPr>
            </w:pPr>
          </w:p>
        </w:tc>
        <w:tc>
          <w:tcPr>
            <w:tcW w:w="1260" w:type="dxa"/>
            <w:noWrap/>
            <w:vAlign w:val="center"/>
          </w:tcPr>
          <w:p w14:paraId="6DD3E158">
            <w:pPr>
              <w:jc w:val="center"/>
              <w:rPr>
                <w:rFonts w:ascii="仿宋" w:hAnsi="仿宋" w:eastAsia="仿宋"/>
                <w:color w:val="000000" w:themeColor="text1"/>
                <w:sz w:val="30"/>
                <w:szCs w:val="30"/>
                <w:highlight w:val="none"/>
                <w14:textFill>
                  <w14:solidFill>
                    <w14:schemeClr w14:val="tx1"/>
                  </w14:solidFill>
                </w14:textFill>
              </w:rPr>
            </w:pPr>
          </w:p>
        </w:tc>
        <w:tc>
          <w:tcPr>
            <w:tcW w:w="1440" w:type="dxa"/>
            <w:noWrap/>
            <w:vAlign w:val="center"/>
          </w:tcPr>
          <w:p w14:paraId="6969D757">
            <w:pPr>
              <w:jc w:val="center"/>
              <w:rPr>
                <w:rFonts w:ascii="仿宋" w:hAnsi="仿宋" w:eastAsia="仿宋"/>
                <w:color w:val="000000" w:themeColor="text1"/>
                <w:sz w:val="30"/>
                <w:szCs w:val="30"/>
                <w:highlight w:val="none"/>
                <w14:textFill>
                  <w14:solidFill>
                    <w14:schemeClr w14:val="tx1"/>
                  </w14:solidFill>
                </w14:textFill>
              </w:rPr>
            </w:pPr>
          </w:p>
        </w:tc>
        <w:tc>
          <w:tcPr>
            <w:tcW w:w="1959" w:type="dxa"/>
            <w:noWrap/>
            <w:vAlign w:val="center"/>
          </w:tcPr>
          <w:p w14:paraId="5B291DBC">
            <w:pPr>
              <w:jc w:val="center"/>
              <w:rPr>
                <w:rFonts w:ascii="仿宋" w:hAnsi="仿宋" w:eastAsia="仿宋"/>
                <w:color w:val="000000" w:themeColor="text1"/>
                <w:sz w:val="30"/>
                <w:szCs w:val="30"/>
                <w:highlight w:val="none"/>
                <w14:textFill>
                  <w14:solidFill>
                    <w14:schemeClr w14:val="tx1"/>
                  </w14:solidFill>
                </w14:textFill>
              </w:rPr>
            </w:pPr>
          </w:p>
        </w:tc>
      </w:tr>
      <w:tr w14:paraId="12399A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4" w:type="dxa"/>
            <w:noWrap/>
            <w:vAlign w:val="center"/>
          </w:tcPr>
          <w:p w14:paraId="41E845B2">
            <w:pPr>
              <w:rPr>
                <w:rFonts w:ascii="仿宋" w:hAnsi="仿宋" w:eastAsia="仿宋"/>
                <w:color w:val="000000" w:themeColor="text1"/>
                <w:sz w:val="30"/>
                <w:szCs w:val="30"/>
                <w:highlight w:val="none"/>
                <w14:textFill>
                  <w14:solidFill>
                    <w14:schemeClr w14:val="tx1"/>
                  </w14:solidFill>
                </w14:textFill>
              </w:rPr>
            </w:pPr>
          </w:p>
        </w:tc>
        <w:tc>
          <w:tcPr>
            <w:tcW w:w="1800" w:type="dxa"/>
            <w:noWrap/>
            <w:vAlign w:val="center"/>
          </w:tcPr>
          <w:p w14:paraId="1702C540">
            <w:pPr>
              <w:jc w:val="center"/>
              <w:rPr>
                <w:rFonts w:ascii="仿宋" w:hAnsi="仿宋" w:eastAsia="仿宋"/>
                <w:color w:val="000000" w:themeColor="text1"/>
                <w:sz w:val="30"/>
                <w:szCs w:val="30"/>
                <w:highlight w:val="none"/>
                <w14:textFill>
                  <w14:solidFill>
                    <w14:schemeClr w14:val="tx1"/>
                  </w14:solidFill>
                </w14:textFill>
              </w:rPr>
            </w:pPr>
          </w:p>
        </w:tc>
        <w:tc>
          <w:tcPr>
            <w:tcW w:w="2047" w:type="dxa"/>
            <w:noWrap/>
            <w:vAlign w:val="center"/>
          </w:tcPr>
          <w:p w14:paraId="42E83739">
            <w:pPr>
              <w:jc w:val="center"/>
              <w:rPr>
                <w:rFonts w:ascii="仿宋" w:hAnsi="仿宋" w:eastAsia="仿宋"/>
                <w:color w:val="000000" w:themeColor="text1"/>
                <w:sz w:val="30"/>
                <w:szCs w:val="30"/>
                <w:highlight w:val="none"/>
                <w14:textFill>
                  <w14:solidFill>
                    <w14:schemeClr w14:val="tx1"/>
                  </w14:solidFill>
                </w14:textFill>
              </w:rPr>
            </w:pPr>
          </w:p>
        </w:tc>
        <w:tc>
          <w:tcPr>
            <w:tcW w:w="1260" w:type="dxa"/>
            <w:noWrap/>
            <w:vAlign w:val="center"/>
          </w:tcPr>
          <w:p w14:paraId="20BDB158">
            <w:pPr>
              <w:jc w:val="center"/>
              <w:rPr>
                <w:rFonts w:ascii="仿宋" w:hAnsi="仿宋" w:eastAsia="仿宋"/>
                <w:color w:val="000000" w:themeColor="text1"/>
                <w:sz w:val="30"/>
                <w:szCs w:val="30"/>
                <w:highlight w:val="none"/>
                <w14:textFill>
                  <w14:solidFill>
                    <w14:schemeClr w14:val="tx1"/>
                  </w14:solidFill>
                </w14:textFill>
              </w:rPr>
            </w:pPr>
          </w:p>
        </w:tc>
        <w:tc>
          <w:tcPr>
            <w:tcW w:w="1440" w:type="dxa"/>
            <w:noWrap/>
            <w:vAlign w:val="center"/>
          </w:tcPr>
          <w:p w14:paraId="36233327">
            <w:pPr>
              <w:jc w:val="center"/>
              <w:rPr>
                <w:rFonts w:ascii="仿宋" w:hAnsi="仿宋" w:eastAsia="仿宋"/>
                <w:color w:val="000000" w:themeColor="text1"/>
                <w:sz w:val="30"/>
                <w:szCs w:val="30"/>
                <w:highlight w:val="none"/>
                <w14:textFill>
                  <w14:solidFill>
                    <w14:schemeClr w14:val="tx1"/>
                  </w14:solidFill>
                </w14:textFill>
              </w:rPr>
            </w:pPr>
          </w:p>
        </w:tc>
        <w:tc>
          <w:tcPr>
            <w:tcW w:w="1959" w:type="dxa"/>
            <w:noWrap/>
            <w:vAlign w:val="center"/>
          </w:tcPr>
          <w:p w14:paraId="6D746C78">
            <w:pPr>
              <w:jc w:val="center"/>
              <w:rPr>
                <w:rFonts w:ascii="仿宋" w:hAnsi="仿宋" w:eastAsia="仿宋"/>
                <w:color w:val="000000" w:themeColor="text1"/>
                <w:sz w:val="30"/>
                <w:szCs w:val="30"/>
                <w:highlight w:val="none"/>
                <w14:textFill>
                  <w14:solidFill>
                    <w14:schemeClr w14:val="tx1"/>
                  </w14:solidFill>
                </w14:textFill>
              </w:rPr>
            </w:pPr>
          </w:p>
        </w:tc>
      </w:tr>
      <w:tr w14:paraId="262E41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2834" w:type="dxa"/>
            <w:gridSpan w:val="2"/>
            <w:noWrap/>
            <w:vAlign w:val="center"/>
          </w:tcPr>
          <w:p w14:paraId="26CEF167">
            <w:pPr>
              <w:jc w:val="center"/>
              <w:rPr>
                <w:rFonts w:ascii="仿宋" w:hAnsi="仿宋" w:eastAsia="仿宋"/>
                <w:color w:val="000000" w:themeColor="text1"/>
                <w:sz w:val="30"/>
                <w:szCs w:val="30"/>
                <w:highlight w:val="none"/>
                <w14:textFill>
                  <w14:solidFill>
                    <w14:schemeClr w14:val="tx1"/>
                  </w14:solidFill>
                </w14:textFill>
              </w:rPr>
            </w:pPr>
            <w:r>
              <w:rPr>
                <w:rFonts w:hint="eastAsia" w:ascii="仿宋" w:hAnsi="仿宋" w:eastAsia="仿宋"/>
                <w:color w:val="000000" w:themeColor="text1"/>
                <w:sz w:val="30"/>
                <w:szCs w:val="30"/>
                <w:highlight w:val="none"/>
                <w14:textFill>
                  <w14:solidFill>
                    <w14:schemeClr w14:val="tx1"/>
                  </w14:solidFill>
                </w14:textFill>
              </w:rPr>
              <w:t>合同金额合计</w:t>
            </w:r>
          </w:p>
        </w:tc>
        <w:tc>
          <w:tcPr>
            <w:tcW w:w="6706" w:type="dxa"/>
            <w:gridSpan w:val="4"/>
            <w:noWrap/>
            <w:vAlign w:val="center"/>
          </w:tcPr>
          <w:p w14:paraId="5A7AA6B4">
            <w:pPr>
              <w:rPr>
                <w:rFonts w:ascii="仿宋" w:hAnsi="仿宋" w:eastAsia="仿宋"/>
                <w:color w:val="000000" w:themeColor="text1"/>
                <w:sz w:val="30"/>
                <w:szCs w:val="30"/>
                <w:highlight w:val="none"/>
                <w14:textFill>
                  <w14:solidFill>
                    <w14:schemeClr w14:val="tx1"/>
                  </w14:solidFill>
                </w14:textFill>
              </w:rPr>
            </w:pPr>
          </w:p>
        </w:tc>
      </w:tr>
    </w:tbl>
    <w:p w14:paraId="35FC200F">
      <w:pPr>
        <w:rPr>
          <w:rFonts w:ascii="仿宋" w:hAnsi="仿宋" w:eastAsia="仿宋"/>
          <w:color w:val="000000" w:themeColor="text1"/>
          <w:sz w:val="30"/>
          <w:szCs w:val="30"/>
          <w:highlight w:val="none"/>
          <w14:textFill>
            <w14:solidFill>
              <w14:schemeClr w14:val="tx1"/>
            </w14:solidFill>
          </w14:textFill>
        </w:rPr>
      </w:pPr>
      <w:r>
        <w:rPr>
          <w:rFonts w:hint="eastAsia" w:ascii="仿宋" w:hAnsi="仿宋" w:eastAsia="仿宋"/>
          <w:color w:val="000000" w:themeColor="text1"/>
          <w:sz w:val="30"/>
          <w:szCs w:val="30"/>
          <w:highlight w:val="none"/>
          <w14:textFill>
            <w14:solidFill>
              <w14:schemeClr w14:val="tx1"/>
            </w14:solidFill>
          </w14:textFill>
        </w:rPr>
        <w:t>备注：此表应认真填写，不得提供虚假业绩，后附中标通知书及合同扫描件。</w:t>
      </w:r>
    </w:p>
    <w:p w14:paraId="2814FAFE">
      <w:pPr>
        <w:ind w:firstLine="3900" w:firstLineChars="1300"/>
        <w:rPr>
          <w:rFonts w:ascii="仿宋" w:hAnsi="仿宋" w:eastAsia="仿宋"/>
          <w:color w:val="000000" w:themeColor="text1"/>
          <w:sz w:val="30"/>
          <w:szCs w:val="30"/>
          <w:highlight w:val="none"/>
          <w14:textFill>
            <w14:solidFill>
              <w14:schemeClr w14:val="tx1"/>
            </w14:solidFill>
          </w14:textFill>
        </w:rPr>
      </w:pPr>
    </w:p>
    <w:p w14:paraId="6C5161CB">
      <w:pPr>
        <w:wordWrap w:val="0"/>
        <w:spacing w:line="560" w:lineRule="exact"/>
        <w:ind w:right="960" w:firstLine="4320" w:firstLineChars="1350"/>
        <w:rPr>
          <w:rFonts w:ascii="仿宋" w:hAnsi="仿宋" w:eastAsia="仿宋"/>
          <w:color w:val="000000" w:themeColor="text1"/>
          <w:sz w:val="32"/>
          <w:szCs w:val="32"/>
          <w:highlight w:val="none"/>
          <w14:textFill>
            <w14:solidFill>
              <w14:schemeClr w14:val="tx1"/>
            </w14:solidFill>
          </w14:textFill>
        </w:rPr>
      </w:pPr>
      <w:r>
        <w:rPr>
          <w:rFonts w:hint="eastAsia" w:ascii="仿宋" w:hAnsi="仿宋" w:eastAsia="仿宋"/>
          <w:color w:val="000000" w:themeColor="text1"/>
          <w:sz w:val="32"/>
          <w:szCs w:val="32"/>
          <w:highlight w:val="none"/>
          <w14:textFill>
            <w14:solidFill>
              <w14:schemeClr w14:val="tx1"/>
            </w14:solidFill>
          </w14:textFill>
        </w:rPr>
        <w:t xml:space="preserve">投标人单位（盖章）： </w:t>
      </w:r>
    </w:p>
    <w:p w14:paraId="7871554A">
      <w:pPr>
        <w:jc w:val="right"/>
        <w:rPr>
          <w:rFonts w:ascii="仿宋" w:hAnsi="仿宋" w:eastAsia="仿宋"/>
          <w:color w:val="000000" w:themeColor="text1"/>
          <w:sz w:val="32"/>
          <w:szCs w:val="32"/>
          <w:highlight w:val="none"/>
          <w14:textFill>
            <w14:solidFill>
              <w14:schemeClr w14:val="tx1"/>
            </w14:solidFill>
          </w14:textFill>
        </w:rPr>
        <w:sectPr>
          <w:pgSz w:w="11906" w:h="16838"/>
          <w:pgMar w:top="1440" w:right="1080" w:bottom="1440" w:left="1080" w:header="851" w:footer="992" w:gutter="0"/>
          <w:cols w:space="425" w:num="1"/>
          <w:docGrid w:type="lines" w:linePitch="312" w:charSpace="0"/>
        </w:sectPr>
      </w:pPr>
      <w:r>
        <w:rPr>
          <w:rFonts w:hint="eastAsia" w:ascii="仿宋" w:hAnsi="仿宋" w:eastAsia="仿宋"/>
          <w:color w:val="000000" w:themeColor="text1"/>
          <w:sz w:val="32"/>
          <w:szCs w:val="32"/>
          <w:highlight w:val="none"/>
          <w14:textFill>
            <w14:solidFill>
              <w14:schemeClr w14:val="tx1"/>
            </w14:solidFill>
          </w14:textFill>
        </w:rPr>
        <w:t>法定代表人（依法登记的负责人）或被授权人（签字或盖章）</w:t>
      </w:r>
    </w:p>
    <w:p w14:paraId="418B0B11">
      <w:pPr>
        <w:pStyle w:val="24"/>
        <w:spacing w:line="520" w:lineRule="exact"/>
        <w:jc w:val="center"/>
        <w:rPr>
          <w:rFonts w:hAnsi="宋体"/>
          <w:b/>
          <w:bCs/>
          <w:color w:val="000000" w:themeColor="text1"/>
          <w:kern w:val="2"/>
          <w:sz w:val="44"/>
          <w:szCs w:val="44"/>
          <w:highlight w:val="none"/>
          <w14:textFill>
            <w14:solidFill>
              <w14:schemeClr w14:val="tx1"/>
            </w14:solidFill>
          </w14:textFill>
        </w:rPr>
      </w:pPr>
      <w:r>
        <w:rPr>
          <w:rFonts w:hint="eastAsia" w:hAnsi="宋体"/>
          <w:b/>
          <w:bCs/>
          <w:color w:val="000000" w:themeColor="text1"/>
          <w:kern w:val="2"/>
          <w:sz w:val="44"/>
          <w:szCs w:val="44"/>
          <w:highlight w:val="none"/>
          <w14:textFill>
            <w14:solidFill>
              <w14:schemeClr w14:val="tx1"/>
            </w14:solidFill>
          </w14:textFill>
        </w:rPr>
        <w:t>投标偏离表</w:t>
      </w:r>
    </w:p>
    <w:p w14:paraId="3073901E">
      <w:pPr>
        <w:spacing w:line="360" w:lineRule="exact"/>
        <w:jc w:val="center"/>
        <w:rPr>
          <w:rFonts w:ascii="仿宋_GB2312" w:hAnsi="宋体" w:eastAsia="仿宋_GB2312"/>
          <w:b/>
          <w:bCs/>
          <w:color w:val="000000" w:themeColor="text1"/>
          <w:sz w:val="36"/>
          <w:szCs w:val="36"/>
          <w:highlight w:val="none"/>
          <w14:textFill>
            <w14:solidFill>
              <w14:schemeClr w14:val="tx1"/>
            </w14:solidFill>
          </w14:textFill>
        </w:rPr>
      </w:pPr>
    </w:p>
    <w:p w14:paraId="52DA2316">
      <w:pPr>
        <w:spacing w:line="360" w:lineRule="exact"/>
        <w:jc w:val="center"/>
        <w:rPr>
          <w:rFonts w:ascii="仿宋_GB2312" w:hAnsi="宋体" w:eastAsia="仿宋_GB2312"/>
          <w:bCs/>
          <w:color w:val="000000" w:themeColor="text1"/>
          <w:sz w:val="30"/>
          <w:szCs w:val="30"/>
          <w:highlight w:val="none"/>
          <w14:textFill>
            <w14:solidFill>
              <w14:schemeClr w14:val="tx1"/>
            </w14:solidFill>
          </w14:textFill>
        </w:rPr>
      </w:pPr>
      <w:r>
        <w:rPr>
          <w:rFonts w:hint="eastAsia" w:ascii="仿宋_GB2312" w:hAnsi="宋体" w:eastAsia="仿宋_GB2312"/>
          <w:bCs/>
          <w:color w:val="000000" w:themeColor="text1"/>
          <w:sz w:val="30"/>
          <w:szCs w:val="30"/>
          <w:highlight w:val="none"/>
          <w14:textFill>
            <w14:solidFill>
              <w14:schemeClr w14:val="tx1"/>
            </w14:solidFill>
          </w14:textFill>
        </w:rPr>
        <w:t>（包括技术规格、参数和商务条款偏离）</w:t>
      </w:r>
    </w:p>
    <w:p w14:paraId="1C5FDB68">
      <w:pPr>
        <w:spacing w:line="360" w:lineRule="exact"/>
        <w:jc w:val="center"/>
        <w:rPr>
          <w:rFonts w:ascii="仿宋_GB2312" w:hAnsi="宋体" w:eastAsia="仿宋_GB2312"/>
          <w:bCs/>
          <w:color w:val="000000" w:themeColor="text1"/>
          <w:sz w:val="22"/>
          <w:highlight w:val="none"/>
          <w14:textFill>
            <w14:solidFill>
              <w14:schemeClr w14:val="tx1"/>
            </w14:solidFill>
          </w14:textFill>
        </w:rPr>
      </w:pPr>
    </w:p>
    <w:tbl>
      <w:tblPr>
        <w:tblStyle w:val="47"/>
        <w:tblW w:w="97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8"/>
        <w:gridCol w:w="1236"/>
        <w:gridCol w:w="3465"/>
        <w:gridCol w:w="1236"/>
        <w:gridCol w:w="3360"/>
      </w:tblGrid>
      <w:tr w14:paraId="594AED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0" w:hRule="atLeast"/>
        </w:trPr>
        <w:tc>
          <w:tcPr>
            <w:tcW w:w="468" w:type="dxa"/>
            <w:vMerge w:val="restart"/>
          </w:tcPr>
          <w:p w14:paraId="636AB1DE">
            <w:pPr>
              <w:pStyle w:val="24"/>
              <w:spacing w:line="400" w:lineRule="exact"/>
              <w:rPr>
                <w:rFonts w:ascii="仿宋_GB2312" w:hAnsi="宋体" w:eastAsia="仿宋_GB2312"/>
                <w:color w:val="000000" w:themeColor="text1"/>
                <w:sz w:val="24"/>
                <w:szCs w:val="24"/>
                <w:highlight w:val="none"/>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序号</w:t>
            </w:r>
          </w:p>
        </w:tc>
        <w:tc>
          <w:tcPr>
            <w:tcW w:w="4701" w:type="dxa"/>
            <w:gridSpan w:val="2"/>
          </w:tcPr>
          <w:p w14:paraId="071373F9">
            <w:pPr>
              <w:pStyle w:val="24"/>
              <w:spacing w:line="400" w:lineRule="exact"/>
              <w:rPr>
                <w:rFonts w:ascii="仿宋_GB2312" w:hAnsi="宋体" w:eastAsia="仿宋_GB2312"/>
                <w:color w:val="000000" w:themeColor="text1"/>
                <w:sz w:val="24"/>
                <w:szCs w:val="24"/>
                <w:highlight w:val="none"/>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 xml:space="preserve">         招标文件条款</w:t>
            </w:r>
          </w:p>
        </w:tc>
        <w:tc>
          <w:tcPr>
            <w:tcW w:w="4596" w:type="dxa"/>
            <w:gridSpan w:val="2"/>
          </w:tcPr>
          <w:p w14:paraId="0D36701F">
            <w:pPr>
              <w:pStyle w:val="24"/>
              <w:spacing w:line="400" w:lineRule="exact"/>
              <w:rPr>
                <w:rFonts w:ascii="仿宋_GB2312" w:hAnsi="宋体" w:eastAsia="仿宋_GB2312"/>
                <w:color w:val="000000" w:themeColor="text1"/>
                <w:sz w:val="24"/>
                <w:szCs w:val="24"/>
                <w:highlight w:val="none"/>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 xml:space="preserve">       投标文件条款</w:t>
            </w:r>
          </w:p>
        </w:tc>
      </w:tr>
      <w:tr w14:paraId="5BC17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83" w:hRule="atLeast"/>
        </w:trPr>
        <w:tc>
          <w:tcPr>
            <w:tcW w:w="468" w:type="dxa"/>
            <w:vMerge w:val="continue"/>
          </w:tcPr>
          <w:p w14:paraId="2463B305">
            <w:pPr>
              <w:pStyle w:val="24"/>
              <w:spacing w:line="400" w:lineRule="exact"/>
              <w:rPr>
                <w:rFonts w:ascii="仿宋_GB2312" w:hAnsi="宋体" w:eastAsia="仿宋_GB2312"/>
                <w:color w:val="000000" w:themeColor="text1"/>
                <w:sz w:val="24"/>
                <w:szCs w:val="24"/>
                <w:highlight w:val="none"/>
                <w14:textFill>
                  <w14:solidFill>
                    <w14:schemeClr w14:val="tx1"/>
                  </w14:solidFill>
                </w14:textFill>
              </w:rPr>
            </w:pPr>
          </w:p>
        </w:tc>
        <w:tc>
          <w:tcPr>
            <w:tcW w:w="1236" w:type="dxa"/>
          </w:tcPr>
          <w:p w14:paraId="091495EF">
            <w:pPr>
              <w:pStyle w:val="24"/>
              <w:spacing w:line="400" w:lineRule="exact"/>
              <w:jc w:val="center"/>
              <w:rPr>
                <w:rFonts w:ascii="仿宋_GB2312" w:hAnsi="宋体" w:eastAsia="仿宋_GB2312"/>
                <w:color w:val="000000" w:themeColor="text1"/>
                <w:sz w:val="24"/>
                <w:szCs w:val="24"/>
                <w:highlight w:val="none"/>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条款号</w:t>
            </w:r>
          </w:p>
        </w:tc>
        <w:tc>
          <w:tcPr>
            <w:tcW w:w="3465" w:type="dxa"/>
          </w:tcPr>
          <w:p w14:paraId="2993E0C6">
            <w:pPr>
              <w:pStyle w:val="24"/>
              <w:spacing w:line="400" w:lineRule="exact"/>
              <w:jc w:val="center"/>
              <w:rPr>
                <w:rFonts w:ascii="仿宋_GB2312" w:hAnsi="宋体" w:eastAsia="仿宋_GB2312"/>
                <w:color w:val="000000" w:themeColor="text1"/>
                <w:sz w:val="24"/>
                <w:szCs w:val="24"/>
                <w:highlight w:val="none"/>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招标文件的内容</w:t>
            </w:r>
          </w:p>
        </w:tc>
        <w:tc>
          <w:tcPr>
            <w:tcW w:w="1236" w:type="dxa"/>
          </w:tcPr>
          <w:p w14:paraId="27949756">
            <w:pPr>
              <w:pStyle w:val="24"/>
              <w:spacing w:line="400" w:lineRule="exact"/>
              <w:jc w:val="center"/>
              <w:rPr>
                <w:rFonts w:ascii="仿宋_GB2312" w:hAnsi="宋体" w:eastAsia="仿宋_GB2312"/>
                <w:color w:val="000000" w:themeColor="text1"/>
                <w:sz w:val="24"/>
                <w:szCs w:val="24"/>
                <w:highlight w:val="none"/>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条款号</w:t>
            </w:r>
          </w:p>
        </w:tc>
        <w:tc>
          <w:tcPr>
            <w:tcW w:w="3360" w:type="dxa"/>
          </w:tcPr>
          <w:p w14:paraId="714E27C1">
            <w:pPr>
              <w:pStyle w:val="24"/>
              <w:spacing w:line="400" w:lineRule="exact"/>
              <w:jc w:val="center"/>
              <w:rPr>
                <w:rFonts w:ascii="仿宋_GB2312" w:hAnsi="宋体" w:eastAsia="仿宋_GB2312"/>
                <w:color w:val="000000" w:themeColor="text1"/>
                <w:sz w:val="24"/>
                <w:szCs w:val="24"/>
                <w:highlight w:val="none"/>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投标文件偏离内容</w:t>
            </w:r>
          </w:p>
        </w:tc>
      </w:tr>
      <w:tr w14:paraId="3FA763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2" w:hRule="atLeast"/>
        </w:trPr>
        <w:tc>
          <w:tcPr>
            <w:tcW w:w="468" w:type="dxa"/>
          </w:tcPr>
          <w:p w14:paraId="083C06DD">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1236" w:type="dxa"/>
          </w:tcPr>
          <w:p w14:paraId="5E69B8EE">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3465" w:type="dxa"/>
          </w:tcPr>
          <w:p w14:paraId="1A727761">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1236" w:type="dxa"/>
          </w:tcPr>
          <w:p w14:paraId="7FA2C6FB">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3360" w:type="dxa"/>
          </w:tcPr>
          <w:p w14:paraId="2BC15AF6">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r>
      <w:tr w14:paraId="140EEE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2" w:hRule="atLeast"/>
        </w:trPr>
        <w:tc>
          <w:tcPr>
            <w:tcW w:w="468" w:type="dxa"/>
          </w:tcPr>
          <w:p w14:paraId="1BA42EEE">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1236" w:type="dxa"/>
          </w:tcPr>
          <w:p w14:paraId="47BDA896">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3465" w:type="dxa"/>
          </w:tcPr>
          <w:p w14:paraId="0346F3A2">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1236" w:type="dxa"/>
          </w:tcPr>
          <w:p w14:paraId="6A501A23">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3360" w:type="dxa"/>
          </w:tcPr>
          <w:p w14:paraId="3C63B2F6">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r>
      <w:tr w14:paraId="2C6227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2" w:hRule="atLeast"/>
        </w:trPr>
        <w:tc>
          <w:tcPr>
            <w:tcW w:w="468" w:type="dxa"/>
          </w:tcPr>
          <w:p w14:paraId="44B80CF0">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1236" w:type="dxa"/>
          </w:tcPr>
          <w:p w14:paraId="3B85DB86">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3465" w:type="dxa"/>
          </w:tcPr>
          <w:p w14:paraId="30290B57">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1236" w:type="dxa"/>
          </w:tcPr>
          <w:p w14:paraId="1C8CF56C">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3360" w:type="dxa"/>
          </w:tcPr>
          <w:p w14:paraId="7742CE39">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r>
      <w:tr w14:paraId="463DC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2" w:hRule="atLeast"/>
        </w:trPr>
        <w:tc>
          <w:tcPr>
            <w:tcW w:w="468" w:type="dxa"/>
          </w:tcPr>
          <w:p w14:paraId="5DB089A4">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1236" w:type="dxa"/>
          </w:tcPr>
          <w:p w14:paraId="71B8D2B3">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3465" w:type="dxa"/>
          </w:tcPr>
          <w:p w14:paraId="465BB259">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1236" w:type="dxa"/>
          </w:tcPr>
          <w:p w14:paraId="379A7BEE">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3360" w:type="dxa"/>
          </w:tcPr>
          <w:p w14:paraId="285A5750">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r>
      <w:tr w14:paraId="6637D4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2" w:hRule="atLeast"/>
        </w:trPr>
        <w:tc>
          <w:tcPr>
            <w:tcW w:w="468" w:type="dxa"/>
          </w:tcPr>
          <w:p w14:paraId="12091006">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1236" w:type="dxa"/>
          </w:tcPr>
          <w:p w14:paraId="620E7F40">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3465" w:type="dxa"/>
          </w:tcPr>
          <w:p w14:paraId="6EA32ABA">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1236" w:type="dxa"/>
          </w:tcPr>
          <w:p w14:paraId="35F3CE52">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3360" w:type="dxa"/>
          </w:tcPr>
          <w:p w14:paraId="6811E9A0">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r>
      <w:tr w14:paraId="7C95BB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5" w:hRule="atLeast"/>
        </w:trPr>
        <w:tc>
          <w:tcPr>
            <w:tcW w:w="468" w:type="dxa"/>
          </w:tcPr>
          <w:p w14:paraId="043E0A04">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1236" w:type="dxa"/>
          </w:tcPr>
          <w:p w14:paraId="18BF5BF1">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3465" w:type="dxa"/>
          </w:tcPr>
          <w:p w14:paraId="6F1E602C">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1236" w:type="dxa"/>
          </w:tcPr>
          <w:p w14:paraId="6CCC6DFE">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3360" w:type="dxa"/>
          </w:tcPr>
          <w:p w14:paraId="1250749E">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r>
      <w:tr w14:paraId="1E5BB7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4" w:hRule="atLeast"/>
        </w:trPr>
        <w:tc>
          <w:tcPr>
            <w:tcW w:w="468" w:type="dxa"/>
          </w:tcPr>
          <w:p w14:paraId="324E5E44">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1236" w:type="dxa"/>
          </w:tcPr>
          <w:p w14:paraId="26CA5274">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3465" w:type="dxa"/>
          </w:tcPr>
          <w:p w14:paraId="6BC222E7">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1236" w:type="dxa"/>
          </w:tcPr>
          <w:p w14:paraId="5DF119B4">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3360" w:type="dxa"/>
          </w:tcPr>
          <w:p w14:paraId="64578571">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r>
      <w:tr w14:paraId="75C8D5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3" w:hRule="atLeast"/>
        </w:trPr>
        <w:tc>
          <w:tcPr>
            <w:tcW w:w="468" w:type="dxa"/>
          </w:tcPr>
          <w:p w14:paraId="38D7450F">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1236" w:type="dxa"/>
          </w:tcPr>
          <w:p w14:paraId="683AD0C6">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3465" w:type="dxa"/>
          </w:tcPr>
          <w:p w14:paraId="3DB3A467">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1236" w:type="dxa"/>
          </w:tcPr>
          <w:p w14:paraId="18363A4D">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3360" w:type="dxa"/>
          </w:tcPr>
          <w:p w14:paraId="54F21DAD">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r>
      <w:tr w14:paraId="1D4A8C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6" w:hRule="atLeast"/>
        </w:trPr>
        <w:tc>
          <w:tcPr>
            <w:tcW w:w="468" w:type="dxa"/>
          </w:tcPr>
          <w:p w14:paraId="17B02E74">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p w14:paraId="120B48D2">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1236" w:type="dxa"/>
          </w:tcPr>
          <w:p w14:paraId="4A964802">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3465" w:type="dxa"/>
          </w:tcPr>
          <w:p w14:paraId="4C25BF57">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1236" w:type="dxa"/>
          </w:tcPr>
          <w:p w14:paraId="469488FB">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3360" w:type="dxa"/>
          </w:tcPr>
          <w:p w14:paraId="3E6DAA75">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r>
      <w:tr w14:paraId="3874D2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8" w:type="dxa"/>
          </w:tcPr>
          <w:p w14:paraId="441B403E">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p w14:paraId="1215BE09">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1236" w:type="dxa"/>
          </w:tcPr>
          <w:p w14:paraId="4B7DDF6D">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3465" w:type="dxa"/>
          </w:tcPr>
          <w:p w14:paraId="0F3877EE">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1236" w:type="dxa"/>
          </w:tcPr>
          <w:p w14:paraId="3B07721E">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3360" w:type="dxa"/>
          </w:tcPr>
          <w:p w14:paraId="4088B407">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r>
    </w:tbl>
    <w:p w14:paraId="07CEA3FD">
      <w:pPr>
        <w:pStyle w:val="24"/>
        <w:spacing w:line="400" w:lineRule="exact"/>
        <w:rPr>
          <w:rFonts w:ascii="仿宋_GB2312" w:hAnsi="宋体" w:eastAsia="仿宋_GB2312"/>
          <w:color w:val="000000" w:themeColor="text1"/>
          <w:sz w:val="24"/>
          <w:highlight w:val="none"/>
          <w14:textFill>
            <w14:solidFill>
              <w14:schemeClr w14:val="tx1"/>
            </w14:solidFill>
          </w14:textFill>
        </w:rPr>
      </w:pPr>
      <w:r>
        <w:rPr>
          <w:rFonts w:hint="eastAsia" w:ascii="仿宋_GB2312" w:hAnsi="宋体" w:eastAsia="仿宋_GB2312"/>
          <w:color w:val="000000" w:themeColor="text1"/>
          <w:sz w:val="24"/>
          <w:highlight w:val="none"/>
          <w14:textFill>
            <w14:solidFill>
              <w14:schemeClr w14:val="tx1"/>
            </w14:solidFill>
          </w14:textFill>
        </w:rPr>
        <w:t>注：无偏离可填写“无”字，有偏离必须在本表列明，实际存在负偏离而在本表内没有列明的，或有虚假投标信息的，监管部门将其列入不诚信名单（或不诚信记录）。</w:t>
      </w:r>
    </w:p>
    <w:p w14:paraId="2C1FA62D">
      <w:pPr>
        <w:spacing w:line="360" w:lineRule="exact"/>
        <w:ind w:firstLine="4900" w:firstLineChars="1750"/>
        <w:rPr>
          <w:rFonts w:ascii="仿宋_GB2312" w:hAnsi="宋体" w:eastAsia="仿宋_GB2312"/>
          <w:color w:val="000000" w:themeColor="text1"/>
          <w:sz w:val="28"/>
          <w:highlight w:val="none"/>
          <w14:textFill>
            <w14:solidFill>
              <w14:schemeClr w14:val="tx1"/>
            </w14:solidFill>
          </w14:textFill>
        </w:rPr>
      </w:pPr>
    </w:p>
    <w:p w14:paraId="7B755072">
      <w:pPr>
        <w:spacing w:line="360" w:lineRule="exact"/>
        <w:ind w:firstLine="4900" w:firstLineChars="1750"/>
        <w:rPr>
          <w:rFonts w:ascii="仿宋_GB2312" w:hAnsi="宋体" w:eastAsia="仿宋_GB2312"/>
          <w:color w:val="000000" w:themeColor="text1"/>
          <w:sz w:val="28"/>
          <w:highlight w:val="none"/>
          <w14:textFill>
            <w14:solidFill>
              <w14:schemeClr w14:val="tx1"/>
            </w14:solidFill>
          </w14:textFill>
        </w:rPr>
      </w:pPr>
    </w:p>
    <w:p w14:paraId="4B3E1D3C">
      <w:pPr>
        <w:wordWrap w:val="0"/>
        <w:spacing w:line="560" w:lineRule="exact"/>
        <w:ind w:right="960" w:firstLine="4320" w:firstLineChars="1350"/>
        <w:rPr>
          <w:rFonts w:ascii="仿宋" w:hAnsi="仿宋" w:eastAsia="仿宋"/>
          <w:color w:val="000000" w:themeColor="text1"/>
          <w:sz w:val="32"/>
          <w:szCs w:val="32"/>
          <w:highlight w:val="none"/>
          <w14:textFill>
            <w14:solidFill>
              <w14:schemeClr w14:val="tx1"/>
            </w14:solidFill>
          </w14:textFill>
        </w:rPr>
      </w:pPr>
      <w:r>
        <w:rPr>
          <w:rFonts w:hint="eastAsia" w:ascii="仿宋" w:hAnsi="仿宋" w:eastAsia="仿宋"/>
          <w:color w:val="000000" w:themeColor="text1"/>
          <w:sz w:val="32"/>
          <w:szCs w:val="32"/>
          <w:highlight w:val="none"/>
          <w14:textFill>
            <w14:solidFill>
              <w14:schemeClr w14:val="tx1"/>
            </w14:solidFill>
          </w14:textFill>
        </w:rPr>
        <w:t xml:space="preserve">投标人单位（盖章）： </w:t>
      </w:r>
    </w:p>
    <w:p w14:paraId="6A8700BF">
      <w:pPr>
        <w:jc w:val="right"/>
        <w:rPr>
          <w:rFonts w:ascii="仿宋" w:hAnsi="仿宋" w:eastAsia="仿宋"/>
          <w:color w:val="000000" w:themeColor="text1"/>
          <w:sz w:val="32"/>
          <w:szCs w:val="32"/>
          <w:highlight w:val="none"/>
          <w14:textFill>
            <w14:solidFill>
              <w14:schemeClr w14:val="tx1"/>
            </w14:solidFill>
          </w14:textFill>
        </w:rPr>
        <w:sectPr>
          <w:pgSz w:w="11906" w:h="16838"/>
          <w:pgMar w:top="1440" w:right="1080" w:bottom="1440" w:left="1080" w:header="851" w:footer="992" w:gutter="0"/>
          <w:cols w:space="425" w:num="1"/>
          <w:docGrid w:type="lines" w:linePitch="312" w:charSpace="0"/>
        </w:sectPr>
      </w:pPr>
      <w:r>
        <w:rPr>
          <w:rFonts w:hint="eastAsia" w:ascii="仿宋" w:hAnsi="仿宋" w:eastAsia="仿宋"/>
          <w:color w:val="000000" w:themeColor="text1"/>
          <w:sz w:val="32"/>
          <w:szCs w:val="32"/>
          <w:highlight w:val="none"/>
          <w14:textFill>
            <w14:solidFill>
              <w14:schemeClr w14:val="tx1"/>
            </w14:solidFill>
          </w14:textFill>
        </w:rPr>
        <w:t>法定代表人（依法登记的负责人）或被授权人（签字或盖章）</w:t>
      </w:r>
    </w:p>
    <w:p w14:paraId="5FFC140B">
      <w:pPr>
        <w:jc w:val="center"/>
        <w:rPr>
          <w:rFonts w:ascii="宋体" w:hAnsi="宋体"/>
          <w:b/>
          <w:bCs/>
          <w:color w:val="000000" w:themeColor="text1"/>
          <w:sz w:val="44"/>
          <w:szCs w:val="44"/>
          <w:highlight w:val="none"/>
          <w14:textFill>
            <w14:solidFill>
              <w14:schemeClr w14:val="tx1"/>
            </w14:solidFill>
          </w14:textFill>
        </w:rPr>
      </w:pPr>
      <w:r>
        <w:rPr>
          <w:rFonts w:ascii="宋体" w:hAnsi="宋体"/>
          <w:b/>
          <w:bCs/>
          <w:color w:val="000000" w:themeColor="text1"/>
          <w:sz w:val="44"/>
          <w:szCs w:val="44"/>
          <w:highlight w:val="none"/>
          <w14:textFill>
            <w14:solidFill>
              <w14:schemeClr w14:val="tx1"/>
            </w14:solidFill>
          </w14:textFill>
        </w:rPr>
        <w:t>技术文件</w:t>
      </w:r>
    </w:p>
    <w:p w14:paraId="47B13A59">
      <w:pPr>
        <w:jc w:val="center"/>
        <w:rPr>
          <w:rFonts w:hint="eastAsia" w:ascii="宋体" w:hAnsi="宋体"/>
          <w:b/>
          <w:bCs/>
          <w:color w:val="000000" w:themeColor="text1"/>
          <w:sz w:val="44"/>
          <w:szCs w:val="44"/>
          <w:highlight w:val="none"/>
          <w14:textFill>
            <w14:solidFill>
              <w14:schemeClr w14:val="tx1"/>
            </w14:solidFill>
          </w14:textFill>
        </w:rPr>
        <w:sectPr>
          <w:pgSz w:w="11906" w:h="16838"/>
          <w:pgMar w:top="1440" w:right="1080" w:bottom="1440" w:left="1080" w:header="851" w:footer="992" w:gutter="0"/>
          <w:cols w:space="425" w:num="1"/>
          <w:docGrid w:type="lines" w:linePitch="312" w:charSpace="0"/>
        </w:sectPr>
      </w:pPr>
      <w:r>
        <w:rPr>
          <w:rFonts w:hint="eastAsia" w:ascii="宋体" w:hAnsi="宋体"/>
          <w:b/>
          <w:bCs/>
          <w:color w:val="000000" w:themeColor="text1"/>
          <w:sz w:val="44"/>
          <w:szCs w:val="44"/>
          <w:highlight w:val="none"/>
          <w14:textFill>
            <w14:solidFill>
              <w14:schemeClr w14:val="tx1"/>
            </w14:solidFill>
          </w14:textFill>
        </w:rPr>
        <w:t>（由供应商自行编制）</w:t>
      </w:r>
    </w:p>
    <w:p w14:paraId="077C4786">
      <w:pPr>
        <w:jc w:val="center"/>
        <w:rPr>
          <w:rFonts w:hint="eastAsia" w:ascii="宋体" w:hAnsi="宋体" w:eastAsia="宋体" w:cs="Times New Roman"/>
          <w:b/>
          <w:bCs/>
          <w:color w:val="000000" w:themeColor="text1"/>
          <w:kern w:val="2"/>
          <w:sz w:val="44"/>
          <w:szCs w:val="44"/>
          <w:highlight w:val="none"/>
          <w:lang w:val="en-US" w:eastAsia="zh-CN" w:bidi="ar-SA"/>
          <w14:textFill>
            <w14:solidFill>
              <w14:schemeClr w14:val="tx1"/>
            </w14:solidFill>
          </w14:textFill>
        </w:rPr>
      </w:pPr>
      <w:r>
        <w:rPr>
          <w:rFonts w:hint="eastAsia" w:ascii="宋体" w:hAnsi="宋体" w:eastAsia="宋体" w:cs="Times New Roman"/>
          <w:b/>
          <w:bCs/>
          <w:color w:val="000000" w:themeColor="text1"/>
          <w:kern w:val="2"/>
          <w:sz w:val="44"/>
          <w:szCs w:val="44"/>
          <w:highlight w:val="none"/>
          <w:lang w:val="en-US" w:eastAsia="zh-CN" w:bidi="ar-SA"/>
          <w14:textFill>
            <w14:solidFill>
              <w14:schemeClr w14:val="tx1"/>
            </w14:solidFill>
          </w14:textFill>
        </w:rPr>
        <w:t>项目负责人及拟派主要人员情况表</w:t>
      </w:r>
    </w:p>
    <w:tbl>
      <w:tblPr>
        <w:tblStyle w:val="47"/>
        <w:tblpPr w:leftFromText="180" w:rightFromText="180" w:vertAnchor="text" w:horzAnchor="margin" w:tblpXSpec="center" w:tblpY="267"/>
        <w:tblW w:w="98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429"/>
        <w:gridCol w:w="652"/>
        <w:gridCol w:w="278"/>
        <w:gridCol w:w="740"/>
        <w:gridCol w:w="1323"/>
        <w:gridCol w:w="170"/>
        <w:gridCol w:w="1507"/>
        <w:gridCol w:w="246"/>
        <w:gridCol w:w="1254"/>
        <w:gridCol w:w="164"/>
        <w:gridCol w:w="2091"/>
      </w:tblGrid>
      <w:tr w14:paraId="018273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15" w:hRule="atLeast"/>
        </w:trPr>
        <w:tc>
          <w:tcPr>
            <w:tcW w:w="9854" w:type="dxa"/>
            <w:gridSpan w:val="11"/>
            <w:tcBorders>
              <w:top w:val="single" w:color="auto" w:sz="4" w:space="0"/>
              <w:left w:val="single" w:color="auto" w:sz="4" w:space="0"/>
              <w:bottom w:val="single" w:color="auto" w:sz="4" w:space="0"/>
              <w:right w:val="single" w:color="auto" w:sz="4" w:space="0"/>
            </w:tcBorders>
          </w:tcPr>
          <w:p w14:paraId="54A0D3D0">
            <w:pPr>
              <w:spacing w:line="460" w:lineRule="exact"/>
              <w:jc w:val="center"/>
              <w:rPr>
                <w:rFonts w:hint="eastAsia" w:ascii="仿宋_GB2312" w:hAnsi="仿宋_GB2312" w:eastAsia="仿宋_GB2312" w:cs="仿宋_GB2312"/>
                <w:b/>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项目负责人情况</w:t>
            </w:r>
          </w:p>
        </w:tc>
      </w:tr>
      <w:tr w14:paraId="5990D2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1429" w:type="dxa"/>
            <w:tcBorders>
              <w:top w:val="single" w:color="auto" w:sz="4" w:space="0"/>
              <w:left w:val="single" w:color="auto" w:sz="4" w:space="0"/>
              <w:bottom w:val="single" w:color="auto" w:sz="4" w:space="0"/>
              <w:right w:val="single" w:color="auto" w:sz="4" w:space="0"/>
            </w:tcBorders>
            <w:vAlign w:val="center"/>
          </w:tcPr>
          <w:p w14:paraId="7C38237E">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姓名</w:t>
            </w:r>
          </w:p>
        </w:tc>
        <w:tc>
          <w:tcPr>
            <w:tcW w:w="1670" w:type="dxa"/>
            <w:gridSpan w:val="3"/>
            <w:tcBorders>
              <w:top w:val="single" w:color="auto" w:sz="4" w:space="0"/>
              <w:left w:val="single" w:color="auto" w:sz="4" w:space="0"/>
              <w:bottom w:val="single" w:color="auto" w:sz="4" w:space="0"/>
              <w:right w:val="single" w:color="auto" w:sz="4" w:space="0"/>
            </w:tcBorders>
            <w:vAlign w:val="center"/>
          </w:tcPr>
          <w:p w14:paraId="10763870">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 xml:space="preserve">  </w:t>
            </w:r>
          </w:p>
        </w:tc>
        <w:tc>
          <w:tcPr>
            <w:tcW w:w="1323" w:type="dxa"/>
            <w:tcBorders>
              <w:top w:val="single" w:color="auto" w:sz="4" w:space="0"/>
              <w:left w:val="single" w:color="auto" w:sz="4" w:space="0"/>
              <w:bottom w:val="single" w:color="auto" w:sz="4" w:space="0"/>
              <w:right w:val="single" w:color="auto" w:sz="4" w:space="0"/>
            </w:tcBorders>
            <w:vAlign w:val="center"/>
          </w:tcPr>
          <w:p w14:paraId="55FFEA7B">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性别</w:t>
            </w:r>
          </w:p>
        </w:tc>
        <w:tc>
          <w:tcPr>
            <w:tcW w:w="1677" w:type="dxa"/>
            <w:gridSpan w:val="2"/>
            <w:tcBorders>
              <w:top w:val="single" w:color="auto" w:sz="4" w:space="0"/>
              <w:left w:val="single" w:color="auto" w:sz="4" w:space="0"/>
              <w:bottom w:val="single" w:color="auto" w:sz="4" w:space="0"/>
              <w:right w:val="single" w:color="auto" w:sz="4" w:space="0"/>
            </w:tcBorders>
            <w:vAlign w:val="center"/>
          </w:tcPr>
          <w:p w14:paraId="0F6557C0">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 xml:space="preserve">  </w:t>
            </w:r>
          </w:p>
        </w:tc>
        <w:tc>
          <w:tcPr>
            <w:tcW w:w="1500" w:type="dxa"/>
            <w:gridSpan w:val="2"/>
            <w:tcBorders>
              <w:top w:val="single" w:color="auto" w:sz="4" w:space="0"/>
              <w:left w:val="single" w:color="auto" w:sz="4" w:space="0"/>
              <w:bottom w:val="single" w:color="auto" w:sz="4" w:space="0"/>
              <w:right w:val="single" w:color="auto" w:sz="4" w:space="0"/>
            </w:tcBorders>
            <w:vAlign w:val="center"/>
          </w:tcPr>
          <w:p w14:paraId="7C440B4C">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年龄</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7763398E">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 xml:space="preserve">  </w:t>
            </w:r>
          </w:p>
        </w:tc>
      </w:tr>
      <w:tr w14:paraId="5B5237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1429" w:type="dxa"/>
            <w:tcBorders>
              <w:top w:val="single" w:color="auto" w:sz="4" w:space="0"/>
              <w:left w:val="single" w:color="auto" w:sz="4" w:space="0"/>
              <w:bottom w:val="single" w:color="auto" w:sz="4" w:space="0"/>
              <w:right w:val="single" w:color="auto" w:sz="4" w:space="0"/>
            </w:tcBorders>
            <w:vAlign w:val="center"/>
          </w:tcPr>
          <w:p w14:paraId="76EB5D15">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职务</w:t>
            </w:r>
          </w:p>
        </w:tc>
        <w:tc>
          <w:tcPr>
            <w:tcW w:w="4670" w:type="dxa"/>
            <w:gridSpan w:val="6"/>
            <w:tcBorders>
              <w:top w:val="single" w:color="auto" w:sz="4" w:space="0"/>
              <w:left w:val="single" w:color="auto" w:sz="4" w:space="0"/>
              <w:bottom w:val="single" w:color="auto" w:sz="4" w:space="0"/>
              <w:right w:val="single" w:color="auto" w:sz="4" w:space="0"/>
            </w:tcBorders>
            <w:vAlign w:val="center"/>
          </w:tcPr>
          <w:p w14:paraId="6E50B89C">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 xml:space="preserve">  </w:t>
            </w:r>
          </w:p>
        </w:tc>
        <w:tc>
          <w:tcPr>
            <w:tcW w:w="1500" w:type="dxa"/>
            <w:gridSpan w:val="2"/>
            <w:tcBorders>
              <w:top w:val="single" w:color="auto" w:sz="4" w:space="0"/>
              <w:left w:val="single" w:color="auto" w:sz="4" w:space="0"/>
              <w:bottom w:val="single" w:color="auto" w:sz="4" w:space="0"/>
              <w:right w:val="single" w:color="auto" w:sz="4" w:space="0"/>
            </w:tcBorders>
            <w:vAlign w:val="center"/>
          </w:tcPr>
          <w:p w14:paraId="6A784A91">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学历</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1A8365B8">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 xml:space="preserve">  </w:t>
            </w:r>
          </w:p>
        </w:tc>
      </w:tr>
      <w:tr w14:paraId="6A13D5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359" w:type="dxa"/>
            <w:gridSpan w:val="3"/>
            <w:tcBorders>
              <w:top w:val="single" w:color="auto" w:sz="4" w:space="0"/>
              <w:left w:val="single" w:color="auto" w:sz="4" w:space="0"/>
              <w:bottom w:val="single" w:color="auto" w:sz="4" w:space="0"/>
              <w:right w:val="single" w:color="auto" w:sz="4" w:space="0"/>
            </w:tcBorders>
            <w:vAlign w:val="center"/>
          </w:tcPr>
          <w:p w14:paraId="122CF6B3">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参加工作时间</w:t>
            </w:r>
          </w:p>
        </w:tc>
        <w:tc>
          <w:tcPr>
            <w:tcW w:w="2063" w:type="dxa"/>
            <w:gridSpan w:val="2"/>
            <w:tcBorders>
              <w:top w:val="single" w:color="auto" w:sz="4" w:space="0"/>
              <w:left w:val="single" w:color="auto" w:sz="4" w:space="0"/>
              <w:bottom w:val="single" w:color="auto" w:sz="4" w:space="0"/>
              <w:right w:val="single" w:color="auto" w:sz="4" w:space="0"/>
            </w:tcBorders>
            <w:vAlign w:val="center"/>
          </w:tcPr>
          <w:p w14:paraId="25878C40">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 xml:space="preserve">  </w:t>
            </w:r>
          </w:p>
        </w:tc>
        <w:tc>
          <w:tcPr>
            <w:tcW w:w="3177" w:type="dxa"/>
            <w:gridSpan w:val="4"/>
            <w:tcBorders>
              <w:top w:val="single" w:color="auto" w:sz="4" w:space="0"/>
              <w:left w:val="single" w:color="auto" w:sz="4" w:space="0"/>
              <w:bottom w:val="single" w:color="auto" w:sz="4" w:space="0"/>
              <w:right w:val="single" w:color="auto" w:sz="4" w:space="0"/>
            </w:tcBorders>
            <w:vAlign w:val="center"/>
          </w:tcPr>
          <w:p w14:paraId="7F22E0DD">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从事该工作时间</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7E76439A">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 xml:space="preserve">  </w:t>
            </w:r>
          </w:p>
        </w:tc>
      </w:tr>
      <w:tr w14:paraId="39B91E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359" w:type="dxa"/>
            <w:gridSpan w:val="3"/>
            <w:tcBorders>
              <w:top w:val="single" w:color="auto" w:sz="4" w:space="0"/>
              <w:left w:val="single" w:color="auto" w:sz="4" w:space="0"/>
              <w:bottom w:val="single" w:color="auto" w:sz="4" w:space="0"/>
              <w:right w:val="single" w:color="auto" w:sz="4" w:space="0"/>
            </w:tcBorders>
            <w:vAlign w:val="center"/>
          </w:tcPr>
          <w:p w14:paraId="23F84345">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职称</w:t>
            </w:r>
          </w:p>
        </w:tc>
        <w:tc>
          <w:tcPr>
            <w:tcW w:w="2063" w:type="dxa"/>
            <w:gridSpan w:val="2"/>
            <w:tcBorders>
              <w:top w:val="single" w:color="auto" w:sz="4" w:space="0"/>
              <w:left w:val="single" w:color="auto" w:sz="4" w:space="0"/>
              <w:bottom w:val="single" w:color="auto" w:sz="4" w:space="0"/>
              <w:right w:val="single" w:color="auto" w:sz="4" w:space="0"/>
            </w:tcBorders>
            <w:vAlign w:val="center"/>
          </w:tcPr>
          <w:p w14:paraId="2659667C">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 xml:space="preserve">  </w:t>
            </w:r>
          </w:p>
        </w:tc>
        <w:tc>
          <w:tcPr>
            <w:tcW w:w="3177" w:type="dxa"/>
            <w:gridSpan w:val="4"/>
            <w:tcBorders>
              <w:top w:val="single" w:color="auto" w:sz="4" w:space="0"/>
              <w:left w:val="single" w:color="auto" w:sz="4" w:space="0"/>
              <w:bottom w:val="single" w:color="auto" w:sz="4" w:space="0"/>
              <w:right w:val="single" w:color="auto" w:sz="4" w:space="0"/>
            </w:tcBorders>
            <w:vAlign w:val="center"/>
          </w:tcPr>
          <w:p w14:paraId="5B7C69BE">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证书编号</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0B051644">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 xml:space="preserve">  </w:t>
            </w:r>
          </w:p>
        </w:tc>
      </w:tr>
      <w:tr w14:paraId="7CF689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9854" w:type="dxa"/>
            <w:gridSpan w:val="11"/>
            <w:tcBorders>
              <w:top w:val="single" w:color="auto" w:sz="4" w:space="0"/>
              <w:left w:val="single" w:color="auto" w:sz="4" w:space="0"/>
              <w:bottom w:val="single" w:color="auto" w:sz="4" w:space="0"/>
              <w:right w:val="single" w:color="auto" w:sz="4" w:space="0"/>
            </w:tcBorders>
            <w:vAlign w:val="center"/>
          </w:tcPr>
          <w:p w14:paraId="7AC5059C">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近三年承担的项目情况一览表</w:t>
            </w:r>
          </w:p>
        </w:tc>
      </w:tr>
      <w:tr w14:paraId="174E4B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6F3F9D3C">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项目名称</w:t>
            </w: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6DDE216D">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委托单位</w:t>
            </w: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5C6EE83C">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合同额</w:t>
            </w: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4552F11D">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验收时间</w:t>
            </w:r>
          </w:p>
        </w:tc>
        <w:tc>
          <w:tcPr>
            <w:tcW w:w="2091" w:type="dxa"/>
            <w:tcBorders>
              <w:top w:val="single" w:color="auto" w:sz="4" w:space="0"/>
              <w:left w:val="single" w:color="auto" w:sz="4" w:space="0"/>
              <w:bottom w:val="single" w:color="auto" w:sz="4" w:space="0"/>
              <w:right w:val="single" w:color="auto" w:sz="4" w:space="0"/>
            </w:tcBorders>
            <w:vAlign w:val="center"/>
          </w:tcPr>
          <w:p w14:paraId="004821F9">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联系人及电话</w:t>
            </w:r>
          </w:p>
        </w:tc>
      </w:tr>
      <w:tr w14:paraId="22331C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3EB72BB5">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01FD53BD">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1B47CBEC">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24A79AA3">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2091" w:type="dxa"/>
            <w:tcBorders>
              <w:top w:val="single" w:color="auto" w:sz="4" w:space="0"/>
              <w:left w:val="single" w:color="auto" w:sz="4" w:space="0"/>
              <w:bottom w:val="single" w:color="auto" w:sz="4" w:space="0"/>
              <w:right w:val="single" w:color="auto" w:sz="4" w:space="0"/>
            </w:tcBorders>
            <w:vAlign w:val="center"/>
          </w:tcPr>
          <w:p w14:paraId="2BFA6C3F">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r>
      <w:tr w14:paraId="4AFDD3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63917E3B">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1411DD40">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0ADED4FF">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0589B3D1">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2091" w:type="dxa"/>
            <w:tcBorders>
              <w:top w:val="single" w:color="auto" w:sz="4" w:space="0"/>
              <w:left w:val="single" w:color="auto" w:sz="4" w:space="0"/>
              <w:bottom w:val="single" w:color="auto" w:sz="4" w:space="0"/>
              <w:right w:val="single" w:color="auto" w:sz="4" w:space="0"/>
            </w:tcBorders>
            <w:vAlign w:val="center"/>
          </w:tcPr>
          <w:p w14:paraId="4A681308">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r>
      <w:tr w14:paraId="3D0542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33136C07">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05D04E4F">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5417E3B7">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7982A8A0">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2091" w:type="dxa"/>
            <w:tcBorders>
              <w:top w:val="single" w:color="auto" w:sz="4" w:space="0"/>
              <w:left w:val="single" w:color="auto" w:sz="4" w:space="0"/>
              <w:bottom w:val="single" w:color="auto" w:sz="4" w:space="0"/>
              <w:right w:val="single" w:color="auto" w:sz="4" w:space="0"/>
            </w:tcBorders>
            <w:vAlign w:val="center"/>
          </w:tcPr>
          <w:p w14:paraId="14FEA99C">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r>
      <w:tr w14:paraId="6CE61B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9854" w:type="dxa"/>
            <w:gridSpan w:val="11"/>
            <w:tcBorders>
              <w:top w:val="single" w:color="auto" w:sz="4" w:space="0"/>
              <w:left w:val="single" w:color="auto" w:sz="4" w:space="0"/>
              <w:bottom w:val="single" w:color="auto" w:sz="4" w:space="0"/>
              <w:right w:val="single" w:color="auto" w:sz="4" w:space="0"/>
            </w:tcBorders>
            <w:vAlign w:val="center"/>
          </w:tcPr>
          <w:p w14:paraId="2EE41E6F">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其他人员情况</w:t>
            </w:r>
          </w:p>
        </w:tc>
      </w:tr>
      <w:tr w14:paraId="65305B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00FEFBB0">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姓名</w:t>
            </w: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694440A9">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学历</w:t>
            </w: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2A035199">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职称</w:t>
            </w: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2FBB7348">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证书编号</w:t>
            </w:r>
          </w:p>
        </w:tc>
        <w:tc>
          <w:tcPr>
            <w:tcW w:w="2091" w:type="dxa"/>
            <w:tcBorders>
              <w:top w:val="single" w:color="auto" w:sz="4" w:space="0"/>
              <w:left w:val="single" w:color="auto" w:sz="4" w:space="0"/>
              <w:bottom w:val="single" w:color="auto" w:sz="4" w:space="0"/>
              <w:right w:val="single" w:color="auto" w:sz="4" w:space="0"/>
            </w:tcBorders>
            <w:vAlign w:val="center"/>
          </w:tcPr>
          <w:p w14:paraId="27C3A453">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从事该工作</w:t>
            </w:r>
          </w:p>
          <w:p w14:paraId="421695B8">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时间</w:t>
            </w:r>
          </w:p>
        </w:tc>
      </w:tr>
      <w:tr w14:paraId="5933E6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3DD9D4C1">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07AFB424">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46C09607">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6066B27C">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2091" w:type="dxa"/>
            <w:tcBorders>
              <w:top w:val="single" w:color="auto" w:sz="4" w:space="0"/>
              <w:left w:val="single" w:color="auto" w:sz="4" w:space="0"/>
              <w:bottom w:val="single" w:color="auto" w:sz="4" w:space="0"/>
              <w:right w:val="single" w:color="auto" w:sz="4" w:space="0"/>
            </w:tcBorders>
            <w:vAlign w:val="center"/>
          </w:tcPr>
          <w:p w14:paraId="4B16236D">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r>
      <w:tr w14:paraId="4FA9BC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6F781E4F">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74A39E9C">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74327B41">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3DB25185">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2091" w:type="dxa"/>
            <w:tcBorders>
              <w:top w:val="single" w:color="auto" w:sz="4" w:space="0"/>
              <w:left w:val="single" w:color="auto" w:sz="4" w:space="0"/>
              <w:bottom w:val="single" w:color="auto" w:sz="4" w:space="0"/>
              <w:right w:val="single" w:color="auto" w:sz="4" w:space="0"/>
            </w:tcBorders>
            <w:vAlign w:val="center"/>
          </w:tcPr>
          <w:p w14:paraId="3B1363F4">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r>
      <w:tr w14:paraId="7972B7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0B176B01">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1356A403">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321AF63E">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0DFDD5BC">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2091" w:type="dxa"/>
            <w:tcBorders>
              <w:top w:val="single" w:color="auto" w:sz="4" w:space="0"/>
              <w:left w:val="single" w:color="auto" w:sz="4" w:space="0"/>
              <w:bottom w:val="single" w:color="auto" w:sz="4" w:space="0"/>
              <w:right w:val="single" w:color="auto" w:sz="4" w:space="0"/>
            </w:tcBorders>
            <w:vAlign w:val="center"/>
          </w:tcPr>
          <w:p w14:paraId="29D56BC4">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r>
      <w:tr w14:paraId="70E68F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6DE2CA1D">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4E191D97">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5E4A5E77">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3A15A91E">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2091" w:type="dxa"/>
            <w:tcBorders>
              <w:top w:val="single" w:color="auto" w:sz="4" w:space="0"/>
              <w:left w:val="single" w:color="auto" w:sz="4" w:space="0"/>
              <w:bottom w:val="single" w:color="auto" w:sz="4" w:space="0"/>
              <w:right w:val="single" w:color="auto" w:sz="4" w:space="0"/>
            </w:tcBorders>
            <w:vAlign w:val="center"/>
          </w:tcPr>
          <w:p w14:paraId="2D251834">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r>
    </w:tbl>
    <w:p w14:paraId="221ED5A5">
      <w:pPr>
        <w:spacing w:line="460" w:lineRule="exact"/>
        <w:ind w:firstLine="240" w:firstLineChars="100"/>
        <w:rPr>
          <w:rFonts w:ascii="仿宋_GB2312" w:hAnsi="仿宋" w:eastAsia="仿宋_GB2312"/>
          <w:color w:val="000000" w:themeColor="text1"/>
          <w:sz w:val="24"/>
          <w:highlight w:val="none"/>
          <w14:textFill>
            <w14:solidFill>
              <w14:schemeClr w14:val="tx1"/>
            </w14:solidFill>
          </w14:textFill>
        </w:rPr>
      </w:pPr>
      <w:r>
        <w:rPr>
          <w:rFonts w:hint="eastAsia" w:ascii="仿宋_GB2312" w:hAnsi="仿宋" w:eastAsia="仿宋_GB2312"/>
          <w:color w:val="000000" w:themeColor="text1"/>
          <w:sz w:val="24"/>
          <w:highlight w:val="none"/>
          <w14:textFill>
            <w14:solidFill>
              <w14:schemeClr w14:val="tx1"/>
            </w14:solidFill>
          </w14:textFill>
        </w:rPr>
        <w:t>注：1、本表可由供应商根据实际情况自行扩展。</w:t>
      </w:r>
    </w:p>
    <w:p w14:paraId="429EE728">
      <w:pPr>
        <w:spacing w:line="460" w:lineRule="exact"/>
        <w:ind w:firstLine="720" w:firstLineChars="300"/>
        <w:rPr>
          <w:rFonts w:ascii="仿宋_GB2312" w:hAnsi="仿宋" w:eastAsia="仿宋_GB2312"/>
          <w:color w:val="000000" w:themeColor="text1"/>
          <w:sz w:val="24"/>
          <w:highlight w:val="none"/>
          <w14:textFill>
            <w14:solidFill>
              <w14:schemeClr w14:val="tx1"/>
            </w14:solidFill>
          </w14:textFill>
        </w:rPr>
      </w:pPr>
      <w:r>
        <w:rPr>
          <w:rFonts w:hint="eastAsia" w:ascii="仿宋_GB2312" w:hAnsi="仿宋" w:eastAsia="仿宋_GB2312"/>
          <w:color w:val="000000" w:themeColor="text1"/>
          <w:sz w:val="24"/>
          <w:highlight w:val="none"/>
          <w14:textFill>
            <w14:solidFill>
              <w14:schemeClr w14:val="tx1"/>
            </w14:solidFill>
          </w14:textFill>
        </w:rPr>
        <w:t>2、表后附拟派人员职业/职称、资格证书等相关证书扫描件。</w:t>
      </w:r>
    </w:p>
    <w:p w14:paraId="7C23B35A">
      <w:pPr>
        <w:spacing w:line="460" w:lineRule="exact"/>
        <w:ind w:firstLine="420" w:firstLineChars="200"/>
        <w:rPr>
          <w:rFonts w:ascii="仿宋_GB2312" w:hAnsi="宋体" w:eastAsia="仿宋_GB2312"/>
          <w:color w:val="000000" w:themeColor="text1"/>
          <w:highlight w:val="none"/>
          <w14:textFill>
            <w14:solidFill>
              <w14:schemeClr w14:val="tx1"/>
            </w14:solidFill>
          </w14:textFill>
        </w:rPr>
      </w:pPr>
    </w:p>
    <w:p w14:paraId="71456824">
      <w:pPr>
        <w:wordWrap w:val="0"/>
        <w:spacing w:line="520" w:lineRule="exact"/>
        <w:ind w:firstLine="3900" w:firstLineChars="1300"/>
        <w:jc w:val="right"/>
        <w:rPr>
          <w:rFonts w:ascii="仿宋_GB2312" w:hAnsi="仿宋" w:eastAsia="仿宋_GB2312"/>
          <w:color w:val="000000" w:themeColor="text1"/>
          <w:sz w:val="30"/>
          <w:szCs w:val="30"/>
          <w:highlight w:val="none"/>
          <w14:textFill>
            <w14:solidFill>
              <w14:schemeClr w14:val="tx1"/>
            </w14:solidFill>
          </w14:textFill>
        </w:rPr>
      </w:pPr>
      <w:r>
        <w:rPr>
          <w:rFonts w:hint="eastAsia" w:ascii="仿宋_GB2312" w:hAnsi="仿宋" w:eastAsia="仿宋_GB2312"/>
          <w:color w:val="000000" w:themeColor="text1"/>
          <w:sz w:val="30"/>
          <w:szCs w:val="30"/>
          <w:highlight w:val="none"/>
          <w14:textFill>
            <w14:solidFill>
              <w14:schemeClr w14:val="tx1"/>
            </w14:solidFill>
          </w14:textFill>
        </w:rPr>
        <w:t xml:space="preserve">   </w:t>
      </w:r>
    </w:p>
    <w:p w14:paraId="02006EDF">
      <w:pPr>
        <w:wordWrap w:val="0"/>
        <w:spacing w:line="560" w:lineRule="exact"/>
        <w:ind w:right="960" w:firstLine="4320" w:firstLineChars="1350"/>
        <w:rPr>
          <w:rFonts w:ascii="仿宋" w:hAnsi="仿宋" w:eastAsia="仿宋"/>
          <w:color w:val="000000" w:themeColor="text1"/>
          <w:sz w:val="32"/>
          <w:szCs w:val="32"/>
          <w:highlight w:val="none"/>
          <w14:textFill>
            <w14:solidFill>
              <w14:schemeClr w14:val="tx1"/>
            </w14:solidFill>
          </w14:textFill>
        </w:rPr>
      </w:pPr>
      <w:r>
        <w:rPr>
          <w:rFonts w:hint="eastAsia" w:ascii="仿宋" w:hAnsi="仿宋" w:eastAsia="仿宋"/>
          <w:color w:val="000000" w:themeColor="text1"/>
          <w:sz w:val="32"/>
          <w:szCs w:val="32"/>
          <w:highlight w:val="none"/>
          <w14:textFill>
            <w14:solidFill>
              <w14:schemeClr w14:val="tx1"/>
            </w14:solidFill>
          </w14:textFill>
        </w:rPr>
        <w:t xml:space="preserve">投标人单位（盖章）： </w:t>
      </w:r>
    </w:p>
    <w:p w14:paraId="25A67924">
      <w:pPr>
        <w:jc w:val="right"/>
        <w:rPr>
          <w:rFonts w:ascii="仿宋" w:hAnsi="仿宋" w:eastAsia="仿宋"/>
          <w:color w:val="000000" w:themeColor="text1"/>
          <w:sz w:val="32"/>
          <w:szCs w:val="32"/>
          <w:highlight w:val="none"/>
          <w14:textFill>
            <w14:solidFill>
              <w14:schemeClr w14:val="tx1"/>
            </w14:solidFill>
          </w14:textFill>
        </w:rPr>
        <w:sectPr>
          <w:pgSz w:w="11906" w:h="16838"/>
          <w:pgMar w:top="1440" w:right="1080" w:bottom="1440" w:left="1080" w:header="851" w:footer="992" w:gutter="0"/>
          <w:cols w:space="425" w:num="1"/>
          <w:docGrid w:type="lines" w:linePitch="312" w:charSpace="0"/>
        </w:sectPr>
      </w:pPr>
      <w:r>
        <w:rPr>
          <w:rFonts w:hint="eastAsia" w:ascii="仿宋" w:hAnsi="仿宋" w:eastAsia="仿宋"/>
          <w:color w:val="000000" w:themeColor="text1"/>
          <w:sz w:val="32"/>
          <w:szCs w:val="32"/>
          <w:highlight w:val="none"/>
          <w14:textFill>
            <w14:solidFill>
              <w14:schemeClr w14:val="tx1"/>
            </w14:solidFill>
          </w14:textFill>
        </w:rPr>
        <w:t>法定代表人（依法登记的负责人）或被授权人（签字或盖章）</w:t>
      </w:r>
    </w:p>
    <w:p w14:paraId="26297DDE">
      <w:pPr>
        <w:pStyle w:val="42"/>
        <w:spacing w:before="0" w:after="0" w:line="360" w:lineRule="auto"/>
        <w:ind w:firstLine="646" w:firstLineChars="201"/>
        <w:rPr>
          <w:rFonts w:ascii="宋体" w:hAnsi="宋体" w:cs="宋体"/>
          <w:color w:val="000000" w:themeColor="text1"/>
          <w:highlight w:val="none"/>
          <w14:textFill>
            <w14:solidFill>
              <w14:schemeClr w14:val="tx1"/>
            </w14:solidFill>
          </w14:textFill>
        </w:rPr>
        <w:sectPr>
          <w:pgSz w:w="11906" w:h="16838"/>
          <w:pgMar w:top="1440" w:right="1080" w:bottom="1440" w:left="1080" w:header="851" w:footer="992" w:gutter="0"/>
          <w:cols w:space="425" w:num="1"/>
          <w:docGrid w:type="lines" w:linePitch="312" w:charSpace="0"/>
        </w:sectPr>
      </w:pPr>
      <w:r>
        <w:rPr>
          <w:rFonts w:hint="eastAsia" w:ascii="宋体" w:hAnsi="宋体" w:cs="宋体"/>
          <w:color w:val="000000" w:themeColor="text1"/>
          <w:highlight w:val="none"/>
          <w14:textFill>
            <w14:solidFill>
              <w14:schemeClr w14:val="tx1"/>
            </w14:solidFill>
          </w14:textFill>
        </w:rPr>
        <w:t>第六章合同书格式</w:t>
      </w:r>
    </w:p>
    <w:p w14:paraId="099F0473">
      <w:pPr>
        <w:pStyle w:val="24"/>
        <w:spacing w:line="360" w:lineRule="exact"/>
        <w:rPr>
          <w:rFonts w:ascii="仿宋" w:hAnsi="仿宋" w:eastAsia="仿宋"/>
          <w:color w:val="000000" w:themeColor="text1"/>
          <w:sz w:val="28"/>
          <w:szCs w:val="28"/>
          <w:highlight w:val="none"/>
          <w14:textFill>
            <w14:solidFill>
              <w14:schemeClr w14:val="tx1"/>
            </w14:solidFill>
          </w14:textFill>
        </w:rPr>
      </w:pPr>
    </w:p>
    <w:p w14:paraId="28422678">
      <w:pPr>
        <w:spacing w:line="360" w:lineRule="auto"/>
        <w:jc w:val="center"/>
        <w:outlineLvl w:val="0"/>
        <w:rPr>
          <w:rFonts w:hint="eastAsia" w:ascii="仿宋" w:eastAsia="仿宋"/>
          <w:b/>
          <w:bCs/>
          <w:color w:val="000000" w:themeColor="text1"/>
          <w:sz w:val="52"/>
          <w:szCs w:val="52"/>
          <w:highlight w:val="none"/>
          <w:lang w:eastAsia="zh-CN"/>
          <w14:textFill>
            <w14:solidFill>
              <w14:schemeClr w14:val="tx1"/>
            </w14:solidFill>
          </w14:textFill>
        </w:rPr>
      </w:pPr>
      <w:r>
        <w:rPr>
          <w:rFonts w:hint="eastAsia" w:ascii="仿宋" w:eastAsia="仿宋"/>
          <w:b/>
          <w:bCs/>
          <w:color w:val="000000" w:themeColor="text1"/>
          <w:sz w:val="52"/>
          <w:szCs w:val="52"/>
          <w:highlight w:val="none"/>
          <w:lang w:eastAsia="zh-CN"/>
          <w14:textFill>
            <w14:solidFill>
              <w14:schemeClr w14:val="tx1"/>
            </w14:solidFill>
          </w14:textFill>
        </w:rPr>
        <w:t>荣成市土地发展集团有限公司</w:t>
      </w:r>
    </w:p>
    <w:p w14:paraId="77F463A3">
      <w:pPr>
        <w:spacing w:line="360" w:lineRule="auto"/>
        <w:jc w:val="center"/>
        <w:outlineLvl w:val="0"/>
        <w:rPr>
          <w:rFonts w:ascii="仿宋" w:eastAsia="仿宋"/>
          <w:b/>
          <w:bCs/>
          <w:color w:val="000000" w:themeColor="text1"/>
          <w:sz w:val="52"/>
          <w:szCs w:val="52"/>
          <w:highlight w:val="none"/>
          <w14:textFill>
            <w14:solidFill>
              <w14:schemeClr w14:val="tx1"/>
            </w14:solidFill>
          </w14:textFill>
        </w:rPr>
      </w:pPr>
      <w:r>
        <w:rPr>
          <w:rFonts w:hint="eastAsia" w:ascii="仿宋" w:eastAsia="仿宋"/>
          <w:b/>
          <w:bCs/>
          <w:color w:val="000000" w:themeColor="text1"/>
          <w:sz w:val="52"/>
          <w:szCs w:val="52"/>
          <w:highlight w:val="none"/>
          <w:lang w:val="en-US" w:eastAsia="zh-CN"/>
          <w14:textFill>
            <w14:solidFill>
              <w14:schemeClr w14:val="tx1"/>
            </w14:solidFill>
          </w14:textFill>
        </w:rPr>
        <w:t>荣成市城市数智化转型与数字生态建设</w:t>
      </w:r>
      <w:r>
        <w:rPr>
          <w:rFonts w:hint="eastAsia" w:ascii="仿宋" w:eastAsia="仿宋"/>
          <w:b/>
          <w:bCs/>
          <w:color w:val="000000" w:themeColor="text1"/>
          <w:sz w:val="52"/>
          <w:szCs w:val="52"/>
          <w:highlight w:val="none"/>
          <w14:textFill>
            <w14:solidFill>
              <w14:schemeClr w14:val="tx1"/>
            </w14:solidFill>
          </w14:textFill>
        </w:rPr>
        <w:t>采购合同</w:t>
      </w:r>
    </w:p>
    <w:p w14:paraId="159BF113">
      <w:pPr>
        <w:spacing w:line="360" w:lineRule="auto"/>
        <w:jc w:val="center"/>
        <w:outlineLvl w:val="0"/>
        <w:rPr>
          <w:rFonts w:ascii="仿宋" w:eastAsia="仿宋"/>
          <w:bCs/>
          <w:color w:val="000000" w:themeColor="text1"/>
          <w:sz w:val="52"/>
          <w:szCs w:val="52"/>
          <w:highlight w:val="none"/>
          <w14:textFill>
            <w14:solidFill>
              <w14:schemeClr w14:val="tx1"/>
            </w14:solidFill>
          </w14:textFill>
        </w:rPr>
      </w:pPr>
    </w:p>
    <w:p w14:paraId="6D6FA2E7">
      <w:pPr>
        <w:spacing w:line="360" w:lineRule="auto"/>
        <w:jc w:val="center"/>
        <w:rPr>
          <w:rFonts w:ascii="仿宋" w:eastAsia="仿宋"/>
          <w:b/>
          <w:color w:val="000000" w:themeColor="text1"/>
          <w:sz w:val="52"/>
          <w:szCs w:val="52"/>
          <w:highlight w:val="none"/>
          <w14:textFill>
            <w14:solidFill>
              <w14:schemeClr w14:val="tx1"/>
            </w14:solidFill>
          </w14:textFill>
        </w:rPr>
      </w:pPr>
    </w:p>
    <w:p w14:paraId="0014AF73">
      <w:pPr>
        <w:spacing w:line="360" w:lineRule="auto"/>
        <w:jc w:val="center"/>
        <w:rPr>
          <w:rFonts w:ascii="仿宋" w:eastAsia="仿宋"/>
          <w:b/>
          <w:color w:val="000000" w:themeColor="text1"/>
          <w:sz w:val="52"/>
          <w:szCs w:val="52"/>
          <w:highlight w:val="none"/>
          <w14:textFill>
            <w14:solidFill>
              <w14:schemeClr w14:val="tx1"/>
            </w14:solidFill>
          </w14:textFill>
        </w:rPr>
      </w:pPr>
    </w:p>
    <w:p w14:paraId="202DB86B">
      <w:pPr>
        <w:rPr>
          <w:rFonts w:ascii="仿宋" w:eastAsia="仿宋"/>
          <w:color w:val="000000" w:themeColor="text1"/>
          <w:sz w:val="32"/>
          <w:szCs w:val="20"/>
          <w:highlight w:val="none"/>
          <w14:textFill>
            <w14:solidFill>
              <w14:schemeClr w14:val="tx1"/>
            </w14:solidFill>
          </w14:textFill>
        </w:rPr>
      </w:pPr>
    </w:p>
    <w:p w14:paraId="39254818">
      <w:pPr>
        <w:rPr>
          <w:rFonts w:ascii="仿宋" w:eastAsia="仿宋"/>
          <w:color w:val="000000" w:themeColor="text1"/>
          <w:sz w:val="32"/>
          <w:szCs w:val="20"/>
          <w:highlight w:val="none"/>
          <w14:textFill>
            <w14:solidFill>
              <w14:schemeClr w14:val="tx1"/>
            </w14:solidFill>
          </w14:textFill>
        </w:rPr>
      </w:pPr>
      <w:r>
        <w:rPr>
          <w:rFonts w:hint="eastAsia" w:ascii="宋体" w:cs="宋体"/>
          <w:color w:val="000000" w:themeColor="text1"/>
          <w:highlight w:val="none"/>
          <w14:textFill>
            <w14:solidFill>
              <w14:schemeClr w14:val="tx1"/>
            </w14:solidFill>
          </w14:textFill>
        </w:rPr>
        <w:t> </w:t>
      </w:r>
    </w:p>
    <w:p w14:paraId="26B89DB6">
      <w:pPr>
        <w:tabs>
          <w:tab w:val="right" w:pos="8312"/>
        </w:tabs>
        <w:spacing w:line="520" w:lineRule="exact"/>
        <w:ind w:firstLine="1911" w:firstLineChars="595"/>
        <w:rPr>
          <w:rFonts w:ascii="仿宋" w:eastAsia="仿宋"/>
          <w:b/>
          <w:color w:val="000000" w:themeColor="text1"/>
          <w:sz w:val="32"/>
          <w:szCs w:val="32"/>
          <w:highlight w:val="none"/>
          <w14:textFill>
            <w14:solidFill>
              <w14:schemeClr w14:val="tx1"/>
            </w14:solidFill>
          </w14:textFill>
        </w:rPr>
      </w:pPr>
    </w:p>
    <w:p w14:paraId="11BF2822">
      <w:pPr>
        <w:tabs>
          <w:tab w:val="right" w:pos="8312"/>
        </w:tabs>
        <w:spacing w:line="520" w:lineRule="exact"/>
        <w:ind w:firstLine="1911" w:firstLineChars="595"/>
        <w:rPr>
          <w:rFonts w:ascii="仿宋" w:eastAsia="仿宋"/>
          <w:b/>
          <w:color w:val="000000" w:themeColor="text1"/>
          <w:sz w:val="32"/>
          <w:szCs w:val="32"/>
          <w:highlight w:val="none"/>
          <w14:textFill>
            <w14:solidFill>
              <w14:schemeClr w14:val="tx1"/>
            </w14:solidFill>
          </w14:textFill>
        </w:rPr>
      </w:pPr>
    </w:p>
    <w:p w14:paraId="4C09E5A9">
      <w:pPr>
        <w:tabs>
          <w:tab w:val="right" w:pos="8312"/>
        </w:tabs>
        <w:spacing w:line="520" w:lineRule="exact"/>
        <w:ind w:firstLine="1911" w:firstLineChars="595"/>
        <w:rPr>
          <w:rFonts w:ascii="仿宋" w:eastAsia="仿宋"/>
          <w:b/>
          <w:color w:val="000000" w:themeColor="text1"/>
          <w:sz w:val="32"/>
          <w:szCs w:val="32"/>
          <w:highlight w:val="none"/>
          <w14:textFill>
            <w14:solidFill>
              <w14:schemeClr w14:val="tx1"/>
            </w14:solidFill>
          </w14:textFill>
        </w:rPr>
      </w:pPr>
    </w:p>
    <w:p w14:paraId="67A669D3">
      <w:pPr>
        <w:spacing w:line="520" w:lineRule="exact"/>
        <w:rPr>
          <w:rFonts w:ascii="仿宋" w:eastAsia="仿宋"/>
          <w:color w:val="000000" w:themeColor="text1"/>
          <w:sz w:val="32"/>
          <w:highlight w:val="none"/>
          <w14:textFill>
            <w14:solidFill>
              <w14:schemeClr w14:val="tx1"/>
            </w14:solidFill>
          </w14:textFill>
        </w:rPr>
      </w:pPr>
      <w:r>
        <w:rPr>
          <w:rFonts w:hint="eastAsia" w:ascii="宋体" w:cs="宋体"/>
          <w:color w:val="000000" w:themeColor="text1"/>
          <w:sz w:val="32"/>
          <w:highlight w:val="none"/>
          <w14:textFill>
            <w14:solidFill>
              <w14:schemeClr w14:val="tx1"/>
            </w14:solidFill>
          </w14:textFill>
        </w:rPr>
        <w:t> </w:t>
      </w:r>
    </w:p>
    <w:p w14:paraId="3E41862A">
      <w:pPr>
        <w:spacing w:line="276" w:lineRule="auto"/>
        <w:ind w:firstLine="1280" w:firstLineChars="400"/>
        <w:rPr>
          <w:rFonts w:hint="eastAsia" w:ascii="仿宋" w:eastAsia="仿宋" w:cs="宋体"/>
          <w:color w:val="000000" w:themeColor="text1"/>
          <w:sz w:val="32"/>
          <w:szCs w:val="32"/>
          <w:highlight w:val="none"/>
          <w:lang w:eastAsia="zh-CN"/>
          <w14:textFill>
            <w14:solidFill>
              <w14:schemeClr w14:val="tx1"/>
            </w14:solidFill>
          </w14:textFill>
        </w:rPr>
      </w:pPr>
      <w:r>
        <w:rPr>
          <w:rFonts w:hint="eastAsia" w:ascii="仿宋" w:eastAsia="仿宋" w:cs="宋体"/>
          <w:color w:val="000000" w:themeColor="text1"/>
          <w:sz w:val="32"/>
          <w:szCs w:val="32"/>
          <w:highlight w:val="none"/>
          <w14:textFill>
            <w14:solidFill>
              <w14:schemeClr w14:val="tx1"/>
            </w14:solidFill>
          </w14:textFill>
        </w:rPr>
        <w:t>采购人：</w:t>
      </w:r>
      <w:r>
        <w:rPr>
          <w:rFonts w:hint="eastAsia" w:ascii="仿宋" w:eastAsia="仿宋" w:cs="宋体"/>
          <w:color w:val="000000" w:themeColor="text1"/>
          <w:sz w:val="32"/>
          <w:szCs w:val="32"/>
          <w:highlight w:val="none"/>
          <w:lang w:eastAsia="zh-CN"/>
          <w14:textFill>
            <w14:solidFill>
              <w14:schemeClr w14:val="tx1"/>
            </w14:solidFill>
          </w14:textFill>
        </w:rPr>
        <w:t>荣成市土地发展集团有限公司</w:t>
      </w:r>
    </w:p>
    <w:p w14:paraId="07DB7923">
      <w:pPr>
        <w:spacing w:line="276" w:lineRule="auto"/>
        <w:ind w:firstLine="1280" w:firstLineChars="400"/>
        <w:rPr>
          <w:rFonts w:ascii="仿宋" w:eastAsia="仿宋" w:cs="宋体"/>
          <w:color w:val="000000" w:themeColor="text1"/>
          <w:sz w:val="32"/>
          <w:szCs w:val="32"/>
          <w:highlight w:val="none"/>
          <w14:textFill>
            <w14:solidFill>
              <w14:schemeClr w14:val="tx1"/>
            </w14:solidFill>
          </w14:textFill>
        </w:rPr>
      </w:pPr>
      <w:r>
        <w:rPr>
          <w:rFonts w:hint="eastAsia" w:ascii="仿宋" w:eastAsia="仿宋" w:cs="宋体"/>
          <w:color w:val="000000" w:themeColor="text1"/>
          <w:sz w:val="32"/>
          <w:szCs w:val="32"/>
          <w:highlight w:val="none"/>
          <w14:textFill>
            <w14:solidFill>
              <w14:schemeClr w14:val="tx1"/>
            </w14:solidFill>
          </w14:textFill>
        </w:rPr>
        <w:t>成交单位：中标人</w:t>
      </w:r>
    </w:p>
    <w:p w14:paraId="137E9E40">
      <w:pPr>
        <w:pStyle w:val="24"/>
        <w:spacing w:line="520" w:lineRule="exact"/>
        <w:ind w:firstLine="1280" w:firstLineChars="400"/>
        <w:rPr>
          <w:rFonts w:hint="eastAsia" w:eastAsia="仿宋"/>
          <w:color w:val="000000" w:themeColor="text1"/>
          <w:sz w:val="32"/>
          <w:szCs w:val="32"/>
          <w:highlight w:val="none"/>
          <w:lang w:eastAsia="zh-CN"/>
          <w14:textFill>
            <w14:solidFill>
              <w14:schemeClr w14:val="tx1"/>
            </w14:solidFill>
          </w14:textFill>
        </w:rPr>
      </w:pPr>
      <w:r>
        <w:rPr>
          <w:rFonts w:hint="eastAsia" w:ascii="仿宋" w:eastAsia="仿宋"/>
          <w:color w:val="000000" w:themeColor="text1"/>
          <w:sz w:val="32"/>
          <w:szCs w:val="32"/>
          <w:highlight w:val="none"/>
          <w14:textFill>
            <w14:solidFill>
              <w14:schemeClr w14:val="tx1"/>
            </w14:solidFill>
          </w14:textFill>
        </w:rPr>
        <w:t>合同编号:</w:t>
      </w:r>
      <w:r>
        <w:rPr>
          <w:rFonts w:hint="eastAsia" w:ascii="仿宋" w:eastAsia="仿宋"/>
          <w:color w:val="000000" w:themeColor="text1"/>
          <w:sz w:val="32"/>
          <w:szCs w:val="32"/>
          <w:highlight w:val="none"/>
          <w:lang w:eastAsia="zh-CN"/>
          <w14:textFill>
            <w14:solidFill>
              <w14:schemeClr w14:val="tx1"/>
            </w14:solidFill>
          </w14:textFill>
        </w:rPr>
        <w:t>RCTDFZ2026-006</w:t>
      </w:r>
    </w:p>
    <w:p w14:paraId="4AB40EF1">
      <w:pPr>
        <w:widowControl/>
        <w:spacing w:line="276" w:lineRule="auto"/>
        <w:jc w:val="left"/>
        <w:rPr>
          <w:rFonts w:ascii="仿宋" w:eastAsia="仿宋"/>
          <w:color w:val="000000" w:themeColor="text1"/>
          <w:sz w:val="32"/>
          <w:szCs w:val="32"/>
          <w:highlight w:val="none"/>
          <w14:textFill>
            <w14:solidFill>
              <w14:schemeClr w14:val="tx1"/>
            </w14:solidFill>
          </w14:textFill>
        </w:rPr>
      </w:pPr>
      <w:r>
        <w:rPr>
          <w:rFonts w:hint="eastAsia" w:ascii="仿宋" w:eastAsia="仿宋"/>
          <w:color w:val="000000" w:themeColor="text1"/>
          <w:sz w:val="32"/>
          <w:szCs w:val="32"/>
          <w:highlight w:val="none"/>
          <w14:textFill>
            <w14:solidFill>
              <w14:schemeClr w14:val="tx1"/>
            </w14:solidFill>
          </w14:textFill>
        </w:rPr>
        <w:t xml:space="preserve">        招标代理机构：山东志诚工程咨询管理有限公司</w:t>
      </w:r>
    </w:p>
    <w:p w14:paraId="54A0E498">
      <w:pPr>
        <w:spacing w:line="276" w:lineRule="auto"/>
        <w:ind w:firstLine="1280" w:firstLineChars="400"/>
        <w:rPr>
          <w:rFonts w:ascii="仿宋" w:eastAsia="仿宋" w:cs="宋体"/>
          <w:color w:val="000000" w:themeColor="text1"/>
          <w:sz w:val="32"/>
          <w:szCs w:val="32"/>
          <w:highlight w:val="none"/>
          <w14:textFill>
            <w14:solidFill>
              <w14:schemeClr w14:val="tx1"/>
            </w14:solidFill>
          </w14:textFill>
        </w:rPr>
      </w:pPr>
      <w:r>
        <w:rPr>
          <w:rFonts w:hint="eastAsia" w:ascii="仿宋" w:eastAsia="仿宋" w:cs="宋体"/>
          <w:color w:val="000000" w:themeColor="text1"/>
          <w:sz w:val="32"/>
          <w:szCs w:val="32"/>
          <w:highlight w:val="none"/>
          <w14:textFill>
            <w14:solidFill>
              <w14:schemeClr w14:val="tx1"/>
            </w14:solidFill>
          </w14:textFill>
        </w:rPr>
        <w:t>签订日期：2026年   月   日</w:t>
      </w:r>
      <w:r>
        <w:rPr>
          <w:rFonts w:hint="eastAsia" w:ascii="宋体" w:cs="宋体"/>
          <w:color w:val="000000" w:themeColor="text1"/>
          <w:sz w:val="32"/>
          <w:szCs w:val="32"/>
          <w:highlight w:val="none"/>
          <w14:textFill>
            <w14:solidFill>
              <w14:schemeClr w14:val="tx1"/>
            </w14:solidFill>
          </w14:textFill>
        </w:rPr>
        <w:t> </w:t>
      </w:r>
    </w:p>
    <w:p w14:paraId="7A99DF75">
      <w:pPr>
        <w:wordWrap w:val="0"/>
        <w:spacing w:line="640" w:lineRule="exact"/>
        <w:ind w:right="560"/>
        <w:jc w:val="right"/>
        <w:rPr>
          <w:rFonts w:ascii="仿宋" w:eastAsia="仿宋"/>
          <w:color w:val="000000" w:themeColor="text1"/>
          <w:sz w:val="28"/>
          <w:szCs w:val="28"/>
          <w:highlight w:val="none"/>
          <w14:textFill>
            <w14:solidFill>
              <w14:schemeClr w14:val="tx1"/>
            </w14:solidFill>
          </w14:textFill>
        </w:rPr>
      </w:pPr>
    </w:p>
    <w:p w14:paraId="52D0E230">
      <w:pPr>
        <w:pStyle w:val="24"/>
        <w:spacing w:line="520" w:lineRule="exact"/>
        <w:jc w:val="center"/>
        <w:rPr>
          <w:rFonts w:ascii="仿宋" w:eastAsia="仿宋"/>
          <w:color w:val="000000" w:themeColor="text1"/>
          <w:sz w:val="28"/>
          <w:szCs w:val="28"/>
          <w:highlight w:val="none"/>
          <w14:textFill>
            <w14:solidFill>
              <w14:schemeClr w14:val="tx1"/>
            </w14:solidFill>
          </w14:textFill>
        </w:rPr>
      </w:pPr>
    </w:p>
    <w:p w14:paraId="31FF054E">
      <w:pPr>
        <w:pStyle w:val="105"/>
        <w:rPr>
          <w:rFonts w:cs="Times New Roman"/>
          <w:b/>
          <w:color w:val="000000" w:themeColor="text1"/>
          <w:kern w:val="2"/>
          <w:sz w:val="36"/>
          <w:szCs w:val="36"/>
          <w:highlight w:val="none"/>
          <w14:textFill>
            <w14:solidFill>
              <w14:schemeClr w14:val="tx1"/>
            </w14:solidFill>
          </w14:textFill>
        </w:rPr>
      </w:pPr>
    </w:p>
    <w:p w14:paraId="3A66B3E8">
      <w:pPr>
        <w:spacing w:line="600" w:lineRule="exact"/>
        <w:jc w:val="center"/>
        <w:rPr>
          <w:rFonts w:ascii="宋体" w:hAnsi="宋体"/>
          <w:color w:val="000000" w:themeColor="text1"/>
          <w:sz w:val="32"/>
          <w:szCs w:val="32"/>
          <w:highlight w:val="none"/>
          <w14:textFill>
            <w14:solidFill>
              <w14:schemeClr w14:val="tx1"/>
            </w14:solidFill>
          </w14:textFill>
        </w:rPr>
      </w:pPr>
      <w:r>
        <w:rPr>
          <w:rFonts w:ascii="宋体" w:hAnsi="宋体"/>
          <w:b/>
          <w:bCs/>
          <w:color w:val="000000" w:themeColor="text1"/>
          <w:sz w:val="44"/>
          <w:szCs w:val="44"/>
          <w:highlight w:val="none"/>
          <w14:textFill>
            <w14:solidFill>
              <w14:schemeClr w14:val="tx1"/>
            </w14:solidFill>
          </w14:textFill>
        </w:rPr>
        <w:br w:type="page"/>
      </w:r>
      <w:r>
        <w:rPr>
          <w:rFonts w:hint="eastAsia" w:ascii="宋体" w:hAnsi="宋体"/>
          <w:b/>
          <w:bCs/>
          <w:color w:val="000000" w:themeColor="text1"/>
          <w:sz w:val="32"/>
          <w:szCs w:val="32"/>
          <w:highlight w:val="none"/>
          <w14:textFill>
            <w14:solidFill>
              <w14:schemeClr w14:val="tx1"/>
            </w14:solidFill>
          </w14:textFill>
        </w:rPr>
        <w:t>合 同 书</w:t>
      </w:r>
    </w:p>
    <w:p w14:paraId="5C21C2AB">
      <w:pPr>
        <w:spacing w:line="600" w:lineRule="exact"/>
        <w:rPr>
          <w:rFonts w:ascii="仿宋_GB2312" w:hAnsi="宋体" w:eastAsia="仿宋_GB2312"/>
          <w:color w:val="000000" w:themeColor="text1"/>
          <w:sz w:val="28"/>
          <w:szCs w:val="28"/>
          <w:highlight w:val="none"/>
          <w14:textFill>
            <w14:solidFill>
              <w14:schemeClr w14:val="tx1"/>
            </w14:solidFill>
          </w14:textFill>
        </w:rPr>
      </w:pPr>
    </w:p>
    <w:p w14:paraId="1BA9EE37">
      <w:pPr>
        <w:pStyle w:val="404"/>
        <w:spacing w:line="520" w:lineRule="exact"/>
        <w:ind w:left="105" w:hanging="105"/>
        <w:rPr>
          <w:rStyle w:val="337"/>
          <w:rFonts w:hint="eastAsia" w:ascii="仿宋" w:eastAsia="仿宋"/>
          <w:color w:val="000000" w:themeColor="text1"/>
          <w:sz w:val="28"/>
          <w:szCs w:val="28"/>
          <w:highlight w:val="none"/>
          <w:lang w:eastAsia="zh-CN"/>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甲方：</w:t>
      </w:r>
      <w:r>
        <w:rPr>
          <w:rFonts w:hint="eastAsia" w:ascii="仿宋" w:eastAsia="仿宋"/>
          <w:color w:val="000000" w:themeColor="text1"/>
          <w:sz w:val="28"/>
          <w:szCs w:val="28"/>
          <w:highlight w:val="none"/>
          <w:u w:val="single" w:color="000000"/>
          <w:lang w:eastAsia="zh-CN"/>
          <w14:textFill>
            <w14:solidFill>
              <w14:schemeClr w14:val="tx1"/>
            </w14:solidFill>
          </w14:textFill>
        </w:rPr>
        <w:t>荣成市土地发展集团有限公司</w:t>
      </w:r>
    </w:p>
    <w:p w14:paraId="4B0BA60C">
      <w:pPr>
        <w:pStyle w:val="404"/>
        <w:spacing w:line="520" w:lineRule="exact"/>
        <w:ind w:left="105" w:hanging="105"/>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乙方：</w:t>
      </w:r>
      <w:r>
        <w:rPr>
          <w:rStyle w:val="337"/>
          <w:rFonts w:hint="eastAsia" w:ascii="仿宋" w:eastAsia="仿宋"/>
          <w:color w:val="000000" w:themeColor="text1"/>
          <w:sz w:val="28"/>
          <w:szCs w:val="28"/>
          <w:highlight w:val="none"/>
          <w:u w:val="single" w:color="000000"/>
          <w14:textFill>
            <w14:solidFill>
              <w14:schemeClr w14:val="tx1"/>
            </w14:solidFill>
          </w14:textFill>
        </w:rPr>
        <w:t>中标人</w:t>
      </w:r>
      <w:r>
        <w:rPr>
          <w:rStyle w:val="337"/>
          <w:rFonts w:ascii="仿宋" w:eastAsia="仿宋"/>
          <w:color w:val="000000" w:themeColor="text1"/>
          <w:sz w:val="28"/>
          <w:szCs w:val="28"/>
          <w:highlight w:val="none"/>
          <w:u w:val="single" w:color="000000"/>
          <w14:textFill>
            <w14:solidFill>
              <w14:schemeClr w14:val="tx1"/>
            </w14:solidFill>
          </w14:textFill>
        </w:rPr>
        <w:t xml:space="preserve">                </w:t>
      </w:r>
    </w:p>
    <w:p w14:paraId="463FFB2F">
      <w:pPr>
        <w:pStyle w:val="404"/>
        <w:spacing w:line="520" w:lineRule="exact"/>
        <w:ind w:firstLine="567"/>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本合同于202</w:t>
      </w:r>
      <w:r>
        <w:rPr>
          <w:rStyle w:val="337"/>
          <w:rFonts w:hint="eastAsia" w:ascii="仿宋" w:eastAsia="仿宋"/>
          <w:color w:val="000000" w:themeColor="text1"/>
          <w:sz w:val="28"/>
          <w:szCs w:val="28"/>
          <w:highlight w:val="none"/>
          <w14:textFill>
            <w14:solidFill>
              <w14:schemeClr w14:val="tx1"/>
            </w14:solidFill>
          </w14:textFill>
        </w:rPr>
        <w:t>6</w:t>
      </w:r>
      <w:r>
        <w:rPr>
          <w:rStyle w:val="337"/>
          <w:rFonts w:ascii="仿宋" w:eastAsia="仿宋"/>
          <w:color w:val="000000" w:themeColor="text1"/>
          <w:sz w:val="28"/>
          <w:szCs w:val="28"/>
          <w:highlight w:val="none"/>
          <w14:textFill>
            <w14:solidFill>
              <w14:schemeClr w14:val="tx1"/>
            </w14:solidFill>
          </w14:textFill>
        </w:rPr>
        <w:t>年  月  日，由甲、乙双方共同签订。甲方为</w:t>
      </w:r>
      <w:r>
        <w:rPr>
          <w:rStyle w:val="337"/>
          <w:rFonts w:hint="eastAsia" w:ascii="仿宋" w:eastAsia="仿宋"/>
          <w:color w:val="000000" w:themeColor="text1"/>
          <w:sz w:val="28"/>
          <w:szCs w:val="28"/>
          <w:highlight w:val="none"/>
          <w:lang w:eastAsia="zh-CN"/>
          <w14:textFill>
            <w14:solidFill>
              <w14:schemeClr w14:val="tx1"/>
            </w14:solidFill>
          </w14:textFill>
        </w:rPr>
        <w:t>荣成市土地发展集团有限公司</w:t>
      </w:r>
      <w:r>
        <w:rPr>
          <w:rStyle w:val="337"/>
          <w:rFonts w:ascii="仿宋" w:eastAsia="仿宋"/>
          <w:color w:val="000000" w:themeColor="text1"/>
          <w:sz w:val="28"/>
          <w:szCs w:val="28"/>
          <w:highlight w:val="none"/>
          <w14:textFill>
            <w14:solidFill>
              <w14:schemeClr w14:val="tx1"/>
            </w14:solidFill>
          </w14:textFill>
        </w:rPr>
        <w:t>、乙方为成交供应商。合同双方依据《中华人民共和国民法典》及相关法律法规的规定，就采购项目的相关事宜，协商一致，达成以下条款：</w:t>
      </w:r>
    </w:p>
    <w:p w14:paraId="5C84414F">
      <w:pPr>
        <w:pStyle w:val="404"/>
        <w:spacing w:line="520" w:lineRule="exact"/>
        <w:ind w:firstLine="551" w:firstLineChars="196"/>
        <w:rPr>
          <w:rStyle w:val="337"/>
          <w:rFonts w:ascii="仿宋" w:eastAsia="仿宋"/>
          <w:b/>
          <w:color w:val="000000" w:themeColor="text1"/>
          <w:sz w:val="28"/>
          <w:szCs w:val="28"/>
          <w:highlight w:val="none"/>
          <w14:textFill>
            <w14:solidFill>
              <w14:schemeClr w14:val="tx1"/>
            </w14:solidFill>
          </w14:textFill>
        </w:rPr>
      </w:pPr>
      <w:r>
        <w:rPr>
          <w:rStyle w:val="337"/>
          <w:rFonts w:ascii="仿宋" w:eastAsia="仿宋"/>
          <w:b/>
          <w:color w:val="000000" w:themeColor="text1"/>
          <w:sz w:val="28"/>
          <w:szCs w:val="28"/>
          <w:highlight w:val="none"/>
          <w14:textFill>
            <w14:solidFill>
              <w14:schemeClr w14:val="tx1"/>
            </w14:solidFill>
          </w14:textFill>
        </w:rPr>
        <w:t>一、合同的组成部分：</w:t>
      </w:r>
    </w:p>
    <w:p w14:paraId="23A69F64">
      <w:pPr>
        <w:spacing w:line="480" w:lineRule="exact"/>
        <w:ind w:firstLine="557" w:firstLineChars="199"/>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1.本合同书</w:t>
      </w:r>
    </w:p>
    <w:p w14:paraId="0ABDB258">
      <w:pPr>
        <w:spacing w:line="480" w:lineRule="exact"/>
        <w:ind w:firstLine="557" w:firstLineChars="199"/>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2.</w:t>
      </w:r>
      <w:r>
        <w:rPr>
          <w:rStyle w:val="337"/>
          <w:rFonts w:hint="eastAsia" w:ascii="仿宋" w:eastAsia="仿宋"/>
          <w:color w:val="000000" w:themeColor="text1"/>
          <w:sz w:val="28"/>
          <w:szCs w:val="28"/>
          <w:highlight w:val="none"/>
          <w14:textFill>
            <w14:solidFill>
              <w14:schemeClr w14:val="tx1"/>
            </w14:solidFill>
          </w14:textFill>
        </w:rPr>
        <w:t>中标</w:t>
      </w:r>
      <w:r>
        <w:rPr>
          <w:rStyle w:val="337"/>
          <w:rFonts w:ascii="仿宋" w:eastAsia="仿宋"/>
          <w:color w:val="000000" w:themeColor="text1"/>
          <w:sz w:val="28"/>
          <w:szCs w:val="28"/>
          <w:highlight w:val="none"/>
          <w14:textFill>
            <w14:solidFill>
              <w14:schemeClr w14:val="tx1"/>
            </w14:solidFill>
          </w14:textFill>
        </w:rPr>
        <w:t>通知书</w:t>
      </w:r>
    </w:p>
    <w:p w14:paraId="2A0BA7B7">
      <w:pPr>
        <w:spacing w:line="480" w:lineRule="exact"/>
        <w:ind w:firstLine="560"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3.</w:t>
      </w:r>
      <w:r>
        <w:rPr>
          <w:rFonts w:hint="eastAsia" w:ascii="仿宋" w:eastAsia="仿宋"/>
          <w:color w:val="000000" w:themeColor="text1"/>
          <w:sz w:val="32"/>
          <w:szCs w:val="32"/>
          <w:highlight w:val="none"/>
          <w14:textFill>
            <w14:solidFill>
              <w14:schemeClr w14:val="tx1"/>
            </w14:solidFill>
          </w14:textFill>
        </w:rPr>
        <w:t xml:space="preserve"> </w:t>
      </w:r>
      <w:r>
        <w:rPr>
          <w:rFonts w:hint="eastAsia" w:ascii="仿宋" w:eastAsia="仿宋"/>
          <w:color w:val="000000" w:themeColor="text1"/>
          <w:sz w:val="28"/>
          <w:szCs w:val="28"/>
          <w:highlight w:val="none"/>
          <w:lang w:eastAsia="zh-CN"/>
          <w14:textFill>
            <w14:solidFill>
              <w14:schemeClr w14:val="tx1"/>
            </w14:solidFill>
          </w14:textFill>
        </w:rPr>
        <w:t>RCTDFZ2026-006</w:t>
      </w:r>
      <w:r>
        <w:rPr>
          <w:rStyle w:val="337"/>
          <w:rFonts w:ascii="仿宋" w:eastAsia="仿宋"/>
          <w:color w:val="000000" w:themeColor="text1"/>
          <w:sz w:val="28"/>
          <w:szCs w:val="28"/>
          <w:highlight w:val="none"/>
          <w14:textFill>
            <w14:solidFill>
              <w14:schemeClr w14:val="tx1"/>
            </w14:solidFill>
          </w14:textFill>
        </w:rPr>
        <w:t>招标文件</w:t>
      </w:r>
    </w:p>
    <w:p w14:paraId="4A59F4AF">
      <w:pPr>
        <w:spacing w:line="480" w:lineRule="exact"/>
        <w:ind w:firstLine="560"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4.乙方的投标文件</w:t>
      </w:r>
    </w:p>
    <w:p w14:paraId="14DCB4C1">
      <w:pPr>
        <w:spacing w:line="480" w:lineRule="exact"/>
        <w:ind w:firstLine="560"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5.乙方在评审过程中澄清的文件</w:t>
      </w:r>
    </w:p>
    <w:p w14:paraId="148C0645">
      <w:pPr>
        <w:spacing w:line="480" w:lineRule="exact"/>
        <w:ind w:firstLine="560"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上述文件相互补充，合同双方必须予以遵守执行。若有不明确或不一致之处，以上列次序在先者为准。</w:t>
      </w:r>
    </w:p>
    <w:p w14:paraId="477C3323">
      <w:pPr>
        <w:pStyle w:val="404"/>
        <w:tabs>
          <w:tab w:val="left" w:pos="900"/>
        </w:tabs>
        <w:spacing w:line="520" w:lineRule="exact"/>
        <w:ind w:firstLine="551" w:firstLineChars="196"/>
        <w:rPr>
          <w:rStyle w:val="337"/>
          <w:rFonts w:ascii="仿宋" w:eastAsia="仿宋"/>
          <w:b/>
          <w:color w:val="000000" w:themeColor="text1"/>
          <w:sz w:val="28"/>
          <w:szCs w:val="28"/>
          <w:highlight w:val="none"/>
          <w14:textFill>
            <w14:solidFill>
              <w14:schemeClr w14:val="tx1"/>
            </w14:solidFill>
          </w14:textFill>
        </w:rPr>
      </w:pPr>
      <w:r>
        <w:rPr>
          <w:rStyle w:val="337"/>
          <w:rFonts w:ascii="仿宋" w:eastAsia="仿宋"/>
          <w:b/>
          <w:color w:val="000000" w:themeColor="text1"/>
          <w:sz w:val="28"/>
          <w:szCs w:val="28"/>
          <w:highlight w:val="none"/>
          <w14:textFill>
            <w14:solidFill>
              <w14:schemeClr w14:val="tx1"/>
            </w14:solidFill>
          </w14:textFill>
        </w:rPr>
        <w:t>二、标的物及数量</w:t>
      </w:r>
    </w:p>
    <w:p w14:paraId="75AED2D1">
      <w:pPr>
        <w:pStyle w:val="404"/>
        <w:tabs>
          <w:tab w:val="left" w:pos="900"/>
        </w:tabs>
        <w:spacing w:line="480" w:lineRule="exact"/>
        <w:ind w:firstLine="560"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本合同标的物为</w:t>
      </w:r>
      <w:r>
        <w:rPr>
          <w:rStyle w:val="337"/>
          <w:rFonts w:ascii="仿宋" w:eastAsia="仿宋"/>
          <w:color w:val="000000" w:themeColor="text1"/>
          <w:sz w:val="28"/>
          <w:szCs w:val="28"/>
          <w:highlight w:val="none"/>
          <w:u w:val="single" w:color="000000"/>
          <w14:textFill>
            <w14:solidFill>
              <w14:schemeClr w14:val="tx1"/>
            </w14:solidFill>
          </w14:textFill>
        </w:rPr>
        <w:t xml:space="preserve">         采购项目</w:t>
      </w:r>
      <w:r>
        <w:rPr>
          <w:rStyle w:val="337"/>
          <w:rFonts w:ascii="仿宋" w:eastAsia="仿宋"/>
          <w:color w:val="000000" w:themeColor="text1"/>
          <w:sz w:val="28"/>
          <w:szCs w:val="28"/>
          <w:highlight w:val="none"/>
          <w14:textFill>
            <w14:solidFill>
              <w14:schemeClr w14:val="tx1"/>
            </w14:solidFill>
          </w14:textFill>
        </w:rPr>
        <w:t>。型号、规格、数量、技术参数等详见《》。</w:t>
      </w:r>
    </w:p>
    <w:p w14:paraId="19BA6083">
      <w:pPr>
        <w:pStyle w:val="404"/>
        <w:tabs>
          <w:tab w:val="left" w:pos="60"/>
        </w:tabs>
        <w:spacing w:line="520" w:lineRule="exact"/>
        <w:ind w:firstLine="565" w:firstLineChars="201"/>
        <w:rPr>
          <w:rStyle w:val="337"/>
          <w:rFonts w:ascii="仿宋" w:eastAsia="仿宋"/>
          <w:b/>
          <w:color w:val="000000" w:themeColor="text1"/>
          <w:sz w:val="28"/>
          <w:szCs w:val="28"/>
          <w:highlight w:val="none"/>
          <w14:textFill>
            <w14:solidFill>
              <w14:schemeClr w14:val="tx1"/>
            </w14:solidFill>
          </w14:textFill>
        </w:rPr>
      </w:pPr>
      <w:r>
        <w:rPr>
          <w:rStyle w:val="337"/>
          <w:rFonts w:ascii="仿宋" w:eastAsia="仿宋"/>
          <w:b/>
          <w:color w:val="000000" w:themeColor="text1"/>
          <w:sz w:val="28"/>
          <w:szCs w:val="28"/>
          <w:highlight w:val="none"/>
          <w14:textFill>
            <w14:solidFill>
              <w14:schemeClr w14:val="tx1"/>
            </w14:solidFill>
          </w14:textFill>
        </w:rPr>
        <w:t>三、价款</w:t>
      </w:r>
    </w:p>
    <w:p w14:paraId="18745336">
      <w:pPr>
        <w:pStyle w:val="404"/>
        <w:tabs>
          <w:tab w:val="left" w:pos="900"/>
        </w:tabs>
        <w:spacing w:line="480" w:lineRule="exact"/>
        <w:ind w:firstLine="560"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本合同总价款为人民币</w:t>
      </w:r>
      <w:r>
        <w:rPr>
          <w:rStyle w:val="337"/>
          <w:rFonts w:ascii="仿宋" w:eastAsia="仿宋"/>
          <w:color w:val="000000" w:themeColor="text1"/>
          <w:sz w:val="28"/>
          <w:szCs w:val="28"/>
          <w:highlight w:val="none"/>
          <w:u w:val="single" w:color="000000"/>
          <w14:textFill>
            <w14:solidFill>
              <w14:schemeClr w14:val="tx1"/>
            </w14:solidFill>
          </w14:textFill>
        </w:rPr>
        <w:t xml:space="preserve">   拾  万   仟佰  元  角  分</w:t>
      </w:r>
      <w:r>
        <w:rPr>
          <w:rStyle w:val="337"/>
          <w:rFonts w:ascii="仿宋" w:eastAsia="仿宋"/>
          <w:color w:val="000000" w:themeColor="text1"/>
          <w:sz w:val="28"/>
          <w:szCs w:val="28"/>
          <w:highlight w:val="none"/>
          <w14:textFill>
            <w14:solidFill>
              <w14:schemeClr w14:val="tx1"/>
            </w14:solidFill>
          </w14:textFill>
        </w:rPr>
        <w:t>（￥元）。单价或价格构成情况详见《》。</w:t>
      </w:r>
    </w:p>
    <w:p w14:paraId="5AF8DA45">
      <w:pPr>
        <w:pStyle w:val="404"/>
        <w:tabs>
          <w:tab w:val="left" w:pos="900"/>
        </w:tabs>
        <w:spacing w:line="520" w:lineRule="exact"/>
        <w:ind w:firstLine="567"/>
        <w:rPr>
          <w:rStyle w:val="337"/>
          <w:rFonts w:ascii="仿宋" w:eastAsia="仿宋"/>
          <w:b/>
          <w:bCs/>
          <w:color w:val="000000" w:themeColor="text1"/>
          <w:sz w:val="28"/>
          <w:szCs w:val="28"/>
          <w:highlight w:val="none"/>
          <w14:textFill>
            <w14:solidFill>
              <w14:schemeClr w14:val="tx1"/>
            </w14:solidFill>
          </w14:textFill>
        </w:rPr>
      </w:pPr>
      <w:r>
        <w:rPr>
          <w:rStyle w:val="337"/>
          <w:rFonts w:ascii="仿宋" w:eastAsia="仿宋"/>
          <w:b/>
          <w:bCs/>
          <w:color w:val="000000" w:themeColor="text1"/>
          <w:sz w:val="28"/>
          <w:szCs w:val="28"/>
          <w:highlight w:val="none"/>
          <w14:textFill>
            <w14:solidFill>
              <w14:schemeClr w14:val="tx1"/>
            </w14:solidFill>
          </w14:textFill>
        </w:rPr>
        <w:t>四、质量及专利权：</w:t>
      </w:r>
    </w:p>
    <w:p w14:paraId="5EE4E8DC">
      <w:pPr>
        <w:pStyle w:val="404"/>
        <w:spacing w:line="500" w:lineRule="exact"/>
        <w:ind w:firstLine="560"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1.乙方所报产品技术参数或质量指标必须符合</w:t>
      </w:r>
      <w:r>
        <w:rPr>
          <w:rFonts w:hint="eastAsia" w:ascii="仿宋" w:eastAsia="仿宋"/>
          <w:color w:val="000000" w:themeColor="text1"/>
          <w:sz w:val="28"/>
          <w:szCs w:val="28"/>
          <w:highlight w:val="none"/>
          <w:lang w:eastAsia="zh-CN"/>
          <w14:textFill>
            <w14:solidFill>
              <w14:schemeClr w14:val="tx1"/>
            </w14:solidFill>
          </w14:textFill>
        </w:rPr>
        <w:t>RCTDFZ2026-006</w:t>
      </w:r>
      <w:r>
        <w:rPr>
          <w:rStyle w:val="337"/>
          <w:rFonts w:ascii="仿宋" w:eastAsia="仿宋"/>
          <w:color w:val="000000" w:themeColor="text1"/>
          <w:sz w:val="28"/>
          <w:szCs w:val="28"/>
          <w:highlight w:val="none"/>
          <w14:textFill>
            <w14:solidFill>
              <w14:schemeClr w14:val="tx1"/>
            </w14:solidFill>
          </w14:textFill>
        </w:rPr>
        <w:t>招标文件的要求及乙方投标文件的承诺。</w:t>
      </w:r>
    </w:p>
    <w:p w14:paraId="7C8523E6">
      <w:pPr>
        <w:pStyle w:val="404"/>
        <w:spacing w:line="520" w:lineRule="exact"/>
        <w:ind w:firstLine="560"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2.乙方不但应保证甲方在中华人民共和国境内使用其提供的标的物或标的物的任何一部分，免受第三方提起的侵犯其专利权、商标权、著作权或其他产权纠纷，乙方还应当保证对其所供货物享有合法完整的产权（包括但不限于专利权、商标权、著作权等在内的相关权利），否则由乙方承担一切法律责任。</w:t>
      </w:r>
    </w:p>
    <w:p w14:paraId="1D591D68">
      <w:pPr>
        <w:spacing w:line="520" w:lineRule="exact"/>
        <w:ind w:firstLine="567"/>
        <w:rPr>
          <w:rStyle w:val="337"/>
          <w:rFonts w:ascii="仿宋" w:eastAsia="仿宋"/>
          <w:b/>
          <w:color w:val="000000" w:themeColor="text1"/>
          <w:sz w:val="28"/>
          <w:szCs w:val="28"/>
          <w:highlight w:val="none"/>
          <w14:textFill>
            <w14:solidFill>
              <w14:schemeClr w14:val="tx1"/>
            </w14:solidFill>
          </w14:textFill>
        </w:rPr>
      </w:pPr>
      <w:r>
        <w:rPr>
          <w:rStyle w:val="337"/>
          <w:rFonts w:ascii="仿宋" w:eastAsia="仿宋"/>
          <w:b/>
          <w:color w:val="000000" w:themeColor="text1"/>
          <w:sz w:val="28"/>
          <w:szCs w:val="28"/>
          <w:highlight w:val="none"/>
          <w14:textFill>
            <w14:solidFill>
              <w14:schemeClr w14:val="tx1"/>
            </w14:solidFill>
          </w14:textFill>
        </w:rPr>
        <w:t>五、</w:t>
      </w:r>
      <w:r>
        <w:rPr>
          <w:rStyle w:val="337"/>
          <w:rFonts w:hint="eastAsia" w:ascii="仿宋" w:eastAsia="仿宋"/>
          <w:b/>
          <w:bCs/>
          <w:color w:val="000000" w:themeColor="text1"/>
          <w:sz w:val="28"/>
          <w:szCs w:val="28"/>
          <w:highlight w:val="none"/>
          <w14:textFill>
            <w14:solidFill>
              <w14:schemeClr w14:val="tx1"/>
            </w14:solidFill>
          </w14:textFill>
        </w:rPr>
        <w:t>交付</w:t>
      </w:r>
      <w:r>
        <w:rPr>
          <w:rStyle w:val="337"/>
          <w:rFonts w:ascii="仿宋" w:eastAsia="仿宋"/>
          <w:b/>
          <w:bCs/>
          <w:color w:val="000000" w:themeColor="text1"/>
          <w:sz w:val="28"/>
          <w:szCs w:val="28"/>
          <w:highlight w:val="none"/>
          <w14:textFill>
            <w14:solidFill>
              <w14:schemeClr w14:val="tx1"/>
            </w14:solidFill>
          </w14:textFill>
        </w:rPr>
        <w:t>地点及联系方式</w:t>
      </w:r>
      <w:r>
        <w:rPr>
          <w:rStyle w:val="337"/>
          <w:rFonts w:ascii="仿宋" w:eastAsia="仿宋"/>
          <w:b/>
          <w:color w:val="000000" w:themeColor="text1"/>
          <w:sz w:val="28"/>
          <w:szCs w:val="28"/>
          <w:highlight w:val="none"/>
          <w14:textFill>
            <w14:solidFill>
              <w14:schemeClr w14:val="tx1"/>
            </w14:solidFill>
          </w14:textFill>
        </w:rPr>
        <w:t>：</w:t>
      </w:r>
    </w:p>
    <w:p w14:paraId="5EAEE4BD">
      <w:pPr>
        <w:spacing w:line="520" w:lineRule="exact"/>
        <w:ind w:firstLine="560" w:firstLineChars="200"/>
        <w:rPr>
          <w:rStyle w:val="337"/>
          <w:rFonts w:ascii="仿宋" w:eastAsia="仿宋"/>
          <w:color w:val="000000" w:themeColor="text1"/>
          <w:sz w:val="28"/>
          <w:szCs w:val="28"/>
          <w:highlight w:val="none"/>
          <w14:textFill>
            <w14:solidFill>
              <w14:schemeClr w14:val="tx1"/>
            </w14:solidFill>
          </w14:textFill>
        </w:rPr>
      </w:pPr>
      <w:r>
        <w:rPr>
          <w:rStyle w:val="337"/>
          <w:rFonts w:hint="eastAsia" w:ascii="仿宋" w:eastAsia="仿宋"/>
          <w:color w:val="000000" w:themeColor="text1"/>
          <w:sz w:val="28"/>
          <w:szCs w:val="28"/>
          <w:highlight w:val="none"/>
          <w14:textFill>
            <w14:solidFill>
              <w14:schemeClr w14:val="tx1"/>
            </w14:solidFill>
          </w14:textFill>
        </w:rPr>
        <w:t>甲方</w:t>
      </w:r>
      <w:r>
        <w:rPr>
          <w:rStyle w:val="337"/>
          <w:rFonts w:ascii="仿宋" w:eastAsia="仿宋"/>
          <w:color w:val="000000" w:themeColor="text1"/>
          <w:sz w:val="28"/>
          <w:szCs w:val="28"/>
          <w:highlight w:val="none"/>
          <w14:textFill>
            <w14:solidFill>
              <w14:schemeClr w14:val="tx1"/>
            </w14:solidFill>
          </w14:textFill>
        </w:rPr>
        <w:t>地点（根据实际情况列明）：</w:t>
      </w:r>
      <w:r>
        <w:rPr>
          <w:rStyle w:val="337"/>
          <w:rFonts w:ascii="仿宋" w:eastAsia="仿宋"/>
          <w:color w:val="000000" w:themeColor="text1"/>
          <w:kern w:val="0"/>
          <w:sz w:val="28"/>
          <w:szCs w:val="28"/>
          <w:highlight w:val="none"/>
          <w14:textFill>
            <w14:solidFill>
              <w14:schemeClr w14:val="tx1"/>
            </w14:solidFill>
          </w14:textFill>
        </w:rPr>
        <w:t>或甲方指定地点</w:t>
      </w:r>
      <w:r>
        <w:rPr>
          <w:rStyle w:val="337"/>
          <w:rFonts w:ascii="仿宋" w:eastAsia="仿宋"/>
          <w:color w:val="000000" w:themeColor="text1"/>
          <w:sz w:val="28"/>
          <w:szCs w:val="28"/>
          <w:highlight w:val="none"/>
          <w14:textFill>
            <w14:solidFill>
              <w14:schemeClr w14:val="tx1"/>
            </w14:solidFill>
          </w14:textFill>
        </w:rPr>
        <w:t>。</w:t>
      </w:r>
    </w:p>
    <w:p w14:paraId="3A98C10A">
      <w:pPr>
        <w:spacing w:line="520" w:lineRule="exact"/>
        <w:ind w:firstLine="560"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甲方指定联系人：</w:t>
      </w:r>
      <w:r>
        <w:rPr>
          <w:rStyle w:val="337"/>
          <w:rFonts w:ascii="仿宋" w:eastAsia="仿宋"/>
          <w:color w:val="000000" w:themeColor="text1"/>
          <w:sz w:val="28"/>
          <w:szCs w:val="28"/>
          <w:highlight w:val="none"/>
          <w:u w:val="single" w:color="000000"/>
          <w14:textFill>
            <w14:solidFill>
              <w14:schemeClr w14:val="tx1"/>
            </w14:solidFill>
          </w14:textFill>
        </w:rPr>
        <w:t>　　　　</w:t>
      </w:r>
      <w:r>
        <w:rPr>
          <w:rStyle w:val="337"/>
          <w:rFonts w:ascii="仿宋" w:eastAsia="仿宋"/>
          <w:color w:val="000000" w:themeColor="text1"/>
          <w:sz w:val="28"/>
          <w:szCs w:val="28"/>
          <w:highlight w:val="none"/>
          <w14:textFill>
            <w14:solidFill>
              <w14:schemeClr w14:val="tx1"/>
            </w14:solidFill>
          </w14:textFill>
        </w:rPr>
        <w:t>；联系电话：</w:t>
      </w:r>
      <w:r>
        <w:rPr>
          <w:rStyle w:val="337"/>
          <w:rFonts w:ascii="仿宋" w:eastAsia="仿宋"/>
          <w:color w:val="000000" w:themeColor="text1"/>
          <w:sz w:val="28"/>
          <w:szCs w:val="28"/>
          <w:highlight w:val="none"/>
          <w:u w:val="single" w:color="000000"/>
          <w14:textFill>
            <w14:solidFill>
              <w14:schemeClr w14:val="tx1"/>
            </w14:solidFill>
          </w14:textFill>
        </w:rPr>
        <w:t>　　　　　</w:t>
      </w:r>
      <w:r>
        <w:rPr>
          <w:rStyle w:val="337"/>
          <w:rFonts w:ascii="仿宋" w:eastAsia="仿宋"/>
          <w:color w:val="000000" w:themeColor="text1"/>
          <w:sz w:val="28"/>
          <w:szCs w:val="28"/>
          <w:highlight w:val="none"/>
          <w14:textFill>
            <w14:solidFill>
              <w14:schemeClr w14:val="tx1"/>
            </w14:solidFill>
          </w14:textFill>
        </w:rPr>
        <w:t>。</w:t>
      </w:r>
    </w:p>
    <w:p w14:paraId="14A214EF">
      <w:pPr>
        <w:spacing w:line="520" w:lineRule="exact"/>
        <w:ind w:firstLine="560"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乙方指定联系人：</w:t>
      </w:r>
      <w:r>
        <w:rPr>
          <w:rStyle w:val="337"/>
          <w:rFonts w:ascii="仿宋" w:eastAsia="仿宋"/>
          <w:color w:val="000000" w:themeColor="text1"/>
          <w:sz w:val="28"/>
          <w:szCs w:val="28"/>
          <w:highlight w:val="none"/>
          <w:u w:val="single" w:color="000000"/>
          <w14:textFill>
            <w14:solidFill>
              <w14:schemeClr w14:val="tx1"/>
            </w14:solidFill>
          </w14:textFill>
        </w:rPr>
        <w:t>　　　　</w:t>
      </w:r>
      <w:r>
        <w:rPr>
          <w:rStyle w:val="337"/>
          <w:rFonts w:ascii="仿宋" w:eastAsia="仿宋"/>
          <w:color w:val="000000" w:themeColor="text1"/>
          <w:sz w:val="28"/>
          <w:szCs w:val="28"/>
          <w:highlight w:val="none"/>
          <w14:textFill>
            <w14:solidFill>
              <w14:schemeClr w14:val="tx1"/>
            </w14:solidFill>
          </w14:textFill>
        </w:rPr>
        <w:t>；联系电话：</w:t>
      </w:r>
      <w:r>
        <w:rPr>
          <w:rStyle w:val="337"/>
          <w:rFonts w:ascii="仿宋" w:eastAsia="仿宋"/>
          <w:color w:val="000000" w:themeColor="text1"/>
          <w:sz w:val="28"/>
          <w:szCs w:val="28"/>
          <w:highlight w:val="none"/>
          <w:u w:val="single" w:color="000000"/>
          <w14:textFill>
            <w14:solidFill>
              <w14:schemeClr w14:val="tx1"/>
            </w14:solidFill>
          </w14:textFill>
        </w:rPr>
        <w:t>　　　　　</w:t>
      </w:r>
      <w:r>
        <w:rPr>
          <w:rStyle w:val="337"/>
          <w:rFonts w:ascii="仿宋" w:eastAsia="仿宋"/>
          <w:color w:val="000000" w:themeColor="text1"/>
          <w:sz w:val="28"/>
          <w:szCs w:val="28"/>
          <w:highlight w:val="none"/>
          <w14:textFill>
            <w14:solidFill>
              <w14:schemeClr w14:val="tx1"/>
            </w14:solidFill>
          </w14:textFill>
        </w:rPr>
        <w:t>。</w:t>
      </w:r>
    </w:p>
    <w:p w14:paraId="57BB1645">
      <w:pPr>
        <w:spacing w:line="520" w:lineRule="exact"/>
        <w:ind w:firstLine="567"/>
        <w:rPr>
          <w:rStyle w:val="337"/>
          <w:rFonts w:ascii="仿宋" w:eastAsia="仿宋"/>
          <w:b/>
          <w:color w:val="000000" w:themeColor="text1"/>
          <w:sz w:val="28"/>
          <w:szCs w:val="28"/>
          <w:highlight w:val="none"/>
          <w14:textFill>
            <w14:solidFill>
              <w14:schemeClr w14:val="tx1"/>
            </w14:solidFill>
          </w14:textFill>
        </w:rPr>
      </w:pPr>
      <w:r>
        <w:rPr>
          <w:rStyle w:val="337"/>
          <w:rFonts w:ascii="仿宋" w:eastAsia="仿宋"/>
          <w:b/>
          <w:color w:val="000000" w:themeColor="text1"/>
          <w:sz w:val="28"/>
          <w:szCs w:val="28"/>
          <w:highlight w:val="none"/>
          <w14:textFill>
            <w14:solidFill>
              <w14:schemeClr w14:val="tx1"/>
            </w14:solidFill>
          </w14:textFill>
        </w:rPr>
        <w:t>六、</w:t>
      </w:r>
      <w:r>
        <w:rPr>
          <w:rStyle w:val="337"/>
          <w:rFonts w:hint="eastAsia" w:ascii="仿宋" w:eastAsia="仿宋"/>
          <w:b/>
          <w:color w:val="000000" w:themeColor="text1"/>
          <w:sz w:val="28"/>
          <w:szCs w:val="28"/>
          <w:highlight w:val="none"/>
          <w14:textFill>
            <w14:solidFill>
              <w14:schemeClr w14:val="tx1"/>
            </w14:solidFill>
          </w14:textFill>
        </w:rPr>
        <w:t>交付期及质保期</w:t>
      </w:r>
      <w:r>
        <w:rPr>
          <w:rStyle w:val="337"/>
          <w:rFonts w:ascii="仿宋" w:eastAsia="仿宋"/>
          <w:b/>
          <w:color w:val="000000" w:themeColor="text1"/>
          <w:sz w:val="28"/>
          <w:szCs w:val="28"/>
          <w:highlight w:val="none"/>
          <w14:textFill>
            <w14:solidFill>
              <w14:schemeClr w14:val="tx1"/>
            </w14:solidFill>
          </w14:textFill>
        </w:rPr>
        <w:t>：</w:t>
      </w:r>
    </w:p>
    <w:p w14:paraId="2744855B">
      <w:pPr>
        <w:spacing w:line="520" w:lineRule="exact"/>
        <w:ind w:firstLine="980" w:firstLineChars="35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w:t>
      </w:r>
    </w:p>
    <w:p w14:paraId="06351ED5">
      <w:pPr>
        <w:pStyle w:val="404"/>
        <w:tabs>
          <w:tab w:val="left" w:pos="720"/>
          <w:tab w:val="left" w:pos="1080"/>
        </w:tabs>
        <w:spacing w:line="520" w:lineRule="exact"/>
        <w:ind w:firstLine="567"/>
        <w:rPr>
          <w:rStyle w:val="337"/>
          <w:rFonts w:ascii="仿宋" w:eastAsia="仿宋"/>
          <w:b/>
          <w:color w:val="000000" w:themeColor="text1"/>
          <w:sz w:val="28"/>
          <w:szCs w:val="28"/>
          <w:highlight w:val="none"/>
          <w14:textFill>
            <w14:solidFill>
              <w14:schemeClr w14:val="tx1"/>
            </w14:solidFill>
          </w14:textFill>
        </w:rPr>
      </w:pPr>
      <w:r>
        <w:rPr>
          <w:rStyle w:val="337"/>
          <w:rFonts w:hint="eastAsia" w:ascii="仿宋" w:eastAsia="仿宋"/>
          <w:b/>
          <w:color w:val="000000" w:themeColor="text1"/>
          <w:sz w:val="28"/>
          <w:szCs w:val="28"/>
          <w:highlight w:val="none"/>
          <w14:textFill>
            <w14:solidFill>
              <w14:schemeClr w14:val="tx1"/>
            </w14:solidFill>
          </w14:textFill>
        </w:rPr>
        <w:t>七</w:t>
      </w:r>
      <w:r>
        <w:rPr>
          <w:rStyle w:val="337"/>
          <w:rFonts w:ascii="仿宋" w:eastAsia="仿宋"/>
          <w:b/>
          <w:color w:val="000000" w:themeColor="text1"/>
          <w:sz w:val="28"/>
          <w:szCs w:val="28"/>
          <w:highlight w:val="none"/>
          <w14:textFill>
            <w14:solidFill>
              <w14:schemeClr w14:val="tx1"/>
            </w14:solidFill>
          </w14:textFill>
        </w:rPr>
        <w:t>、《验收报告》的签署及送达：</w:t>
      </w:r>
    </w:p>
    <w:p w14:paraId="542F24E2">
      <w:pPr>
        <w:spacing w:line="460" w:lineRule="exact"/>
        <w:ind w:firstLine="560"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1.项目验收合格，甲方应及时、完整、真实地签署《荣成市国有企业货物服务采购验收报告》（以下简称《验收报告》）。</w:t>
      </w:r>
    </w:p>
    <w:p w14:paraId="44C5197D">
      <w:pPr>
        <w:spacing w:line="520" w:lineRule="exact"/>
        <w:ind w:firstLine="560"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2.</w:t>
      </w:r>
      <w:r>
        <w:rPr>
          <w:rStyle w:val="337"/>
          <w:rFonts w:ascii="仿宋" w:eastAsia="仿宋"/>
          <w:bCs/>
          <w:color w:val="000000" w:themeColor="text1"/>
          <w:sz w:val="28"/>
          <w:szCs w:val="28"/>
          <w:highlight w:val="none"/>
          <w14:textFill>
            <w14:solidFill>
              <w14:schemeClr w14:val="tx1"/>
            </w14:solidFill>
          </w14:textFill>
        </w:rPr>
        <w:t>合同履行达到验收条件时，</w:t>
      </w:r>
      <w:r>
        <w:rPr>
          <w:rStyle w:val="337"/>
          <w:rFonts w:ascii="仿宋" w:eastAsia="仿宋"/>
          <w:color w:val="000000" w:themeColor="text1"/>
          <w:sz w:val="28"/>
          <w:szCs w:val="28"/>
          <w:highlight w:val="none"/>
          <w14:textFill>
            <w14:solidFill>
              <w14:schemeClr w14:val="tx1"/>
            </w14:solidFill>
          </w14:textFill>
        </w:rPr>
        <w:t>乙方应当向甲方发出验收建议，及时通知甲方进行验收，并提供同项目验收相关的生产、技术、服务、数量、质量、安全等资料。甲方应当自收到验收建议之日起七个工作日内启动项目验收，乙方应当予以全面配合。</w:t>
      </w:r>
    </w:p>
    <w:p w14:paraId="280C1E1F">
      <w:pPr>
        <w:spacing w:line="520" w:lineRule="exact"/>
        <w:ind w:firstLine="560"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3.项目验收不合格，乙方应当立即进行整改或采取修理、更换、重作、退货、减少价款等补救措施。在甲方规定的时间内整改或采取补救措施后仍不合格的，甲方有权解除合同。解除合同的相关事项按《中华人民共和国民典法》等法律法规的规定处理。乙方在规定时间内整改或采取补救措施后能达到合格标准的，甲方为其签署验收合格报告，但因此而延误项目交付或交货时间的，乙方应当按本合同的约定支付违约金并赔偿损失。</w:t>
      </w:r>
    </w:p>
    <w:p w14:paraId="10775B21">
      <w:pPr>
        <w:spacing w:line="520" w:lineRule="exact"/>
        <w:ind w:firstLine="560"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4.对项目验收发生的检测（检验）费、劳务报酬等费用支出，采购合同有约定的按照约定执行；无约定的，由采购人承担。因供应商问题导致重新组织项目验收的，由供应商负担验收费用。</w:t>
      </w:r>
    </w:p>
    <w:p w14:paraId="45043184">
      <w:pPr>
        <w:spacing w:line="520" w:lineRule="exact"/>
        <w:ind w:firstLine="560"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5.即使甲方未及时进行验收或者虽经验收但未发现问题的，并不免除乙方的任何质量义务。</w:t>
      </w:r>
    </w:p>
    <w:p w14:paraId="1E540E1D">
      <w:pPr>
        <w:pStyle w:val="404"/>
        <w:tabs>
          <w:tab w:val="left" w:pos="720"/>
          <w:tab w:val="left" w:pos="900"/>
        </w:tabs>
        <w:spacing w:line="520" w:lineRule="exact"/>
        <w:ind w:left="50" w:leftChars="24" w:firstLine="551" w:firstLineChars="196"/>
        <w:rPr>
          <w:rStyle w:val="337"/>
          <w:rFonts w:ascii="仿宋" w:eastAsia="仿宋"/>
          <w:b/>
          <w:color w:val="000000" w:themeColor="text1"/>
          <w:sz w:val="28"/>
          <w:szCs w:val="28"/>
          <w:highlight w:val="none"/>
          <w14:textFill>
            <w14:solidFill>
              <w14:schemeClr w14:val="tx1"/>
            </w14:solidFill>
          </w14:textFill>
        </w:rPr>
      </w:pPr>
      <w:r>
        <w:rPr>
          <w:rStyle w:val="337"/>
          <w:rFonts w:ascii="仿宋" w:eastAsia="仿宋"/>
          <w:b/>
          <w:color w:val="000000" w:themeColor="text1"/>
          <w:sz w:val="28"/>
          <w:szCs w:val="28"/>
          <w:highlight w:val="none"/>
          <w14:textFill>
            <w14:solidFill>
              <w14:schemeClr w14:val="tx1"/>
            </w14:solidFill>
          </w14:textFill>
        </w:rPr>
        <w:t>八、付款</w:t>
      </w:r>
    </w:p>
    <w:p w14:paraId="2B33AB49">
      <w:pPr>
        <w:spacing w:line="520" w:lineRule="exact"/>
        <w:ind w:firstLine="560" w:firstLineChars="200"/>
        <w:rPr>
          <w:rStyle w:val="337"/>
          <w:rFonts w:ascii="仿宋" w:eastAsia="仿宋"/>
          <w:bCs/>
          <w:color w:val="000000" w:themeColor="text1"/>
          <w:sz w:val="28"/>
          <w:szCs w:val="28"/>
          <w:highlight w:val="none"/>
          <w14:textFill>
            <w14:solidFill>
              <w14:schemeClr w14:val="tx1"/>
            </w14:solidFill>
          </w14:textFill>
        </w:rPr>
      </w:pPr>
      <w:r>
        <w:rPr>
          <w:rStyle w:val="337"/>
          <w:rFonts w:ascii="仿宋" w:eastAsia="仿宋"/>
          <w:bCs/>
          <w:color w:val="000000" w:themeColor="text1"/>
          <w:sz w:val="28"/>
          <w:szCs w:val="28"/>
          <w:highlight w:val="none"/>
          <w14:textFill>
            <w14:solidFill>
              <w14:schemeClr w14:val="tx1"/>
            </w14:solidFill>
          </w14:textFill>
        </w:rPr>
        <w:t>1.项目验收合格为本合同价款支付的必备条件。验收不合格的，不予支付价款。涉及分段验收付款的项目，应具备符合合同约定内容的阶段性验收报告。</w:t>
      </w:r>
    </w:p>
    <w:p w14:paraId="50F15721">
      <w:pPr>
        <w:spacing w:line="520" w:lineRule="exact"/>
        <w:ind w:firstLine="560"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2.本合同以人民币付款。</w:t>
      </w:r>
    </w:p>
    <w:p w14:paraId="5FA05F92">
      <w:pPr>
        <w:pStyle w:val="404"/>
        <w:tabs>
          <w:tab w:val="left" w:pos="1040"/>
        </w:tabs>
        <w:spacing w:line="520" w:lineRule="exact"/>
        <w:ind w:firstLine="560" w:firstLineChars="200"/>
        <w:jc w:val="left"/>
        <w:rPr>
          <w:rFonts w:ascii="仿宋_GB2312" w:hAnsi="宋体" w:eastAsia="仿宋_GB2312"/>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3.付款方式：</w:t>
      </w:r>
      <w:r>
        <w:rPr>
          <w:rFonts w:hint="eastAsia" w:ascii="仿宋_GB2312" w:hAnsi="宋体" w:eastAsia="仿宋_GB2312"/>
          <w:color w:val="000000" w:themeColor="text1"/>
          <w:sz w:val="28"/>
          <w:szCs w:val="28"/>
          <w:highlight w:val="none"/>
          <w14:textFill>
            <w14:solidFill>
              <w14:schemeClr w14:val="tx1"/>
            </w14:solidFill>
          </w14:textFill>
        </w:rPr>
        <w:t>。</w:t>
      </w:r>
    </w:p>
    <w:p w14:paraId="2A849EB3">
      <w:pPr>
        <w:pStyle w:val="404"/>
        <w:tabs>
          <w:tab w:val="left" w:pos="1040"/>
        </w:tabs>
        <w:spacing w:line="520" w:lineRule="exact"/>
        <w:ind w:firstLine="560" w:firstLineChars="200"/>
        <w:jc w:val="left"/>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4.付款信息</w:t>
      </w:r>
      <w:r>
        <w:rPr>
          <w:rStyle w:val="337"/>
          <w:rFonts w:hint="eastAsia" w:ascii="仿宋" w:eastAsia="仿宋"/>
          <w:color w:val="000000" w:themeColor="text1"/>
          <w:sz w:val="28"/>
          <w:szCs w:val="28"/>
          <w:highlight w:val="none"/>
          <w14:textFill>
            <w14:solidFill>
              <w14:schemeClr w14:val="tx1"/>
            </w14:solidFill>
          </w14:textFill>
        </w:rPr>
        <w:t>如下：</w:t>
      </w:r>
    </w:p>
    <w:p w14:paraId="5F7C58F3">
      <w:pPr>
        <w:pStyle w:val="404"/>
        <w:tabs>
          <w:tab w:val="left" w:pos="1040"/>
        </w:tabs>
        <w:spacing w:line="520" w:lineRule="exact"/>
        <w:ind w:firstLine="980" w:firstLineChars="350"/>
        <w:jc w:val="left"/>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 xml:space="preserve">收 款 人：           </w:t>
      </w:r>
    </w:p>
    <w:p w14:paraId="0F2E3AFF">
      <w:pPr>
        <w:pStyle w:val="404"/>
        <w:tabs>
          <w:tab w:val="left" w:pos="1040"/>
        </w:tabs>
        <w:spacing w:line="520" w:lineRule="exact"/>
        <w:ind w:firstLine="980" w:firstLineChars="350"/>
        <w:jc w:val="left"/>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 xml:space="preserve">开户银行：        </w:t>
      </w:r>
    </w:p>
    <w:p w14:paraId="1D1EBC56">
      <w:pPr>
        <w:pStyle w:val="404"/>
        <w:tabs>
          <w:tab w:val="left" w:pos="1040"/>
        </w:tabs>
        <w:spacing w:line="520" w:lineRule="exact"/>
        <w:ind w:firstLine="980" w:firstLineChars="350"/>
        <w:jc w:val="left"/>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银行账号：</w:t>
      </w:r>
    </w:p>
    <w:p w14:paraId="7E192BD4">
      <w:pPr>
        <w:pStyle w:val="404"/>
        <w:tabs>
          <w:tab w:val="left" w:pos="1040"/>
        </w:tabs>
        <w:spacing w:line="520" w:lineRule="exact"/>
        <w:ind w:firstLine="980" w:firstLineChars="350"/>
        <w:jc w:val="left"/>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 xml:space="preserve">联 系 人：           </w:t>
      </w:r>
    </w:p>
    <w:p w14:paraId="523EDA54">
      <w:pPr>
        <w:pStyle w:val="404"/>
        <w:tabs>
          <w:tab w:val="left" w:pos="1040"/>
        </w:tabs>
        <w:spacing w:line="520" w:lineRule="exact"/>
        <w:ind w:firstLine="980" w:firstLineChars="350"/>
        <w:jc w:val="left"/>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联系电话：</w:t>
      </w:r>
    </w:p>
    <w:p w14:paraId="1CC6C297">
      <w:pPr>
        <w:pStyle w:val="404"/>
        <w:tabs>
          <w:tab w:val="left" w:pos="1040"/>
        </w:tabs>
        <w:spacing w:line="520" w:lineRule="exact"/>
        <w:ind w:firstLine="551" w:firstLineChars="196"/>
        <w:jc w:val="left"/>
        <w:rPr>
          <w:rStyle w:val="337"/>
          <w:rFonts w:ascii="仿宋" w:eastAsia="仿宋"/>
          <w:b/>
          <w:color w:val="000000" w:themeColor="text1"/>
          <w:sz w:val="28"/>
          <w:szCs w:val="28"/>
          <w:highlight w:val="none"/>
          <w14:textFill>
            <w14:solidFill>
              <w14:schemeClr w14:val="tx1"/>
            </w14:solidFill>
          </w14:textFill>
        </w:rPr>
      </w:pPr>
      <w:r>
        <w:rPr>
          <w:rStyle w:val="337"/>
          <w:rFonts w:hint="eastAsia" w:ascii="仿宋" w:eastAsia="仿宋"/>
          <w:b/>
          <w:color w:val="000000" w:themeColor="text1"/>
          <w:sz w:val="28"/>
          <w:szCs w:val="28"/>
          <w:highlight w:val="none"/>
          <w14:textFill>
            <w14:solidFill>
              <w14:schemeClr w14:val="tx1"/>
            </w14:solidFill>
          </w14:textFill>
        </w:rPr>
        <w:t>九</w:t>
      </w:r>
      <w:r>
        <w:rPr>
          <w:rStyle w:val="337"/>
          <w:rFonts w:ascii="仿宋" w:eastAsia="仿宋"/>
          <w:b/>
          <w:color w:val="000000" w:themeColor="text1"/>
          <w:sz w:val="28"/>
          <w:szCs w:val="28"/>
          <w:highlight w:val="none"/>
          <w14:textFill>
            <w14:solidFill>
              <w14:schemeClr w14:val="tx1"/>
            </w14:solidFill>
          </w14:textFill>
        </w:rPr>
        <w:t>、售后服务</w:t>
      </w:r>
    </w:p>
    <w:p w14:paraId="5B27140C">
      <w:pPr>
        <w:spacing w:line="520" w:lineRule="exact"/>
        <w:ind w:firstLine="560" w:firstLineChars="200"/>
        <w:rPr>
          <w:rFonts w:ascii="仿宋" w:hAnsi="Courier New" w:eastAsia="仿宋"/>
          <w:color w:val="000000" w:themeColor="text1"/>
          <w:kern w:val="0"/>
          <w:sz w:val="28"/>
          <w:szCs w:val="28"/>
          <w:highlight w:val="none"/>
          <w14:textFill>
            <w14:solidFill>
              <w14:schemeClr w14:val="tx1"/>
            </w14:solidFill>
          </w14:textFill>
        </w:rPr>
      </w:pPr>
      <w:r>
        <w:rPr>
          <w:rFonts w:hint="eastAsia" w:ascii="仿宋" w:hAnsi="Courier New" w:eastAsia="仿宋"/>
          <w:color w:val="000000" w:themeColor="text1"/>
          <w:kern w:val="0"/>
          <w:sz w:val="28"/>
          <w:szCs w:val="28"/>
          <w:highlight w:val="none"/>
          <w14:textFill>
            <w14:solidFill>
              <w14:schemeClr w14:val="tx1"/>
            </w14:solidFill>
          </w14:textFill>
        </w:rPr>
        <w:t>乙方应按公开采购文件、投标（响应）文件及乙方在响应过程中做出的书面说明或承诺提供及时、快速、优质的售后服务。</w:t>
      </w:r>
    </w:p>
    <w:p w14:paraId="0CE4208D">
      <w:pPr>
        <w:spacing w:line="520" w:lineRule="exact"/>
        <w:ind w:firstLine="560" w:firstLineChars="200"/>
        <w:rPr>
          <w:rStyle w:val="337"/>
          <w:rFonts w:ascii="仿宋" w:hAnsi="Courier New" w:eastAsia="仿宋"/>
          <w:color w:val="000000" w:themeColor="text1"/>
          <w:kern w:val="0"/>
          <w:sz w:val="28"/>
          <w:szCs w:val="28"/>
          <w:highlight w:val="none"/>
          <w14:textFill>
            <w14:solidFill>
              <w14:schemeClr w14:val="tx1"/>
            </w14:solidFill>
          </w14:textFill>
        </w:rPr>
      </w:pPr>
      <w:r>
        <w:rPr>
          <w:rFonts w:hint="eastAsia" w:ascii="仿宋" w:hAnsi="Courier New" w:eastAsia="仿宋"/>
          <w:color w:val="000000" w:themeColor="text1"/>
          <w:kern w:val="0"/>
          <w:sz w:val="28"/>
          <w:szCs w:val="28"/>
          <w:highlight w:val="none"/>
          <w14:textFill>
            <w14:solidFill>
              <w14:schemeClr w14:val="tx1"/>
            </w14:solidFill>
          </w14:textFill>
        </w:rPr>
        <w:t>见附件：乙方响应文件售后服务承诺材料。</w:t>
      </w:r>
    </w:p>
    <w:p w14:paraId="0BE69D3A">
      <w:pPr>
        <w:spacing w:line="520" w:lineRule="exact"/>
        <w:ind w:firstLine="567"/>
        <w:rPr>
          <w:rStyle w:val="337"/>
          <w:rFonts w:ascii="仿宋" w:eastAsia="仿宋"/>
          <w:b/>
          <w:color w:val="000000" w:themeColor="text1"/>
          <w:sz w:val="28"/>
          <w:szCs w:val="28"/>
          <w:highlight w:val="none"/>
          <w14:textFill>
            <w14:solidFill>
              <w14:schemeClr w14:val="tx1"/>
            </w14:solidFill>
          </w14:textFill>
        </w:rPr>
      </w:pPr>
      <w:r>
        <w:rPr>
          <w:rStyle w:val="337"/>
          <w:rFonts w:ascii="仿宋" w:eastAsia="仿宋"/>
          <w:b/>
          <w:color w:val="000000" w:themeColor="text1"/>
          <w:sz w:val="28"/>
          <w:szCs w:val="28"/>
          <w:highlight w:val="none"/>
          <w14:textFill>
            <w14:solidFill>
              <w14:schemeClr w14:val="tx1"/>
            </w14:solidFill>
          </w14:textFill>
        </w:rPr>
        <w:t>十、变更、修改和转让</w:t>
      </w:r>
    </w:p>
    <w:p w14:paraId="476E17CB">
      <w:pPr>
        <w:pStyle w:val="404"/>
        <w:spacing w:line="520" w:lineRule="exact"/>
        <w:ind w:firstLine="567"/>
        <w:rPr>
          <w:rStyle w:val="337"/>
          <w:rFonts w:ascii="仿宋" w:eastAsia="仿宋"/>
          <w:b/>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乙方应严格按合同要求</w:t>
      </w:r>
      <w:r>
        <w:rPr>
          <w:rStyle w:val="337"/>
          <w:rFonts w:hint="eastAsia" w:ascii="仿宋" w:eastAsia="仿宋"/>
          <w:color w:val="000000" w:themeColor="text1"/>
          <w:sz w:val="28"/>
          <w:szCs w:val="28"/>
          <w:highlight w:val="none"/>
          <w14:textFill>
            <w14:solidFill>
              <w14:schemeClr w14:val="tx1"/>
            </w14:solidFill>
          </w14:textFill>
        </w:rPr>
        <w:t>提供</w:t>
      </w:r>
      <w:r>
        <w:rPr>
          <w:rStyle w:val="337"/>
          <w:rFonts w:ascii="仿宋" w:eastAsia="仿宋"/>
          <w:color w:val="000000" w:themeColor="text1"/>
          <w:sz w:val="28"/>
          <w:szCs w:val="28"/>
          <w:highlight w:val="none"/>
          <w14:textFill>
            <w14:solidFill>
              <w14:schemeClr w14:val="tx1"/>
            </w14:solidFill>
          </w14:textFill>
        </w:rPr>
        <w:t>服务，未经甲方书面同意，乙方不得擅自就合同标的的数量、质量、</w:t>
      </w:r>
      <w:r>
        <w:rPr>
          <w:rStyle w:val="337"/>
          <w:rFonts w:hint="eastAsia" w:ascii="仿宋" w:eastAsia="仿宋"/>
          <w:color w:val="000000" w:themeColor="text1"/>
          <w:sz w:val="28"/>
          <w:szCs w:val="28"/>
          <w:highlight w:val="none"/>
          <w14:textFill>
            <w14:solidFill>
              <w14:schemeClr w14:val="tx1"/>
            </w14:solidFill>
          </w14:textFill>
        </w:rPr>
        <w:t>交付期及质保期</w:t>
      </w:r>
      <w:r>
        <w:rPr>
          <w:rStyle w:val="337"/>
          <w:rFonts w:ascii="仿宋" w:eastAsia="仿宋"/>
          <w:color w:val="000000" w:themeColor="text1"/>
          <w:sz w:val="28"/>
          <w:szCs w:val="28"/>
          <w:highlight w:val="none"/>
          <w14:textFill>
            <w14:solidFill>
              <w14:schemeClr w14:val="tx1"/>
            </w14:solidFill>
          </w14:textFill>
        </w:rPr>
        <w:t>、技术规格以及其他的合同条款进行变更、修改；不得部分或者全部转让其应履行的合同义务。</w:t>
      </w:r>
    </w:p>
    <w:p w14:paraId="3FEBAC08">
      <w:pPr>
        <w:spacing w:line="520" w:lineRule="exact"/>
        <w:ind w:firstLine="562"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b/>
          <w:bCs/>
          <w:color w:val="000000" w:themeColor="text1"/>
          <w:sz w:val="28"/>
          <w:szCs w:val="28"/>
          <w:highlight w:val="none"/>
          <w14:textFill>
            <w14:solidFill>
              <w14:schemeClr w14:val="tx1"/>
            </w14:solidFill>
          </w14:textFill>
        </w:rPr>
        <w:t>十</w:t>
      </w:r>
      <w:r>
        <w:rPr>
          <w:rStyle w:val="337"/>
          <w:rFonts w:hint="eastAsia" w:ascii="仿宋" w:eastAsia="仿宋"/>
          <w:b/>
          <w:bCs/>
          <w:color w:val="000000" w:themeColor="text1"/>
          <w:sz w:val="28"/>
          <w:szCs w:val="28"/>
          <w:highlight w:val="none"/>
          <w14:textFill>
            <w14:solidFill>
              <w14:schemeClr w14:val="tx1"/>
            </w14:solidFill>
          </w14:textFill>
        </w:rPr>
        <w:t>一</w:t>
      </w:r>
      <w:r>
        <w:rPr>
          <w:rStyle w:val="337"/>
          <w:rFonts w:ascii="仿宋" w:eastAsia="仿宋"/>
          <w:b/>
          <w:bCs/>
          <w:color w:val="000000" w:themeColor="text1"/>
          <w:sz w:val="28"/>
          <w:szCs w:val="28"/>
          <w:highlight w:val="none"/>
          <w14:textFill>
            <w14:solidFill>
              <w14:schemeClr w14:val="tx1"/>
            </w14:solidFill>
          </w14:textFill>
        </w:rPr>
        <w:t>、合同解除</w:t>
      </w:r>
    </w:p>
    <w:p w14:paraId="09D753C7">
      <w:pPr>
        <w:spacing w:line="520" w:lineRule="exact"/>
        <w:ind w:firstLine="560" w:firstLineChars="200"/>
        <w:jc w:val="left"/>
        <w:rPr>
          <w:rStyle w:val="337"/>
          <w:rFonts w:ascii="仿宋" w:eastAsia="仿宋"/>
          <w:color w:val="000000" w:themeColor="text1"/>
          <w:kern w:val="0"/>
          <w:sz w:val="28"/>
          <w:szCs w:val="28"/>
          <w:highlight w:val="none"/>
          <w14:textFill>
            <w14:solidFill>
              <w14:schemeClr w14:val="tx1"/>
            </w14:solidFill>
          </w14:textFill>
        </w:rPr>
      </w:pPr>
      <w:r>
        <w:rPr>
          <w:rStyle w:val="337"/>
          <w:rFonts w:ascii="仿宋" w:eastAsia="仿宋"/>
          <w:color w:val="000000" w:themeColor="text1"/>
          <w:kern w:val="0"/>
          <w:sz w:val="28"/>
          <w:szCs w:val="28"/>
          <w:highlight w:val="none"/>
          <w14:textFill>
            <w14:solidFill>
              <w14:schemeClr w14:val="tx1"/>
            </w14:solidFill>
          </w14:textFill>
        </w:rPr>
        <w:t>1.出现下列情况之一的，甲方或乙方提出申请，招标代理机构将向违约方发出书面通知，解除本合同，解约方有权要求违约方按合同总金额20%支付违约金，并赔偿损失。</w:t>
      </w:r>
    </w:p>
    <w:p w14:paraId="5D2BD063">
      <w:pPr>
        <w:spacing w:line="520" w:lineRule="exact"/>
        <w:ind w:firstLine="567"/>
        <w:jc w:val="left"/>
        <w:rPr>
          <w:rStyle w:val="337"/>
          <w:rFonts w:ascii="仿宋" w:eastAsia="仿宋"/>
          <w:color w:val="000000" w:themeColor="text1"/>
          <w:kern w:val="0"/>
          <w:sz w:val="28"/>
          <w:szCs w:val="28"/>
          <w:highlight w:val="none"/>
          <w14:textFill>
            <w14:solidFill>
              <w14:schemeClr w14:val="tx1"/>
            </w14:solidFill>
          </w14:textFill>
        </w:rPr>
      </w:pPr>
      <w:r>
        <w:rPr>
          <w:rStyle w:val="337"/>
          <w:rFonts w:ascii="仿宋" w:eastAsia="仿宋"/>
          <w:color w:val="000000" w:themeColor="text1"/>
          <w:kern w:val="0"/>
          <w:sz w:val="28"/>
          <w:szCs w:val="28"/>
          <w:highlight w:val="none"/>
          <w14:textFill>
            <w14:solidFill>
              <w14:schemeClr w14:val="tx1"/>
            </w14:solidFill>
          </w14:textFill>
        </w:rPr>
        <w:t>（1）乙方拒绝履行合同或以自己的行为表明不履行合同的；</w:t>
      </w:r>
    </w:p>
    <w:p w14:paraId="2743ADCB">
      <w:pPr>
        <w:spacing w:line="520" w:lineRule="exact"/>
        <w:ind w:firstLine="567"/>
        <w:jc w:val="left"/>
        <w:rPr>
          <w:rStyle w:val="337"/>
          <w:rFonts w:ascii="仿宋" w:eastAsia="仿宋"/>
          <w:color w:val="000000" w:themeColor="text1"/>
          <w:kern w:val="0"/>
          <w:sz w:val="28"/>
          <w:szCs w:val="28"/>
          <w:highlight w:val="none"/>
          <w14:textFill>
            <w14:solidFill>
              <w14:schemeClr w14:val="tx1"/>
            </w14:solidFill>
          </w14:textFill>
        </w:rPr>
      </w:pPr>
      <w:r>
        <w:rPr>
          <w:rStyle w:val="337"/>
          <w:rFonts w:ascii="仿宋" w:eastAsia="仿宋"/>
          <w:color w:val="000000" w:themeColor="text1"/>
          <w:kern w:val="0"/>
          <w:sz w:val="28"/>
          <w:szCs w:val="28"/>
          <w:highlight w:val="none"/>
          <w14:textFill>
            <w14:solidFill>
              <w14:schemeClr w14:val="tx1"/>
            </w14:solidFill>
          </w14:textFill>
        </w:rPr>
        <w:t>（2）乙方延迟履行合同义务，经催告后仍不履行的；</w:t>
      </w:r>
    </w:p>
    <w:p w14:paraId="67068120">
      <w:pPr>
        <w:spacing w:line="520" w:lineRule="exact"/>
        <w:ind w:firstLine="567"/>
        <w:jc w:val="left"/>
        <w:rPr>
          <w:rStyle w:val="337"/>
          <w:rFonts w:ascii="仿宋" w:eastAsia="仿宋"/>
          <w:color w:val="000000" w:themeColor="text1"/>
          <w:kern w:val="0"/>
          <w:sz w:val="28"/>
          <w:szCs w:val="28"/>
          <w:highlight w:val="none"/>
          <w14:textFill>
            <w14:solidFill>
              <w14:schemeClr w14:val="tx1"/>
            </w14:solidFill>
          </w14:textFill>
        </w:rPr>
      </w:pPr>
      <w:r>
        <w:rPr>
          <w:rStyle w:val="337"/>
          <w:rFonts w:ascii="仿宋" w:eastAsia="仿宋"/>
          <w:color w:val="000000" w:themeColor="text1"/>
          <w:kern w:val="0"/>
          <w:sz w:val="28"/>
          <w:szCs w:val="28"/>
          <w:highlight w:val="none"/>
          <w14:textFill>
            <w14:solidFill>
              <w14:schemeClr w14:val="tx1"/>
            </w14:solidFill>
          </w14:textFill>
        </w:rPr>
        <w:t>（3）乙方履行合同义务不符合约定致使不能实现合同目的的；</w:t>
      </w:r>
    </w:p>
    <w:p w14:paraId="48F93218">
      <w:pPr>
        <w:spacing w:line="520" w:lineRule="exact"/>
        <w:ind w:firstLine="567"/>
        <w:jc w:val="left"/>
        <w:rPr>
          <w:rStyle w:val="337"/>
          <w:rFonts w:ascii="仿宋" w:eastAsia="仿宋"/>
          <w:color w:val="000000" w:themeColor="text1"/>
          <w:kern w:val="0"/>
          <w:sz w:val="28"/>
          <w:szCs w:val="28"/>
          <w:highlight w:val="none"/>
          <w14:textFill>
            <w14:solidFill>
              <w14:schemeClr w14:val="tx1"/>
            </w14:solidFill>
          </w14:textFill>
        </w:rPr>
      </w:pPr>
      <w:r>
        <w:rPr>
          <w:rStyle w:val="337"/>
          <w:rFonts w:ascii="仿宋" w:eastAsia="仿宋"/>
          <w:color w:val="000000" w:themeColor="text1"/>
          <w:kern w:val="0"/>
          <w:sz w:val="28"/>
          <w:szCs w:val="28"/>
          <w:highlight w:val="none"/>
          <w14:textFill>
            <w14:solidFill>
              <w14:schemeClr w14:val="tx1"/>
            </w14:solidFill>
          </w14:textFill>
        </w:rPr>
        <w:t>（4）乙方履行合同义务不符合约定拒绝整改，或经整改后仍不合格的；</w:t>
      </w:r>
    </w:p>
    <w:p w14:paraId="7F610511">
      <w:pPr>
        <w:spacing w:line="520" w:lineRule="exact"/>
        <w:ind w:firstLine="567"/>
        <w:jc w:val="left"/>
        <w:rPr>
          <w:rStyle w:val="337"/>
          <w:rFonts w:ascii="仿宋" w:eastAsia="仿宋"/>
          <w:color w:val="000000" w:themeColor="text1"/>
          <w:kern w:val="0"/>
          <w:sz w:val="28"/>
          <w:szCs w:val="28"/>
          <w:highlight w:val="none"/>
          <w14:textFill>
            <w14:solidFill>
              <w14:schemeClr w14:val="tx1"/>
            </w14:solidFill>
          </w14:textFill>
        </w:rPr>
      </w:pPr>
      <w:r>
        <w:rPr>
          <w:rStyle w:val="337"/>
          <w:rFonts w:ascii="仿宋" w:eastAsia="仿宋"/>
          <w:color w:val="000000" w:themeColor="text1"/>
          <w:kern w:val="0"/>
          <w:sz w:val="28"/>
          <w:szCs w:val="28"/>
          <w:highlight w:val="none"/>
          <w14:textFill>
            <w14:solidFill>
              <w14:schemeClr w14:val="tx1"/>
            </w14:solidFill>
          </w14:textFill>
        </w:rPr>
        <w:t>（5）乙方有其他严重违约情形的；</w:t>
      </w:r>
    </w:p>
    <w:p w14:paraId="1BE65DC4">
      <w:pPr>
        <w:spacing w:line="520" w:lineRule="exact"/>
        <w:ind w:firstLine="567"/>
        <w:jc w:val="left"/>
        <w:rPr>
          <w:rStyle w:val="337"/>
          <w:rFonts w:ascii="仿宋" w:eastAsia="仿宋"/>
          <w:color w:val="000000" w:themeColor="text1"/>
          <w:kern w:val="0"/>
          <w:sz w:val="28"/>
          <w:szCs w:val="28"/>
          <w:highlight w:val="none"/>
          <w14:textFill>
            <w14:solidFill>
              <w14:schemeClr w14:val="tx1"/>
            </w14:solidFill>
          </w14:textFill>
        </w:rPr>
      </w:pPr>
      <w:r>
        <w:rPr>
          <w:rStyle w:val="337"/>
          <w:rFonts w:ascii="仿宋" w:eastAsia="仿宋"/>
          <w:color w:val="000000" w:themeColor="text1"/>
          <w:kern w:val="0"/>
          <w:sz w:val="28"/>
          <w:szCs w:val="28"/>
          <w:highlight w:val="none"/>
          <w14:textFill>
            <w14:solidFill>
              <w14:schemeClr w14:val="tx1"/>
            </w14:solidFill>
          </w14:textFill>
        </w:rPr>
        <w:t>（6）甲方应当提供而未向乙方提供履约条件的。</w:t>
      </w:r>
    </w:p>
    <w:p w14:paraId="1DE0D1F6">
      <w:pPr>
        <w:spacing w:line="520" w:lineRule="exact"/>
        <w:ind w:firstLine="567"/>
        <w:jc w:val="left"/>
        <w:rPr>
          <w:rStyle w:val="337"/>
          <w:rFonts w:ascii="仿宋" w:eastAsia="仿宋"/>
          <w:color w:val="000000" w:themeColor="text1"/>
          <w:kern w:val="0"/>
          <w:sz w:val="28"/>
          <w:szCs w:val="28"/>
          <w:highlight w:val="none"/>
          <w14:textFill>
            <w14:solidFill>
              <w14:schemeClr w14:val="tx1"/>
            </w14:solidFill>
          </w14:textFill>
        </w:rPr>
      </w:pPr>
      <w:r>
        <w:rPr>
          <w:rStyle w:val="337"/>
          <w:rFonts w:ascii="仿宋" w:eastAsia="仿宋"/>
          <w:color w:val="000000" w:themeColor="text1"/>
          <w:kern w:val="0"/>
          <w:sz w:val="28"/>
          <w:szCs w:val="28"/>
          <w:highlight w:val="none"/>
          <w14:textFill>
            <w14:solidFill>
              <w14:schemeClr w14:val="tx1"/>
            </w14:solidFill>
          </w14:textFill>
        </w:rPr>
        <w:t>2.</w:t>
      </w:r>
      <w:r>
        <w:rPr>
          <w:rStyle w:val="337"/>
          <w:rFonts w:ascii="仿宋" w:eastAsia="仿宋"/>
          <w:color w:val="000000" w:themeColor="text1"/>
          <w:sz w:val="28"/>
          <w:szCs w:val="28"/>
          <w:highlight w:val="none"/>
          <w14:textFill>
            <w14:solidFill>
              <w14:schemeClr w14:val="tx1"/>
            </w14:solidFill>
          </w14:textFill>
        </w:rPr>
        <w:t>被解除方对解除合同有异议的，应当在收到解除通知之日起15日内向荣成市人民法院起诉。</w:t>
      </w:r>
    </w:p>
    <w:p w14:paraId="7CEE1FF3">
      <w:pPr>
        <w:spacing w:line="520" w:lineRule="exact"/>
        <w:ind w:firstLine="562" w:firstLineChars="200"/>
        <w:rPr>
          <w:rStyle w:val="337"/>
          <w:rFonts w:ascii="仿宋" w:eastAsia="仿宋"/>
          <w:b/>
          <w:bCs/>
          <w:color w:val="000000" w:themeColor="text1"/>
          <w:sz w:val="28"/>
          <w:szCs w:val="28"/>
          <w:highlight w:val="none"/>
          <w14:textFill>
            <w14:solidFill>
              <w14:schemeClr w14:val="tx1"/>
            </w14:solidFill>
          </w14:textFill>
        </w:rPr>
      </w:pPr>
      <w:r>
        <w:rPr>
          <w:rStyle w:val="337"/>
          <w:rFonts w:ascii="仿宋" w:eastAsia="仿宋"/>
          <w:b/>
          <w:bCs/>
          <w:color w:val="000000" w:themeColor="text1"/>
          <w:sz w:val="28"/>
          <w:szCs w:val="28"/>
          <w:highlight w:val="none"/>
          <w14:textFill>
            <w14:solidFill>
              <w14:schemeClr w14:val="tx1"/>
            </w14:solidFill>
          </w14:textFill>
        </w:rPr>
        <w:t>十</w:t>
      </w:r>
      <w:r>
        <w:rPr>
          <w:rStyle w:val="337"/>
          <w:rFonts w:hint="eastAsia" w:ascii="仿宋" w:eastAsia="仿宋"/>
          <w:b/>
          <w:bCs/>
          <w:color w:val="000000" w:themeColor="text1"/>
          <w:sz w:val="28"/>
          <w:szCs w:val="28"/>
          <w:highlight w:val="none"/>
          <w14:textFill>
            <w14:solidFill>
              <w14:schemeClr w14:val="tx1"/>
            </w14:solidFill>
          </w14:textFill>
        </w:rPr>
        <w:t>二</w:t>
      </w:r>
      <w:r>
        <w:rPr>
          <w:rStyle w:val="337"/>
          <w:rFonts w:ascii="仿宋" w:eastAsia="仿宋"/>
          <w:b/>
          <w:bCs/>
          <w:color w:val="000000" w:themeColor="text1"/>
          <w:sz w:val="28"/>
          <w:szCs w:val="28"/>
          <w:highlight w:val="none"/>
          <w14:textFill>
            <w14:solidFill>
              <w14:schemeClr w14:val="tx1"/>
            </w14:solidFill>
          </w14:textFill>
        </w:rPr>
        <w:t>、违约赔偿</w:t>
      </w:r>
    </w:p>
    <w:p w14:paraId="4F2297CE">
      <w:pPr>
        <w:spacing w:line="520" w:lineRule="exact"/>
        <w:ind w:firstLine="560"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1. 乙方违反第四条质量及专利权第一款的约定而降低标准及违反第十条变更、修改和转让的约定，甲方将责令其限期更换或者纠正，由此而造成延期，按本条第二款的规定支付违约赔偿；</w:t>
      </w:r>
      <w:r>
        <w:rPr>
          <w:rStyle w:val="405"/>
          <w:rFonts w:ascii="仿宋" w:eastAsia="仿宋"/>
          <w:color w:val="000000" w:themeColor="text1"/>
          <w:sz w:val="28"/>
          <w:szCs w:val="28"/>
          <w:highlight w:val="none"/>
          <w14:textFill>
            <w14:solidFill>
              <w14:schemeClr w14:val="tx1"/>
            </w14:solidFill>
          </w14:textFill>
        </w:rPr>
        <w:t>如违反</w:t>
      </w:r>
      <w:r>
        <w:rPr>
          <w:rStyle w:val="337"/>
          <w:rFonts w:ascii="仿宋" w:eastAsia="仿宋"/>
          <w:color w:val="000000" w:themeColor="text1"/>
          <w:sz w:val="28"/>
          <w:szCs w:val="28"/>
          <w:highlight w:val="none"/>
          <w14:textFill>
            <w14:solidFill>
              <w14:schemeClr w14:val="tx1"/>
            </w14:solidFill>
          </w14:textFill>
        </w:rPr>
        <w:t>第四条质量及专利权第一款</w:t>
      </w:r>
      <w:r>
        <w:rPr>
          <w:rStyle w:val="405"/>
          <w:rFonts w:ascii="仿宋" w:eastAsia="仿宋"/>
          <w:color w:val="000000" w:themeColor="text1"/>
          <w:sz w:val="28"/>
          <w:szCs w:val="28"/>
          <w:highlight w:val="none"/>
          <w14:textFill>
            <w14:solidFill>
              <w14:schemeClr w14:val="tx1"/>
            </w14:solidFill>
          </w14:textFill>
        </w:rPr>
        <w:t>约定，造成甲方无法继续使用标的物及对第三方承担赔偿责任的，乙方应当承担对甲方造成的一切损失（包括但不限于甲方的采购款、利息、维权费用等）</w:t>
      </w:r>
      <w:r>
        <w:rPr>
          <w:rStyle w:val="337"/>
          <w:rFonts w:ascii="仿宋" w:eastAsia="仿宋"/>
          <w:color w:val="000000" w:themeColor="text1"/>
          <w:sz w:val="28"/>
          <w:szCs w:val="28"/>
          <w:highlight w:val="none"/>
          <w14:textFill>
            <w14:solidFill>
              <w14:schemeClr w14:val="tx1"/>
            </w14:solidFill>
          </w14:textFill>
        </w:rPr>
        <w:t>。</w:t>
      </w:r>
    </w:p>
    <w:p w14:paraId="568CE821">
      <w:pPr>
        <w:spacing w:line="520" w:lineRule="exact"/>
        <w:ind w:firstLine="529" w:firstLineChars="189"/>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2.乙方违反第六条关于</w:t>
      </w:r>
      <w:r>
        <w:rPr>
          <w:rStyle w:val="337"/>
          <w:rFonts w:hint="eastAsia" w:ascii="仿宋" w:eastAsia="仿宋"/>
          <w:color w:val="000000" w:themeColor="text1"/>
          <w:sz w:val="28"/>
          <w:szCs w:val="28"/>
          <w:highlight w:val="none"/>
          <w14:textFill>
            <w14:solidFill>
              <w14:schemeClr w14:val="tx1"/>
            </w14:solidFill>
          </w14:textFill>
        </w:rPr>
        <w:t>交付期及质保期</w:t>
      </w:r>
      <w:r>
        <w:rPr>
          <w:rStyle w:val="337"/>
          <w:rFonts w:ascii="仿宋" w:eastAsia="仿宋"/>
          <w:color w:val="000000" w:themeColor="text1"/>
          <w:sz w:val="28"/>
          <w:szCs w:val="28"/>
          <w:highlight w:val="none"/>
          <w14:textFill>
            <w14:solidFill>
              <w14:schemeClr w14:val="tx1"/>
            </w14:solidFill>
          </w14:textFill>
        </w:rPr>
        <w:t>的约定，逾期交货、逾期交付验收或者经验收不合格而重新供货、交付验收，每逾期一日按照逾期部分合同价款的3‰向甲方支付违约金，直至到货，不足一日，按一日计算（下同），甲方有权要求乙方赔偿因此造成的全部经济损失。</w:t>
      </w:r>
    </w:p>
    <w:p w14:paraId="2C0674BA">
      <w:pPr>
        <w:spacing w:line="520" w:lineRule="exact"/>
        <w:ind w:firstLine="529" w:firstLineChars="189"/>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3.因乙方违约致使合同被解除的，如果在解除前甲方已经实际使用了乙方的产品而解除后需要退货的，则对使用期间的损耗或折旧甲方不负责补偿。</w:t>
      </w:r>
    </w:p>
    <w:p w14:paraId="3AD21353">
      <w:pPr>
        <w:spacing w:line="520" w:lineRule="exact"/>
        <w:ind w:firstLine="529" w:firstLineChars="189"/>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4.项目验收不合格执行本合同第</w:t>
      </w:r>
      <w:r>
        <w:rPr>
          <w:rStyle w:val="337"/>
          <w:rFonts w:hint="eastAsia" w:ascii="仿宋" w:eastAsia="仿宋"/>
          <w:color w:val="000000" w:themeColor="text1"/>
          <w:sz w:val="28"/>
          <w:szCs w:val="28"/>
          <w:highlight w:val="none"/>
          <w14:textFill>
            <w14:solidFill>
              <w14:schemeClr w14:val="tx1"/>
            </w14:solidFill>
          </w14:textFill>
        </w:rPr>
        <w:t>七</w:t>
      </w:r>
      <w:r>
        <w:rPr>
          <w:rStyle w:val="337"/>
          <w:rFonts w:ascii="仿宋" w:eastAsia="仿宋"/>
          <w:color w:val="000000" w:themeColor="text1"/>
          <w:sz w:val="28"/>
          <w:szCs w:val="28"/>
          <w:highlight w:val="none"/>
          <w14:textFill>
            <w14:solidFill>
              <w14:schemeClr w14:val="tx1"/>
            </w14:solidFill>
          </w14:textFill>
        </w:rPr>
        <w:t>条第三款。</w:t>
      </w:r>
    </w:p>
    <w:p w14:paraId="5A779441">
      <w:pPr>
        <w:spacing w:line="520" w:lineRule="exact"/>
        <w:ind w:firstLine="529" w:firstLineChars="189"/>
        <w:rPr>
          <w:rStyle w:val="337"/>
          <w:rFonts w:ascii="仿宋" w:eastAsia="仿宋"/>
          <w:bCs/>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5.</w:t>
      </w:r>
      <w:r>
        <w:rPr>
          <w:rStyle w:val="337"/>
          <w:rFonts w:ascii="仿宋" w:eastAsia="仿宋"/>
          <w:bCs/>
          <w:color w:val="000000" w:themeColor="text1"/>
          <w:sz w:val="28"/>
          <w:szCs w:val="28"/>
          <w:highlight w:val="none"/>
          <w14:textFill>
            <w14:solidFill>
              <w14:schemeClr w14:val="tx1"/>
            </w14:solidFill>
          </w14:textFill>
        </w:rPr>
        <w:t>乙方无正当理由不履行本合同的，乙方应按本合同的约定承担违约责任。乙方履行合同不符合约定导致甲方解除合同的，乙方应按本合同的约定承担违约责任。乙方履行合同不符合约定但经采取补救措施后达到合同约定标准的，甲方有权在应向乙方支付的合同价款中扣除乙方承担的违约金和赔偿的损失。</w:t>
      </w:r>
    </w:p>
    <w:p w14:paraId="6DCF41AD">
      <w:pPr>
        <w:spacing w:line="520" w:lineRule="exact"/>
        <w:ind w:firstLine="529" w:firstLineChars="189"/>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6.一方因不可抗力导致合同不能履行的，不承担违约责任。但应当及时通知对方，以减轻可能给对方造成的损失，并应当在合理期限内提供证明。“不可抗力”是指不能预见、不能避免并不能克服的客观情况，如：战争、严重火灾、洪水、台风、地震等事件。</w:t>
      </w:r>
    </w:p>
    <w:p w14:paraId="7781538D">
      <w:pPr>
        <w:spacing w:line="520" w:lineRule="exact"/>
        <w:ind w:firstLine="529" w:firstLineChars="189"/>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7.乙方存在下列行为的，纳入</w:t>
      </w:r>
      <w:r>
        <w:rPr>
          <w:rStyle w:val="337"/>
          <w:rFonts w:ascii="仿宋" w:eastAsia="仿宋"/>
          <w:color w:val="000000" w:themeColor="text1"/>
          <w:kern w:val="0"/>
          <w:sz w:val="28"/>
          <w:szCs w:val="28"/>
          <w:highlight w:val="none"/>
          <w14:textFill>
            <w14:solidFill>
              <w14:schemeClr w14:val="tx1"/>
            </w14:solidFill>
          </w14:textFill>
        </w:rPr>
        <w:t>招标代理机构的</w:t>
      </w:r>
      <w:r>
        <w:rPr>
          <w:rStyle w:val="337"/>
          <w:rFonts w:ascii="仿宋" w:eastAsia="仿宋"/>
          <w:color w:val="000000" w:themeColor="text1"/>
          <w:sz w:val="28"/>
          <w:szCs w:val="28"/>
          <w:highlight w:val="none"/>
          <w14:textFill>
            <w14:solidFill>
              <w14:schemeClr w14:val="tx1"/>
            </w14:solidFill>
          </w14:textFill>
        </w:rPr>
        <w:t>诚信记录：</w:t>
      </w:r>
    </w:p>
    <w:p w14:paraId="0D2C9CF2">
      <w:pPr>
        <w:spacing w:line="520" w:lineRule="exact"/>
        <w:ind w:firstLine="529" w:firstLineChars="189"/>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（1）无正当理由放弃采购合同履约的；</w:t>
      </w:r>
    </w:p>
    <w:p w14:paraId="50C1E600">
      <w:pPr>
        <w:spacing w:line="520" w:lineRule="exact"/>
        <w:ind w:firstLine="531" w:firstLineChars="189"/>
        <w:rPr>
          <w:rStyle w:val="337"/>
          <w:rFonts w:ascii="仿宋" w:eastAsia="仿宋" w:cs="仿宋_GB2312"/>
          <w:b/>
          <w:bCs/>
          <w:color w:val="000000" w:themeColor="text1"/>
          <w:sz w:val="28"/>
          <w:szCs w:val="28"/>
          <w:highlight w:val="none"/>
          <w14:textFill>
            <w14:solidFill>
              <w14:schemeClr w14:val="tx1"/>
            </w14:solidFill>
          </w14:textFill>
        </w:rPr>
      </w:pPr>
      <w:r>
        <w:rPr>
          <w:rStyle w:val="337"/>
          <w:rFonts w:ascii="仿宋" w:eastAsia="仿宋"/>
          <w:b/>
          <w:color w:val="000000" w:themeColor="text1"/>
          <w:sz w:val="28"/>
          <w:szCs w:val="28"/>
          <w:highlight w:val="none"/>
          <w14:textFill>
            <w14:solidFill>
              <w14:schemeClr w14:val="tx1"/>
            </w14:solidFill>
          </w14:textFill>
        </w:rPr>
        <w:t>（2）</w:t>
      </w:r>
      <w:r>
        <w:rPr>
          <w:rStyle w:val="337"/>
          <w:rFonts w:ascii="仿宋" w:eastAsia="仿宋" w:cs="仿宋_GB2312"/>
          <w:b/>
          <w:bCs/>
          <w:color w:val="000000" w:themeColor="text1"/>
          <w:sz w:val="28"/>
          <w:szCs w:val="28"/>
          <w:highlight w:val="none"/>
          <w14:textFill>
            <w14:solidFill>
              <w14:schemeClr w14:val="tx1"/>
            </w14:solidFill>
          </w14:textFill>
        </w:rPr>
        <w:t>不履行合同义务，情节严重的；</w:t>
      </w:r>
    </w:p>
    <w:p w14:paraId="2230989E">
      <w:pPr>
        <w:spacing w:line="520" w:lineRule="exact"/>
        <w:ind w:firstLine="529" w:firstLineChars="189"/>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s="仿宋_GB2312"/>
          <w:bCs/>
          <w:color w:val="000000" w:themeColor="text1"/>
          <w:sz w:val="28"/>
          <w:szCs w:val="28"/>
          <w:highlight w:val="none"/>
          <w14:textFill>
            <w14:solidFill>
              <w14:schemeClr w14:val="tx1"/>
            </w14:solidFill>
          </w14:textFill>
        </w:rPr>
        <w:t>（3）</w:t>
      </w:r>
      <w:r>
        <w:rPr>
          <w:rStyle w:val="337"/>
          <w:rFonts w:ascii="仿宋" w:eastAsia="仿宋"/>
          <w:color w:val="000000" w:themeColor="text1"/>
          <w:sz w:val="28"/>
          <w:szCs w:val="28"/>
          <w:highlight w:val="none"/>
          <w14:textFill>
            <w14:solidFill>
              <w14:schemeClr w14:val="tx1"/>
            </w14:solidFill>
          </w14:textFill>
        </w:rPr>
        <w:t>在数量、质量、技术、服务、安全、标准、功能、工艺等方面不符合采购合同约定，给采购人造成较大损失或者影响的；</w:t>
      </w:r>
    </w:p>
    <w:p w14:paraId="541761EE">
      <w:pPr>
        <w:spacing w:line="520" w:lineRule="exact"/>
        <w:ind w:firstLine="529" w:firstLineChars="189"/>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（4）因履约问题影响采购项目功能实现又拒不纠正的；</w:t>
      </w:r>
    </w:p>
    <w:p w14:paraId="108499A2">
      <w:pPr>
        <w:spacing w:line="520" w:lineRule="exact"/>
        <w:ind w:firstLine="529" w:firstLineChars="189"/>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（5）与甲方工作人员或者验收小组成员串通，实施虚假履约验收的；</w:t>
      </w:r>
    </w:p>
    <w:p w14:paraId="4904426F">
      <w:pPr>
        <w:spacing w:line="520" w:lineRule="exact"/>
        <w:ind w:firstLine="529" w:firstLineChars="189"/>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（6）其他损害公共利益、采购人利益、第三方权益且情节较重的。</w:t>
      </w:r>
    </w:p>
    <w:p w14:paraId="5DCDA373">
      <w:pPr>
        <w:spacing w:line="520" w:lineRule="exact"/>
        <w:ind w:firstLine="529" w:firstLineChars="189"/>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8.由违约方承担因违约给对方造成的诉讼费、保全费、保全保险费、律师代理费、差旅费等因处理纠纷产生的所有费用。</w:t>
      </w:r>
    </w:p>
    <w:p w14:paraId="004959B5">
      <w:pPr>
        <w:spacing w:line="520" w:lineRule="exact"/>
        <w:ind w:firstLine="562" w:firstLineChars="200"/>
        <w:rPr>
          <w:rStyle w:val="337"/>
          <w:rFonts w:ascii="仿宋" w:eastAsia="仿宋"/>
          <w:b/>
          <w:bCs/>
          <w:color w:val="000000" w:themeColor="text1"/>
          <w:sz w:val="28"/>
          <w:szCs w:val="28"/>
          <w:highlight w:val="none"/>
          <w14:textFill>
            <w14:solidFill>
              <w14:schemeClr w14:val="tx1"/>
            </w14:solidFill>
          </w14:textFill>
        </w:rPr>
      </w:pPr>
      <w:r>
        <w:rPr>
          <w:rStyle w:val="337"/>
          <w:rFonts w:ascii="仿宋" w:eastAsia="仿宋"/>
          <w:b/>
          <w:bCs/>
          <w:color w:val="000000" w:themeColor="text1"/>
          <w:sz w:val="28"/>
          <w:szCs w:val="28"/>
          <w:highlight w:val="none"/>
          <w14:textFill>
            <w14:solidFill>
              <w14:schemeClr w14:val="tx1"/>
            </w14:solidFill>
          </w14:textFill>
        </w:rPr>
        <w:t>十</w:t>
      </w:r>
      <w:r>
        <w:rPr>
          <w:rStyle w:val="337"/>
          <w:rFonts w:hint="eastAsia" w:ascii="仿宋" w:eastAsia="仿宋"/>
          <w:b/>
          <w:bCs/>
          <w:color w:val="000000" w:themeColor="text1"/>
          <w:sz w:val="28"/>
          <w:szCs w:val="28"/>
          <w:highlight w:val="none"/>
          <w14:textFill>
            <w14:solidFill>
              <w14:schemeClr w14:val="tx1"/>
            </w14:solidFill>
          </w14:textFill>
        </w:rPr>
        <w:t>三</w:t>
      </w:r>
      <w:r>
        <w:rPr>
          <w:rStyle w:val="337"/>
          <w:rFonts w:ascii="仿宋" w:eastAsia="仿宋"/>
          <w:b/>
          <w:bCs/>
          <w:color w:val="000000" w:themeColor="text1"/>
          <w:sz w:val="28"/>
          <w:szCs w:val="28"/>
          <w:highlight w:val="none"/>
          <w14:textFill>
            <w14:solidFill>
              <w14:schemeClr w14:val="tx1"/>
            </w14:solidFill>
          </w14:textFill>
        </w:rPr>
        <w:t>、争议解决</w:t>
      </w:r>
    </w:p>
    <w:p w14:paraId="0E3ED270">
      <w:pPr>
        <w:spacing w:line="520" w:lineRule="exact"/>
        <w:ind w:firstLine="560"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1.合同执行期内，甲、乙双方均不得随意变更或解除合同。合同如有未尽事宜，须经双方共同协商，作出补充协议，补充协议与本合同具有同等效力。</w:t>
      </w:r>
    </w:p>
    <w:p w14:paraId="6F00F91C">
      <w:pPr>
        <w:spacing w:line="520" w:lineRule="exact"/>
        <w:ind w:firstLine="560"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2.合同各方应通过友好协商，解决执行本合同中所发生的或与本合同有关的一切争议，如协商不成，甲、乙双方可向荣成市人民法院提起诉讼。</w:t>
      </w:r>
    </w:p>
    <w:p w14:paraId="1747D736">
      <w:pPr>
        <w:spacing w:line="520" w:lineRule="exact"/>
        <w:ind w:firstLine="560"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3.在诉讼期间，本合同无争议的部分应继续履行。</w:t>
      </w:r>
    </w:p>
    <w:p w14:paraId="5C76A7B6">
      <w:pPr>
        <w:spacing w:line="520" w:lineRule="exact"/>
        <w:ind w:firstLine="562" w:firstLineChars="200"/>
        <w:rPr>
          <w:rStyle w:val="337"/>
          <w:rFonts w:ascii="仿宋" w:eastAsia="仿宋"/>
          <w:b/>
          <w:bCs/>
          <w:color w:val="000000" w:themeColor="text1"/>
          <w:sz w:val="28"/>
          <w:szCs w:val="28"/>
          <w:highlight w:val="none"/>
          <w14:textFill>
            <w14:solidFill>
              <w14:schemeClr w14:val="tx1"/>
            </w14:solidFill>
          </w14:textFill>
        </w:rPr>
      </w:pPr>
      <w:r>
        <w:rPr>
          <w:rStyle w:val="337"/>
          <w:rFonts w:ascii="仿宋" w:eastAsia="仿宋"/>
          <w:b/>
          <w:bCs/>
          <w:color w:val="000000" w:themeColor="text1"/>
          <w:sz w:val="28"/>
          <w:szCs w:val="28"/>
          <w:highlight w:val="none"/>
          <w14:textFill>
            <w14:solidFill>
              <w14:schemeClr w14:val="tx1"/>
            </w14:solidFill>
          </w14:textFill>
        </w:rPr>
        <w:t>十</w:t>
      </w:r>
      <w:r>
        <w:rPr>
          <w:rStyle w:val="337"/>
          <w:rFonts w:hint="eastAsia" w:ascii="仿宋" w:eastAsia="仿宋"/>
          <w:b/>
          <w:bCs/>
          <w:color w:val="000000" w:themeColor="text1"/>
          <w:sz w:val="28"/>
          <w:szCs w:val="28"/>
          <w:highlight w:val="none"/>
          <w14:textFill>
            <w14:solidFill>
              <w14:schemeClr w14:val="tx1"/>
            </w14:solidFill>
          </w14:textFill>
        </w:rPr>
        <w:t>四</w:t>
      </w:r>
      <w:r>
        <w:rPr>
          <w:rStyle w:val="337"/>
          <w:rFonts w:ascii="仿宋" w:eastAsia="仿宋"/>
          <w:b/>
          <w:bCs/>
          <w:color w:val="000000" w:themeColor="text1"/>
          <w:sz w:val="28"/>
          <w:szCs w:val="28"/>
          <w:highlight w:val="none"/>
          <w14:textFill>
            <w14:solidFill>
              <w14:schemeClr w14:val="tx1"/>
            </w14:solidFill>
          </w14:textFill>
        </w:rPr>
        <w:t>、合同生效</w:t>
      </w:r>
    </w:p>
    <w:p w14:paraId="1C2514A3">
      <w:pPr>
        <w:pStyle w:val="404"/>
        <w:spacing w:line="520" w:lineRule="exact"/>
        <w:ind w:firstLine="567"/>
        <w:rPr>
          <w:rStyle w:val="337"/>
          <w:rFonts w:ascii="仿宋" w:eastAsia="仿宋"/>
          <w:color w:val="000000" w:themeColor="text1"/>
          <w:sz w:val="28"/>
          <w:szCs w:val="28"/>
          <w:highlight w:val="none"/>
          <w:shd w:val="pct10" w:color="auto" w:fill="FFFFFF"/>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本合同由各方代表签字并加盖各方公章或合同章及骑缝章后生效。。</w:t>
      </w:r>
    </w:p>
    <w:p w14:paraId="673666D0">
      <w:pPr>
        <w:spacing w:line="520" w:lineRule="exact"/>
        <w:ind w:firstLine="562"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b/>
          <w:color w:val="000000" w:themeColor="text1"/>
          <w:sz w:val="28"/>
          <w:szCs w:val="28"/>
          <w:highlight w:val="none"/>
          <w14:textFill>
            <w14:solidFill>
              <w14:schemeClr w14:val="tx1"/>
            </w14:solidFill>
          </w14:textFill>
        </w:rPr>
        <w:t>十</w:t>
      </w:r>
      <w:r>
        <w:rPr>
          <w:rStyle w:val="337"/>
          <w:rFonts w:hint="eastAsia" w:ascii="仿宋" w:eastAsia="仿宋"/>
          <w:b/>
          <w:color w:val="000000" w:themeColor="text1"/>
          <w:sz w:val="28"/>
          <w:szCs w:val="28"/>
          <w:highlight w:val="none"/>
          <w14:textFill>
            <w14:solidFill>
              <w14:schemeClr w14:val="tx1"/>
            </w14:solidFill>
          </w14:textFill>
        </w:rPr>
        <w:t>五</w:t>
      </w:r>
      <w:r>
        <w:rPr>
          <w:rStyle w:val="337"/>
          <w:rFonts w:ascii="仿宋" w:eastAsia="仿宋"/>
          <w:b/>
          <w:color w:val="000000" w:themeColor="text1"/>
          <w:sz w:val="28"/>
          <w:szCs w:val="28"/>
          <w:highlight w:val="none"/>
          <w14:textFill>
            <w14:solidFill>
              <w14:schemeClr w14:val="tx1"/>
            </w14:solidFill>
          </w14:textFill>
        </w:rPr>
        <w:t>、签约地点：</w:t>
      </w:r>
      <w:r>
        <w:rPr>
          <w:rStyle w:val="337"/>
          <w:rFonts w:ascii="仿宋" w:eastAsia="仿宋"/>
          <w:color w:val="000000" w:themeColor="text1"/>
          <w:sz w:val="28"/>
          <w:szCs w:val="28"/>
          <w:highlight w:val="none"/>
          <w14:textFill>
            <w14:solidFill>
              <w14:schemeClr w14:val="tx1"/>
            </w14:solidFill>
          </w14:textFill>
        </w:rPr>
        <w:t>山东省荣成市。</w:t>
      </w:r>
    </w:p>
    <w:p w14:paraId="4F25100B">
      <w:pPr>
        <w:spacing w:line="360" w:lineRule="exact"/>
        <w:ind w:firstLine="700" w:firstLineChars="250"/>
        <w:rPr>
          <w:rStyle w:val="337"/>
          <w:rFonts w:ascii="仿宋" w:eastAsia="仿宋"/>
          <w:color w:val="000000" w:themeColor="text1"/>
          <w:sz w:val="28"/>
          <w:szCs w:val="28"/>
          <w:highlight w:val="none"/>
          <w14:textFill>
            <w14:solidFill>
              <w14:schemeClr w14:val="tx1"/>
            </w14:solidFill>
          </w14:textFill>
        </w:rPr>
      </w:pPr>
    </w:p>
    <w:p w14:paraId="61ECD413">
      <w:pPr>
        <w:spacing w:line="360" w:lineRule="exact"/>
        <w:rPr>
          <w:rStyle w:val="337"/>
          <w:rFonts w:ascii="仿宋" w:eastAsia="仿宋"/>
          <w:color w:val="000000" w:themeColor="text1"/>
          <w:sz w:val="28"/>
          <w:szCs w:val="28"/>
          <w:highlight w:val="none"/>
          <w14:textFill>
            <w14:solidFill>
              <w14:schemeClr w14:val="tx1"/>
            </w14:solidFill>
          </w14:textFill>
        </w:rPr>
      </w:pPr>
    </w:p>
    <w:p w14:paraId="29B75A9C">
      <w:pPr>
        <w:spacing w:line="360" w:lineRule="exact"/>
        <w:ind w:firstLine="700" w:firstLineChars="250"/>
        <w:rPr>
          <w:rStyle w:val="337"/>
          <w:rFonts w:ascii="仿宋" w:eastAsia="仿宋"/>
          <w:color w:val="000000" w:themeColor="text1"/>
          <w:sz w:val="28"/>
          <w:szCs w:val="28"/>
          <w:highlight w:val="none"/>
          <w14:textFill>
            <w14:solidFill>
              <w14:schemeClr w14:val="tx1"/>
            </w14:solidFill>
          </w14:textFill>
        </w:rPr>
      </w:pPr>
    </w:p>
    <w:p w14:paraId="788EC2F8">
      <w:pPr>
        <w:spacing w:line="360" w:lineRule="exact"/>
        <w:rPr>
          <w:rStyle w:val="337"/>
          <w:rFonts w:hint="eastAsia" w:ascii="仿宋" w:eastAsia="仿宋"/>
          <w:color w:val="000000" w:themeColor="text1"/>
          <w:sz w:val="28"/>
          <w:szCs w:val="28"/>
          <w:highlight w:val="none"/>
          <w:lang w:eastAsia="zh-CN"/>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甲    方：</w:t>
      </w:r>
      <w:r>
        <w:rPr>
          <w:rFonts w:hint="eastAsia" w:ascii="仿宋" w:eastAsia="仿宋"/>
          <w:color w:val="000000" w:themeColor="text1"/>
          <w:sz w:val="28"/>
          <w:szCs w:val="28"/>
          <w:highlight w:val="none"/>
          <w:lang w:eastAsia="zh-CN"/>
          <w14:textFill>
            <w14:solidFill>
              <w14:schemeClr w14:val="tx1"/>
            </w14:solidFill>
          </w14:textFill>
        </w:rPr>
        <w:t>荣成市土地发展集团有限公司</w:t>
      </w:r>
    </w:p>
    <w:p w14:paraId="7E172241">
      <w:pPr>
        <w:spacing w:line="360" w:lineRule="exact"/>
        <w:rPr>
          <w:rStyle w:val="337"/>
          <w:rFonts w:ascii="仿宋" w:eastAsia="仿宋"/>
          <w:color w:val="000000" w:themeColor="text1"/>
          <w:sz w:val="28"/>
          <w:szCs w:val="28"/>
          <w:highlight w:val="none"/>
          <w14:textFill>
            <w14:solidFill>
              <w14:schemeClr w14:val="tx1"/>
            </w14:solidFill>
          </w14:textFill>
        </w:rPr>
      </w:pPr>
    </w:p>
    <w:p w14:paraId="22ADF250">
      <w:pPr>
        <w:spacing w:line="360" w:lineRule="exact"/>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单位盖章：</w:t>
      </w:r>
    </w:p>
    <w:p w14:paraId="5C3A7F30">
      <w:pPr>
        <w:spacing w:line="360" w:lineRule="exact"/>
        <w:rPr>
          <w:rStyle w:val="337"/>
          <w:rFonts w:ascii="仿宋" w:eastAsia="仿宋"/>
          <w:color w:val="000000" w:themeColor="text1"/>
          <w:sz w:val="28"/>
          <w:szCs w:val="28"/>
          <w:highlight w:val="none"/>
          <w14:textFill>
            <w14:solidFill>
              <w14:schemeClr w14:val="tx1"/>
            </w14:solidFill>
          </w14:textFill>
        </w:rPr>
      </w:pPr>
    </w:p>
    <w:p w14:paraId="33A53104">
      <w:pPr>
        <w:spacing w:line="360" w:lineRule="exact"/>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代表签字：</w:t>
      </w:r>
    </w:p>
    <w:p w14:paraId="52B75CC9">
      <w:pPr>
        <w:spacing w:line="360" w:lineRule="exact"/>
        <w:rPr>
          <w:rStyle w:val="337"/>
          <w:rFonts w:ascii="仿宋" w:eastAsia="仿宋"/>
          <w:color w:val="000000" w:themeColor="text1"/>
          <w:sz w:val="28"/>
          <w:szCs w:val="28"/>
          <w:highlight w:val="none"/>
          <w14:textFill>
            <w14:solidFill>
              <w14:schemeClr w14:val="tx1"/>
            </w14:solidFill>
          </w14:textFill>
        </w:rPr>
      </w:pPr>
    </w:p>
    <w:p w14:paraId="0B67B282">
      <w:pPr>
        <w:spacing w:line="360" w:lineRule="exact"/>
        <w:rPr>
          <w:rStyle w:val="337"/>
          <w:rFonts w:ascii="仿宋" w:eastAsia="仿宋"/>
          <w:color w:val="000000" w:themeColor="text1"/>
          <w:sz w:val="28"/>
          <w:szCs w:val="28"/>
          <w:highlight w:val="none"/>
          <w14:textFill>
            <w14:solidFill>
              <w14:schemeClr w14:val="tx1"/>
            </w14:solidFill>
          </w14:textFill>
        </w:rPr>
      </w:pPr>
    </w:p>
    <w:p w14:paraId="0D677B82">
      <w:pPr>
        <w:spacing w:line="360" w:lineRule="exact"/>
        <w:rPr>
          <w:rStyle w:val="337"/>
          <w:rFonts w:ascii="仿宋" w:eastAsia="仿宋"/>
          <w:b/>
          <w:bCs/>
          <w:color w:val="000000" w:themeColor="text1"/>
          <w:sz w:val="28"/>
          <w:szCs w:val="28"/>
          <w:highlight w:val="none"/>
          <w:shd w:val="pct10" w:color="auto" w:fill="FFFFFF"/>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乙    方：</w:t>
      </w:r>
      <w:r>
        <w:rPr>
          <w:rStyle w:val="337"/>
          <w:rFonts w:hint="eastAsia" w:ascii="仿宋" w:eastAsia="仿宋"/>
          <w:color w:val="000000" w:themeColor="text1"/>
          <w:sz w:val="28"/>
          <w:szCs w:val="28"/>
          <w:highlight w:val="none"/>
          <w14:textFill>
            <w14:solidFill>
              <w14:schemeClr w14:val="tx1"/>
            </w14:solidFill>
          </w14:textFill>
        </w:rPr>
        <w:t>中标人</w:t>
      </w:r>
    </w:p>
    <w:p w14:paraId="34940E6C">
      <w:pPr>
        <w:pStyle w:val="404"/>
        <w:spacing w:line="360" w:lineRule="exact"/>
        <w:rPr>
          <w:rStyle w:val="337"/>
          <w:rFonts w:ascii="仿宋" w:eastAsia="仿宋"/>
          <w:color w:val="000000" w:themeColor="text1"/>
          <w:sz w:val="28"/>
          <w:szCs w:val="28"/>
          <w:highlight w:val="none"/>
          <w14:textFill>
            <w14:solidFill>
              <w14:schemeClr w14:val="tx1"/>
            </w14:solidFill>
          </w14:textFill>
        </w:rPr>
      </w:pPr>
    </w:p>
    <w:p w14:paraId="671C0893">
      <w:pPr>
        <w:pStyle w:val="404"/>
        <w:spacing w:line="360" w:lineRule="exact"/>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 xml:space="preserve">单位盖章: </w:t>
      </w:r>
    </w:p>
    <w:p w14:paraId="78BCAAAD">
      <w:pPr>
        <w:pStyle w:val="404"/>
        <w:spacing w:line="360" w:lineRule="exact"/>
        <w:rPr>
          <w:rStyle w:val="337"/>
          <w:rFonts w:ascii="仿宋" w:eastAsia="仿宋"/>
          <w:color w:val="000000" w:themeColor="text1"/>
          <w:sz w:val="28"/>
          <w:szCs w:val="28"/>
          <w:highlight w:val="none"/>
          <w14:textFill>
            <w14:solidFill>
              <w14:schemeClr w14:val="tx1"/>
            </w14:solidFill>
          </w14:textFill>
        </w:rPr>
      </w:pPr>
    </w:p>
    <w:p w14:paraId="06361D48">
      <w:pPr>
        <w:pStyle w:val="13"/>
        <w:ind w:firstLine="0"/>
        <w:rPr>
          <w:rFonts w:ascii="仿宋" w:hAnsi="仿宋" w:eastAsia="仿宋"/>
          <w:color w:val="000000" w:themeColor="text1"/>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代表签字:</w:t>
      </w:r>
    </w:p>
    <w:p w14:paraId="2C7CBFDA">
      <w:pPr>
        <w:pStyle w:val="13"/>
        <w:rPr>
          <w:rFonts w:ascii="仿宋" w:hAnsi="仿宋" w:eastAsia="仿宋"/>
          <w:color w:val="000000" w:themeColor="text1"/>
          <w:highlight w:val="none"/>
          <w14:textFill>
            <w14:solidFill>
              <w14:schemeClr w14:val="tx1"/>
            </w14:solidFill>
          </w14:textFill>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AF339660-637A-45E1-A39B-FA10ABA79E6E}"/>
  </w:font>
  <w:font w:name="Courier New">
    <w:panose1 w:val="02070309020205020404"/>
    <w:charset w:val="01"/>
    <w:family w:val="modern"/>
    <w:pitch w:val="default"/>
    <w:sig w:usb0="E0002EFF" w:usb1="C0007843" w:usb2="00000009" w:usb3="00000000" w:csb0="400001FF" w:csb1="FFFF0000"/>
    <w:embedRegular r:id="rId2" w:fontKey="{6107A928-0171-44C5-942A-6BF0F619F6C3}"/>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3" w:fontKey="{2443A502-611F-4E66-A178-53EC049D88D4}"/>
  </w:font>
  <w:font w:name="Cambria">
    <w:panose1 w:val="02040503050406030204"/>
    <w:charset w:val="00"/>
    <w:family w:val="roman"/>
    <w:pitch w:val="default"/>
    <w:sig w:usb0="E00006FF" w:usb1="420024FF" w:usb2="02000000" w:usb3="00000000" w:csb0="2000019F" w:csb1="00000000"/>
    <w:embedRegular r:id="rId4" w:fontKey="{33CF8B03-E695-4C01-A6E9-86C53BCE4ABF}"/>
  </w:font>
  <w:font w:name="等线">
    <w:panose1 w:val="02010600030101010101"/>
    <w:charset w:val="86"/>
    <w:family w:val="auto"/>
    <w:pitch w:val="default"/>
    <w:sig w:usb0="A00002BF" w:usb1="38CF7CFA" w:usb2="00000016" w:usb3="00000000" w:csb0="0004000F" w:csb1="00000000"/>
  </w:font>
  <w:font w:name="创艺繁楷体">
    <w:altName w:val="宋体"/>
    <w:panose1 w:val="00000000000000000000"/>
    <w:charset w:val="86"/>
    <w:family w:val="auto"/>
    <w:pitch w:val="default"/>
    <w:sig w:usb0="00000000" w:usb1="00000000" w:usb2="00000010" w:usb3="00000000" w:csb0="00040000" w:csb1="00000000"/>
  </w:font>
  <w:font w:name="楷体_GB2312">
    <w:panose1 w:val="02010609030101010101"/>
    <w:charset w:val="86"/>
    <w:family w:val="modern"/>
    <w:pitch w:val="default"/>
    <w:sig w:usb0="00000001" w:usb1="080E0000" w:usb2="00000000" w:usb3="00000000" w:csb0="00040000" w:csb1="00000000"/>
    <w:embedRegular r:id="rId5" w:fontKey="{35B473AC-2F63-4D99-889C-E0EC94E35420}"/>
  </w:font>
  <w:font w:name="方正楷体简体">
    <w:altName w:val="楷体_GB2312"/>
    <w:panose1 w:val="02000000000000000000"/>
    <w:charset w:val="86"/>
    <w:family w:val="script"/>
    <w:pitch w:val="default"/>
    <w:sig w:usb0="00000000" w:usb1="00000000" w:usb2="00000012" w:usb3="00000000" w:csb0="00040001" w:csb1="00000000"/>
  </w:font>
  <w:font w:name="等线 Light">
    <w:panose1 w:val="02010600030101010101"/>
    <w:charset w:val="86"/>
    <w:family w:val="auto"/>
    <w:pitch w:val="default"/>
    <w:sig w:usb0="A00002BF" w:usb1="38CF7CFA" w:usb2="00000016" w:usb3="00000000" w:csb0="0004000F" w:csb1="00000000"/>
  </w:font>
  <w:font w:name="Microsoft YaHei UI">
    <w:panose1 w:val="020B0503020204020204"/>
    <w:charset w:val="86"/>
    <w:family w:val="swiss"/>
    <w:pitch w:val="default"/>
    <w:sig w:usb0="80000287" w:usb1="2ACF3C50" w:usb2="00000016" w:usb3="00000000" w:csb0="0004001F" w:csb1="00000000"/>
  </w:font>
  <w:font w:name="仿宋_GB2312">
    <w:panose1 w:val="02010609030101010101"/>
    <w:charset w:val="86"/>
    <w:family w:val="modern"/>
    <w:pitch w:val="default"/>
    <w:sig w:usb0="00000001" w:usb1="080E0000" w:usb2="00000000" w:usb3="00000000" w:csb0="00040000" w:csb1="00000000"/>
    <w:embedRegular r:id="rId6" w:fontKey="{3DB8809D-B98F-4ECB-A75B-091A11D7AE67}"/>
  </w:font>
  <w:font w:name="方正小标宋简体">
    <w:panose1 w:val="03000509000000000000"/>
    <w:charset w:val="86"/>
    <w:family w:val="script"/>
    <w:pitch w:val="default"/>
    <w:sig w:usb0="00000001" w:usb1="080E0000" w:usb2="00000000" w:usb3="00000000" w:csb0="00040000" w:csb1="00000000"/>
    <w:embedRegular r:id="rId7" w:fontKey="{CB6D5989-4E22-42A3-B5E6-B7FBCF4AE41A}"/>
  </w:font>
  <w:font w:name="Arial Unicode MS">
    <w:altName w:val="宋体"/>
    <w:panose1 w:val="020B0604020202020204"/>
    <w:charset w:val="86"/>
    <w:family w:val="roman"/>
    <w:pitch w:val="default"/>
    <w:sig w:usb0="00000000" w:usb1="00000000" w:usb2="0000003F" w:usb3="00000000" w:csb0="603F01FF" w:csb1="FFFF0000"/>
  </w:font>
  <w:font w:name="华文细黑">
    <w:altName w:val="微软雅黑"/>
    <w:panose1 w:val="02010600040101010101"/>
    <w:charset w:val="86"/>
    <w:family w:val="auto"/>
    <w:pitch w:val="default"/>
    <w:sig w:usb0="00000000" w:usb1="00000000" w:usb2="00000000" w:usb3="00000000" w:csb0="0004009F" w:csb1="DFD70000"/>
  </w:font>
  <w:font w:name="Verdana">
    <w:panose1 w:val="020B0604030504040204"/>
    <w:charset w:val="00"/>
    <w:family w:val="swiss"/>
    <w:pitch w:val="default"/>
    <w:sig w:usb0="A00006FF" w:usb1="4000205B" w:usb2="00000010" w:usb3="00000000" w:csb0="2000019F" w:csb1="00000000"/>
  </w:font>
  <w:font w:name="Tahoma">
    <w:panose1 w:val="020B0604030504040204"/>
    <w:charset w:val="00"/>
    <w:family w:val="swiss"/>
    <w:pitch w:val="default"/>
    <w:sig w:usb0="E1002EFF" w:usb1="C000605B" w:usb2="00000029" w:usb3="00000000" w:csb0="200101FF" w:csb1="20280000"/>
  </w:font>
  <w:font w:name="ˎ̥">
    <w:altName w:val="Times New Roman"/>
    <w:panose1 w:val="00000000000000000000"/>
    <w:charset w:val="00"/>
    <w:family w:val="roman"/>
    <w:pitch w:val="default"/>
    <w:sig w:usb0="00000000" w:usb1="00000000" w:usb2="00000000" w:usb3="00000000" w:csb0="00040001" w:csb1="00000000"/>
  </w:font>
  <w:font w:name="华文中宋">
    <w:altName w:val="宋体"/>
    <w:panose1 w:val="02010600040101010101"/>
    <w:charset w:val="86"/>
    <w:family w:val="auto"/>
    <w:pitch w:val="default"/>
    <w:sig w:usb0="00000000" w:usb1="00000000" w:usb2="00000000" w:usb3="00000000" w:csb0="0004009F" w:csb1="DFD70000"/>
  </w:font>
  <w:font w:name="Arial Narrow">
    <w:altName w:val="Arial"/>
    <w:panose1 w:val="020B0606020202030204"/>
    <w:charset w:val="00"/>
    <w:family w:val="swiss"/>
    <w:pitch w:val="default"/>
    <w:sig w:usb0="00000000" w:usb1="00000000" w:usb2="00000000" w:usb3="00000000" w:csb0="2000009F" w:csb1="DFD70000"/>
  </w:font>
  <w:font w:name="MetaPlusLF">
    <w:altName w:val="Georgia"/>
    <w:panose1 w:val="00000000000000000000"/>
    <w:charset w:val="00"/>
    <w:family w:val="auto"/>
    <w:pitch w:val="default"/>
    <w:sig w:usb0="00000000" w:usb1="00000000" w:usb2="00000000" w:usb3="00000000" w:csb0="00000001" w:csb1="00000000"/>
  </w:font>
  <w:font w:name="Georgia">
    <w:panose1 w:val="02040502050405020303"/>
    <w:charset w:val="00"/>
    <w:family w:val="auto"/>
    <w:pitch w:val="default"/>
    <w:sig w:usb0="00000287" w:usb1="00000000" w:usb2="00000000" w:usb3="00000000" w:csb0="2000009F" w:csb1="00000000"/>
  </w:font>
  <w:font w:name="华文仿宋">
    <w:altName w:val="仿宋"/>
    <w:panose1 w:val="02010600040101010101"/>
    <w:charset w:val="86"/>
    <w:family w:val="auto"/>
    <w:pitch w:val="default"/>
    <w:sig w:usb0="00000000" w:usb1="00000000" w:usb2="00000000" w:usb3="00000000" w:csb0="0004009F" w:csb1="DFD70000"/>
  </w:font>
  <w:font w:name="Helvetica">
    <w:panose1 w:val="020B0504020202030204"/>
    <w:charset w:val="00"/>
    <w:family w:val="swiss"/>
    <w:pitch w:val="default"/>
    <w:sig w:usb0="00000007" w:usb1="00000000" w:usb2="00000000" w:usb3="00000000" w:csb0="00000093" w:csb1="00000000"/>
  </w:font>
  <w:font w:name="Consolas">
    <w:panose1 w:val="020B0609020204030204"/>
    <w:charset w:val="00"/>
    <w:family w:val="modern"/>
    <w:pitch w:val="default"/>
    <w:sig w:usb0="E00006FF" w:usb1="0000FCFF" w:usb2="00000001" w:usb3="00000000" w:csb0="6000019F" w:csb1="DFD70000"/>
  </w:font>
  <w:font w:name="方正中等线简体">
    <w:altName w:val="宋体"/>
    <w:panose1 w:val="00000000000000000000"/>
    <w:charset w:val="86"/>
    <w:family w:val="auto"/>
    <w:pitch w:val="default"/>
    <w:sig w:usb0="00000000" w:usb1="00000000" w:usb2="00000000" w:usb3="00000000" w:csb0="00040000" w:csb1="00000000"/>
  </w:font>
  <w:font w:name="MingLiU">
    <w:altName w:val="PMingLiU-ExtB"/>
    <w:panose1 w:val="02010609000101010101"/>
    <w:charset w:val="88"/>
    <w:family w:val="modern"/>
    <w:pitch w:val="default"/>
    <w:sig w:usb0="00000000" w:usb1="00000000" w:usb2="00000010" w:usb3="00000000" w:csb0="00100000" w:csb1="00000000"/>
  </w:font>
  <w:font w:name="PMingLiU-ExtB">
    <w:panose1 w:val="02020500000000000000"/>
    <w:charset w:val="88"/>
    <w:family w:val="auto"/>
    <w:pitch w:val="default"/>
    <w:sig w:usb0="8000002F" w:usb1="02000008" w:usb2="00000000" w:usb3="00000000" w:csb0="00100001" w:csb1="00000000"/>
  </w:font>
  <w:font w:name="仿宋">
    <w:panose1 w:val="02010609060101010101"/>
    <w:charset w:val="86"/>
    <w:family w:val="modern"/>
    <w:pitch w:val="default"/>
    <w:sig w:usb0="800002BF" w:usb1="38CF7CFA" w:usb2="00000016" w:usb3="00000000" w:csb0="00040001" w:csb1="00000000"/>
    <w:embedRegular r:id="rId8" w:fontKey="{A499A715-C299-4E60-ADCC-21BF55C025FC}"/>
  </w:font>
  <w:font w:name="微软雅黑">
    <w:panose1 w:val="020B0503020204020204"/>
    <w:charset w:val="86"/>
    <w:family w:val="auto"/>
    <w:pitch w:val="default"/>
    <w:sig w:usb0="80000287" w:usb1="2ACF3C50" w:usb2="00000016" w:usb3="00000000" w:csb0="0004001F" w:csb1="00000000"/>
    <w:embedRegular r:id="rId9" w:fontKey="{61348E29-B2DE-4C03-9A47-70C749B47D8A}"/>
  </w:font>
  <w:font w:name="Arial">
    <w:panose1 w:val="020B0604020202020204"/>
    <w:charset w:val="00"/>
    <w:family w:val="auto"/>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4589814"/>
    </w:sdtPr>
    <w:sdtContent>
      <w:p w14:paraId="5F37066C">
        <w:pPr>
          <w:pStyle w:val="29"/>
          <w:jc w:val="center"/>
        </w:pPr>
        <w:r>
          <w:fldChar w:fldCharType="begin"/>
        </w:r>
        <w:r>
          <w:instrText xml:space="preserve"> PAGE   \* MERGEFORMAT </w:instrText>
        </w:r>
        <w:r>
          <w:fldChar w:fldCharType="separate"/>
        </w:r>
        <w:r>
          <w:rPr>
            <w:lang w:val="zh-CN"/>
          </w:rPr>
          <w:t>2</w:t>
        </w:r>
        <w:r>
          <w:rPr>
            <w:lang w:val="zh-CN"/>
          </w:rPr>
          <w:fldChar w:fldCharType="end"/>
        </w:r>
      </w:p>
    </w:sdtContent>
  </w:sdt>
  <w:p w14:paraId="6151BF49">
    <w:pPr>
      <w:pStyle w:val="29"/>
      <w:pBdr>
        <w:top w:val="single" w:color="auto" w:sz="4" w:space="1"/>
      </w:pBdr>
      <w:spacing w:beforeLines="50"/>
      <w:jc w:val="center"/>
      <w:rPr>
        <w:sz w:val="21"/>
        <w:szCs w:val="21"/>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8C9F6E">
    <w:pPr>
      <w:jc w:val="center"/>
    </w:pPr>
    <w:r>
      <w:fldChar w:fldCharType="begin"/>
    </w:r>
    <w:r>
      <w:instrText xml:space="preserve"> PAGE   \* MERGEFORMAT </w:instrText>
    </w:r>
    <w:r>
      <w:fldChar w:fldCharType="separate"/>
    </w:r>
    <w:r>
      <w:t>8</w:t>
    </w:r>
    <w:r>
      <w:rPr>
        <w:lang w:val="zh-CN"/>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45AD73">
    <w:pPr>
      <w:jc w:val="center"/>
    </w:pPr>
    <w:r>
      <w:fldChar w:fldCharType="begin"/>
    </w:r>
    <w:r>
      <w:instrText xml:space="preserve"> PAGE   \* MERGEFORMAT </w:instrText>
    </w:r>
    <w:r>
      <w:fldChar w:fldCharType="separate"/>
    </w:r>
    <w:r>
      <w:t>12</w:t>
    </w:r>
    <w:r>
      <w:rPr>
        <w:lang w:val="zh-CN"/>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A353FA">
    <w:pPr>
      <w:rPr>
        <w:rFonts w:ascii="宋体" w:hAnsi="宋体"/>
        <w:b/>
        <w:bCs/>
      </w:rPr>
    </w:pPr>
    <w:r>
      <w:rPr>
        <w:rFonts w:hint="eastAsia" w:ascii="宋体" w:hAnsi="宋体"/>
        <w:bCs/>
      </w:rPr>
      <w:t>湖北省政府采购中心编制</w:t>
    </w:r>
    <w:r>
      <w:rPr>
        <w:rFonts w:ascii="宋体" w:hAnsi="宋体"/>
        <w:bCs/>
      </w:rPr>
      <w:t>V3.0.2017.0930</w:t>
    </w:r>
  </w:p>
  <w:p w14:paraId="0776A4F3">
    <w:pPr>
      <w:jc w:val="center"/>
      <w:rPr>
        <w:rFonts w:ascii="宋体" w:hAnsi="宋体"/>
      </w:rPr>
    </w:pPr>
    <w:r>
      <w:rPr>
        <w:rFonts w:ascii="宋体" w:hAnsi="宋体"/>
        <w:b/>
        <w:bCs/>
      </w:rPr>
      <w:fldChar w:fldCharType="begin"/>
    </w:r>
    <w:r>
      <w:rPr>
        <w:rFonts w:ascii="宋体" w:hAnsi="宋体"/>
        <w:b/>
        <w:bCs/>
      </w:rPr>
      <w:instrText xml:space="preserve">PAGE</w:instrText>
    </w:r>
    <w:r>
      <w:rPr>
        <w:rFonts w:ascii="宋体" w:hAnsi="宋体"/>
        <w:b/>
        <w:bCs/>
      </w:rPr>
      <w:fldChar w:fldCharType="separate"/>
    </w:r>
    <w:r>
      <w:rPr>
        <w:rFonts w:ascii="宋体" w:hAnsi="宋体"/>
        <w:b/>
        <w:bCs/>
      </w:rPr>
      <w:t>22</w:t>
    </w:r>
    <w:r>
      <w:rPr>
        <w:rFonts w:ascii="宋体" w:hAnsi="宋体"/>
        <w:b/>
        <w:bCs/>
      </w:rPr>
      <w:fldChar w:fldCharType="end"/>
    </w:r>
    <w:r>
      <w:rPr>
        <w:rFonts w:ascii="宋体" w:hAnsi="宋体"/>
        <w:b/>
        <w:lang w:val="zh-CN"/>
      </w:rPr>
      <w:t xml:space="preserve">/ </w:t>
    </w:r>
    <w:r>
      <w:rPr>
        <w:rFonts w:ascii="宋体" w:hAnsi="宋体"/>
        <w:b/>
        <w:bCs/>
      </w:rPr>
      <w:fldChar w:fldCharType="begin"/>
    </w:r>
    <w:r>
      <w:rPr>
        <w:rFonts w:ascii="宋体" w:hAnsi="宋体"/>
        <w:b/>
        <w:bCs/>
      </w:rPr>
      <w:instrText xml:space="preserve">NUMPAGES</w:instrText>
    </w:r>
    <w:r>
      <w:rPr>
        <w:rFonts w:ascii="宋体" w:hAnsi="宋体"/>
        <w:b/>
        <w:bCs/>
      </w:rPr>
      <w:fldChar w:fldCharType="separate"/>
    </w:r>
    <w:r>
      <w:rPr>
        <w:rFonts w:ascii="宋体" w:hAnsi="宋体"/>
        <w:b/>
        <w:bCs/>
      </w:rPr>
      <w:t>60</w:t>
    </w:r>
    <w:r>
      <w:rPr>
        <w:rFonts w:ascii="宋体" w:hAnsi="宋体"/>
        <w:b/>
        <w:bCs/>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FBC695">
    <w:pPr>
      <w:pStyle w:val="30"/>
    </w:pPr>
    <w:r>
      <w:fldChar w:fldCharType="begin"/>
    </w:r>
    <w:r>
      <w:instrText xml:space="preserve">PAGE   \* MERGEFORMAT</w:instrText>
    </w:r>
    <w:r>
      <w:fldChar w:fldCharType="separate"/>
    </w:r>
    <w:r>
      <w:t>89</w:t>
    </w:r>
    <w:r>
      <w:rPr>
        <w:lang w:val="zh-CN"/>
      </w:rPr>
      <w:fldChar w:fldCharType="end"/>
    </w:r>
  </w:p>
  <w:p w14:paraId="66319192">
    <w:pPr>
      <w:pStyle w:val="18"/>
      <w:spacing w:line="14" w:lineRule="auto"/>
      <w:jc w:val="center"/>
      <w:rPr>
        <w:sz w:val="20"/>
        <w:szCs w:val="20"/>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F68352">
    <w:pPr>
      <w:jc w:val="center"/>
    </w:pPr>
    <w:r>
      <w:fldChar w:fldCharType="begin"/>
    </w:r>
    <w:r>
      <w:instrText xml:space="preserve"> PAGE   \* MERGEFORMAT </w:instrText>
    </w:r>
    <w:r>
      <w:fldChar w:fldCharType="separate"/>
    </w:r>
    <w:r>
      <w:t>90</w:t>
    </w:r>
    <w:r>
      <w:rPr>
        <w:lang w:val="zh-CN"/>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10AF37">
    <w:pPr>
      <w:pStyle w:val="29"/>
      <w:framePr w:wrap="around" w:vAnchor="text" w:hAnchor="margin" w:xAlign="center" w:y="1"/>
      <w:rPr>
        <w:rStyle w:val="51"/>
      </w:rPr>
    </w:pPr>
    <w:r>
      <w:fldChar w:fldCharType="begin"/>
    </w:r>
    <w:r>
      <w:rPr>
        <w:rStyle w:val="51"/>
      </w:rPr>
      <w:instrText xml:space="preserve">PAGE  </w:instrText>
    </w:r>
    <w:r>
      <w:fldChar w:fldCharType="separate"/>
    </w:r>
    <w:r>
      <w:rPr>
        <w:rStyle w:val="51"/>
      </w:rPr>
      <w:t>94</w:t>
    </w:r>
    <w:r>
      <w:fldChar w:fldCharType="end"/>
    </w:r>
  </w:p>
  <w:p w14:paraId="233A8C61">
    <w:pPr>
      <w:pStyle w:val="29"/>
      <w:ind w:right="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D1703B">
    <w:pPr>
      <w:pStyle w:val="30"/>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4B07DA">
    <w:r>
      <w:cr/>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992F7E">
    <w:r>
      <w:cr/>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6DDA85">
    <w:pPr>
      <w:pStyle w:val="18"/>
      <w:jc w:val="left"/>
      <w:rPr>
        <w:rFonts w:ascii="宋体" w:hAnsi="宋体"/>
        <w:b/>
      </w:rPr>
    </w:pPr>
    <w:r>
      <w:rPr>
        <w:rFonts w:hint="eastAsia" w:ascii="宋体" w:hAnsi="宋体"/>
        <w:b/>
      </w:rPr>
      <w:t>项目名称：XXXXXXXXXXXX项目</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82BC45">
    <w:pPr>
      <w:pStyle w:val="3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E0C209">
    <w:r>
      <w:c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2"/>
    <w:multiLevelType w:val="multilevel"/>
    <w:tmpl w:val="00000002"/>
    <w:lvl w:ilvl="0" w:tentative="0">
      <w:start w:val="1"/>
      <w:numFmt w:val="bullet"/>
      <w:pStyle w:val="323"/>
      <w:lvlText w:val=""/>
      <w:lvlJc w:val="left"/>
      <w:pPr>
        <w:tabs>
          <w:tab w:val="left" w:pos="840"/>
        </w:tabs>
        <w:ind w:left="840" w:hanging="420"/>
      </w:pPr>
      <w:rPr>
        <w:rFonts w:hint="default" w:ascii="Wingdings" w:hAnsi="Wingdings" w:cs="Wingdings"/>
        <w:color w:val="auto"/>
      </w:rPr>
    </w:lvl>
    <w:lvl w:ilvl="1" w:tentative="0">
      <w:start w:val="1"/>
      <w:numFmt w:val="bullet"/>
      <w:lvlText w:val=""/>
      <w:lvlJc w:val="left"/>
      <w:pPr>
        <w:tabs>
          <w:tab w:val="left" w:pos="1260"/>
        </w:tabs>
        <w:ind w:left="1260" w:hanging="420"/>
      </w:pPr>
      <w:rPr>
        <w:rFonts w:hint="default" w:ascii="Wingdings" w:hAnsi="Wingdings" w:cs="Wingdings"/>
      </w:rPr>
    </w:lvl>
    <w:lvl w:ilvl="2" w:tentative="0">
      <w:start w:val="1"/>
      <w:numFmt w:val="bullet"/>
      <w:lvlText w:val=""/>
      <w:lvlJc w:val="left"/>
      <w:pPr>
        <w:tabs>
          <w:tab w:val="left" w:pos="1680"/>
        </w:tabs>
        <w:ind w:left="1680" w:hanging="420"/>
      </w:pPr>
      <w:rPr>
        <w:rFonts w:hint="default" w:ascii="Wingdings" w:hAnsi="Wingdings" w:cs="Wingdings"/>
      </w:rPr>
    </w:lvl>
    <w:lvl w:ilvl="3" w:tentative="0">
      <w:start w:val="1"/>
      <w:numFmt w:val="bullet"/>
      <w:lvlText w:val=""/>
      <w:lvlJc w:val="left"/>
      <w:pPr>
        <w:tabs>
          <w:tab w:val="left" w:pos="2100"/>
        </w:tabs>
        <w:ind w:left="2100" w:hanging="420"/>
      </w:pPr>
      <w:rPr>
        <w:rFonts w:hint="default" w:ascii="Wingdings" w:hAnsi="Wingdings" w:cs="Wingdings"/>
      </w:rPr>
    </w:lvl>
    <w:lvl w:ilvl="4" w:tentative="0">
      <w:start w:val="1"/>
      <w:numFmt w:val="bullet"/>
      <w:lvlText w:val=""/>
      <w:lvlJc w:val="left"/>
      <w:pPr>
        <w:tabs>
          <w:tab w:val="left" w:pos="2520"/>
        </w:tabs>
        <w:ind w:left="2520" w:hanging="420"/>
      </w:pPr>
      <w:rPr>
        <w:rFonts w:hint="default" w:ascii="Wingdings" w:hAnsi="Wingdings" w:cs="Wingdings"/>
      </w:rPr>
    </w:lvl>
    <w:lvl w:ilvl="5" w:tentative="0">
      <w:start w:val="1"/>
      <w:numFmt w:val="bullet"/>
      <w:lvlText w:val=""/>
      <w:lvlJc w:val="left"/>
      <w:pPr>
        <w:tabs>
          <w:tab w:val="left" w:pos="2940"/>
        </w:tabs>
        <w:ind w:left="2940" w:hanging="420"/>
      </w:pPr>
      <w:rPr>
        <w:rFonts w:hint="default" w:ascii="Wingdings" w:hAnsi="Wingdings" w:cs="Wingdings"/>
      </w:rPr>
    </w:lvl>
    <w:lvl w:ilvl="6" w:tentative="0">
      <w:start w:val="1"/>
      <w:numFmt w:val="bullet"/>
      <w:lvlText w:val=""/>
      <w:lvlJc w:val="left"/>
      <w:pPr>
        <w:tabs>
          <w:tab w:val="left" w:pos="3360"/>
        </w:tabs>
        <w:ind w:left="3360" w:hanging="420"/>
      </w:pPr>
      <w:rPr>
        <w:rFonts w:hint="default" w:ascii="Wingdings" w:hAnsi="Wingdings" w:cs="Wingdings"/>
      </w:rPr>
    </w:lvl>
    <w:lvl w:ilvl="7" w:tentative="0">
      <w:start w:val="1"/>
      <w:numFmt w:val="bullet"/>
      <w:lvlText w:val=""/>
      <w:lvlJc w:val="left"/>
      <w:pPr>
        <w:tabs>
          <w:tab w:val="left" w:pos="3780"/>
        </w:tabs>
        <w:ind w:left="3780" w:hanging="420"/>
      </w:pPr>
      <w:rPr>
        <w:rFonts w:hint="default" w:ascii="Wingdings" w:hAnsi="Wingdings" w:cs="Wingdings"/>
      </w:rPr>
    </w:lvl>
    <w:lvl w:ilvl="8" w:tentative="0">
      <w:start w:val="1"/>
      <w:numFmt w:val="bullet"/>
      <w:lvlText w:val=""/>
      <w:lvlJc w:val="left"/>
      <w:pPr>
        <w:tabs>
          <w:tab w:val="left" w:pos="4200"/>
        </w:tabs>
        <w:ind w:left="4200" w:hanging="420"/>
      </w:pPr>
      <w:rPr>
        <w:rFonts w:hint="default" w:ascii="Wingdings" w:hAnsi="Wingdings" w:cs="Wingdings"/>
      </w:rPr>
    </w:lvl>
  </w:abstractNum>
  <w:abstractNum w:abstractNumId="1">
    <w:nsid w:val="053441E4"/>
    <w:multiLevelType w:val="multilevel"/>
    <w:tmpl w:val="053441E4"/>
    <w:lvl w:ilvl="0" w:tentative="0">
      <w:start w:val="1"/>
      <w:numFmt w:val="decimal"/>
      <w:lvlText w:val="%1."/>
      <w:lvlJc w:val="left"/>
      <w:pPr>
        <w:tabs>
          <w:tab w:val="left" w:pos="1413"/>
        </w:tabs>
        <w:ind w:left="1413" w:hanging="420"/>
      </w:pPr>
    </w:lvl>
    <w:lvl w:ilvl="1" w:tentative="0">
      <w:start w:val="1"/>
      <w:numFmt w:val="lowerLetter"/>
      <w:lvlText w:val="%2)"/>
      <w:lvlJc w:val="left"/>
      <w:pPr>
        <w:tabs>
          <w:tab w:val="left" w:pos="1833"/>
        </w:tabs>
        <w:ind w:left="1833" w:hanging="420"/>
      </w:pPr>
    </w:lvl>
    <w:lvl w:ilvl="2" w:tentative="0">
      <w:start w:val="1"/>
      <w:numFmt w:val="lowerRoman"/>
      <w:lvlText w:val="%3."/>
      <w:lvlJc w:val="right"/>
      <w:pPr>
        <w:tabs>
          <w:tab w:val="left" w:pos="2253"/>
        </w:tabs>
        <w:ind w:left="2253" w:hanging="420"/>
      </w:pPr>
    </w:lvl>
    <w:lvl w:ilvl="3" w:tentative="0">
      <w:start w:val="1"/>
      <w:numFmt w:val="decimal"/>
      <w:lvlText w:val="%4."/>
      <w:lvlJc w:val="left"/>
      <w:pPr>
        <w:tabs>
          <w:tab w:val="left" w:pos="2673"/>
        </w:tabs>
        <w:ind w:left="2673" w:hanging="420"/>
      </w:pPr>
    </w:lvl>
    <w:lvl w:ilvl="4" w:tentative="0">
      <w:start w:val="1"/>
      <w:numFmt w:val="lowerLetter"/>
      <w:lvlText w:val="%5)"/>
      <w:lvlJc w:val="left"/>
      <w:pPr>
        <w:tabs>
          <w:tab w:val="left" w:pos="3093"/>
        </w:tabs>
        <w:ind w:left="3093" w:hanging="420"/>
      </w:pPr>
    </w:lvl>
    <w:lvl w:ilvl="5" w:tentative="0">
      <w:start w:val="1"/>
      <w:numFmt w:val="lowerRoman"/>
      <w:lvlText w:val="%6."/>
      <w:lvlJc w:val="right"/>
      <w:pPr>
        <w:tabs>
          <w:tab w:val="left" w:pos="3513"/>
        </w:tabs>
        <w:ind w:left="3513" w:hanging="420"/>
      </w:pPr>
    </w:lvl>
    <w:lvl w:ilvl="6" w:tentative="0">
      <w:start w:val="1"/>
      <w:numFmt w:val="decimal"/>
      <w:lvlText w:val="%7."/>
      <w:lvlJc w:val="left"/>
      <w:pPr>
        <w:tabs>
          <w:tab w:val="left" w:pos="3933"/>
        </w:tabs>
        <w:ind w:left="3933" w:hanging="420"/>
      </w:pPr>
    </w:lvl>
    <w:lvl w:ilvl="7" w:tentative="0">
      <w:start w:val="1"/>
      <w:numFmt w:val="lowerLetter"/>
      <w:lvlText w:val="%8)"/>
      <w:lvlJc w:val="left"/>
      <w:pPr>
        <w:tabs>
          <w:tab w:val="left" w:pos="4353"/>
        </w:tabs>
        <w:ind w:left="4353" w:hanging="420"/>
      </w:pPr>
    </w:lvl>
    <w:lvl w:ilvl="8" w:tentative="0">
      <w:start w:val="1"/>
      <w:numFmt w:val="lowerRoman"/>
      <w:lvlText w:val="%9."/>
      <w:lvlJc w:val="right"/>
      <w:pPr>
        <w:tabs>
          <w:tab w:val="left" w:pos="4773"/>
        </w:tabs>
        <w:ind w:left="4773" w:hanging="420"/>
      </w:pPr>
    </w:lvl>
  </w:abstractNum>
  <w:abstractNum w:abstractNumId="2">
    <w:nsid w:val="0C418571"/>
    <w:multiLevelType w:val="singleLevel"/>
    <w:tmpl w:val="0C418571"/>
    <w:lvl w:ilvl="0" w:tentative="0">
      <w:start w:val="1"/>
      <w:numFmt w:val="decimal"/>
      <w:lvlText w:val="%1."/>
      <w:lvlJc w:val="left"/>
      <w:pPr>
        <w:tabs>
          <w:tab w:val="left" w:pos="312"/>
        </w:tabs>
      </w:pPr>
      <w:rPr>
        <w:rFonts w:hint="default" w:ascii="仿宋" w:hAnsi="仿宋" w:eastAsia="仿宋" w:cs="仿宋"/>
        <w:b/>
        <w:bCs/>
        <w:sz w:val="28"/>
        <w:szCs w:val="28"/>
      </w:rPr>
    </w:lvl>
  </w:abstractNum>
  <w:abstractNum w:abstractNumId="3">
    <w:nsid w:val="204A74A4"/>
    <w:multiLevelType w:val="multilevel"/>
    <w:tmpl w:val="204A74A4"/>
    <w:lvl w:ilvl="0" w:tentative="0">
      <w:start w:val="1"/>
      <w:numFmt w:val="decimal"/>
      <w:pStyle w:val="341"/>
      <w:lvlText w:val="%1."/>
      <w:lvlJc w:val="left"/>
      <w:pPr>
        <w:tabs>
          <w:tab w:val="left" w:pos="720"/>
        </w:tabs>
        <w:ind w:left="720" w:hanging="720"/>
      </w:pPr>
    </w:lvl>
    <w:lvl w:ilvl="1" w:tentative="0">
      <w:start w:val="1"/>
      <w:numFmt w:val="decimal"/>
      <w:lvlText w:val="%2."/>
      <w:lvlJc w:val="left"/>
      <w:pPr>
        <w:tabs>
          <w:tab w:val="left" w:pos="1440"/>
        </w:tabs>
        <w:ind w:left="1440" w:hanging="720"/>
      </w:pPr>
    </w:lvl>
    <w:lvl w:ilvl="2" w:tentative="0">
      <w:start w:val="1"/>
      <w:numFmt w:val="decimal"/>
      <w:lvlText w:val="%3."/>
      <w:lvlJc w:val="left"/>
      <w:pPr>
        <w:tabs>
          <w:tab w:val="left" w:pos="2160"/>
        </w:tabs>
        <w:ind w:left="2160" w:hanging="720"/>
      </w:pPr>
    </w:lvl>
    <w:lvl w:ilvl="3" w:tentative="0">
      <w:start w:val="1"/>
      <w:numFmt w:val="decimal"/>
      <w:lvlText w:val="%4."/>
      <w:lvlJc w:val="left"/>
      <w:pPr>
        <w:tabs>
          <w:tab w:val="left" w:pos="2880"/>
        </w:tabs>
        <w:ind w:left="2880" w:hanging="720"/>
      </w:pPr>
    </w:lvl>
    <w:lvl w:ilvl="4" w:tentative="0">
      <w:start w:val="1"/>
      <w:numFmt w:val="decimal"/>
      <w:lvlText w:val="%5."/>
      <w:lvlJc w:val="left"/>
      <w:pPr>
        <w:tabs>
          <w:tab w:val="left" w:pos="3600"/>
        </w:tabs>
        <w:ind w:left="3600" w:hanging="720"/>
      </w:pPr>
    </w:lvl>
    <w:lvl w:ilvl="5" w:tentative="0">
      <w:start w:val="1"/>
      <w:numFmt w:val="decimal"/>
      <w:lvlText w:val="%6."/>
      <w:lvlJc w:val="left"/>
      <w:pPr>
        <w:tabs>
          <w:tab w:val="left" w:pos="4320"/>
        </w:tabs>
        <w:ind w:left="4320" w:hanging="720"/>
      </w:pPr>
    </w:lvl>
    <w:lvl w:ilvl="6" w:tentative="0">
      <w:start w:val="1"/>
      <w:numFmt w:val="decimal"/>
      <w:lvlText w:val="%7."/>
      <w:lvlJc w:val="left"/>
      <w:pPr>
        <w:tabs>
          <w:tab w:val="left" w:pos="5040"/>
        </w:tabs>
        <w:ind w:left="5040" w:hanging="720"/>
      </w:pPr>
    </w:lvl>
    <w:lvl w:ilvl="7" w:tentative="0">
      <w:start w:val="1"/>
      <w:numFmt w:val="decimal"/>
      <w:lvlText w:val="%8."/>
      <w:lvlJc w:val="left"/>
      <w:pPr>
        <w:tabs>
          <w:tab w:val="left" w:pos="5760"/>
        </w:tabs>
        <w:ind w:left="5760" w:hanging="720"/>
      </w:pPr>
    </w:lvl>
    <w:lvl w:ilvl="8" w:tentative="0">
      <w:start w:val="1"/>
      <w:numFmt w:val="decimal"/>
      <w:lvlText w:val="%9."/>
      <w:lvlJc w:val="left"/>
      <w:pPr>
        <w:tabs>
          <w:tab w:val="left" w:pos="6480"/>
        </w:tabs>
        <w:ind w:left="6480" w:hanging="720"/>
      </w:pPr>
    </w:lvl>
  </w:abstractNum>
  <w:abstractNum w:abstractNumId="4">
    <w:nsid w:val="29BAAF52"/>
    <w:multiLevelType w:val="singleLevel"/>
    <w:tmpl w:val="29BAAF52"/>
    <w:lvl w:ilvl="0" w:tentative="0">
      <w:start w:val="2"/>
      <w:numFmt w:val="chineseCounting"/>
      <w:suff w:val="nothing"/>
      <w:lvlText w:val="（%1）"/>
      <w:lvlJc w:val="left"/>
      <w:rPr>
        <w:rFonts w:hint="eastAsia"/>
      </w:rPr>
    </w:lvl>
  </w:abstractNum>
  <w:abstractNum w:abstractNumId="5">
    <w:nsid w:val="2E5CB464"/>
    <w:multiLevelType w:val="singleLevel"/>
    <w:tmpl w:val="2E5CB464"/>
    <w:lvl w:ilvl="0" w:tentative="0">
      <w:start w:val="2"/>
      <w:numFmt w:val="chineseCounting"/>
      <w:suff w:val="nothing"/>
      <w:lvlText w:val="（%1）"/>
      <w:lvlJc w:val="left"/>
      <w:rPr>
        <w:rFonts w:hint="eastAsia"/>
      </w:rPr>
    </w:lvl>
  </w:abstractNum>
  <w:abstractNum w:abstractNumId="6">
    <w:nsid w:val="5602973F"/>
    <w:multiLevelType w:val="singleLevel"/>
    <w:tmpl w:val="5602973F"/>
    <w:lvl w:ilvl="0" w:tentative="0">
      <w:start w:val="11"/>
      <w:numFmt w:val="decimal"/>
      <w:pStyle w:val="237"/>
      <w:suff w:val="nothing"/>
      <w:lvlText w:val="（%1）"/>
      <w:lvlJc w:val="left"/>
    </w:lvl>
  </w:abstractNum>
  <w:num w:numId="1">
    <w:abstractNumId w:val="6"/>
  </w:num>
  <w:num w:numId="2">
    <w:abstractNumId w:val="0"/>
  </w:num>
  <w:num w:numId="3">
    <w:abstractNumId w:val="3"/>
  </w:num>
  <w:num w:numId="4">
    <w:abstractNumId w:val="5"/>
  </w:num>
  <w:num w:numId="5">
    <w:abstractNumId w:val="4"/>
  </w:num>
  <w:num w:numId="6">
    <w:abstractNumId w:val="2"/>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hideSpellingErrors/>
  <w:documentProtection w:enforcement="0"/>
  <w:defaultTabStop w:val="420"/>
  <w:drawingGridHorizontalSpacing w:val="105"/>
  <w:drawingGridVerticalSpacing w:val="260"/>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2VmNTM2N2UzNzUwNTk3NGIyNTc4ZGRkNjFlNjI4NjkifQ=="/>
  </w:docVars>
  <w:rsids>
    <w:rsidRoot w:val="00E729D8"/>
    <w:rsid w:val="00003B04"/>
    <w:rsid w:val="000048B3"/>
    <w:rsid w:val="00004F29"/>
    <w:rsid w:val="00006295"/>
    <w:rsid w:val="0000633F"/>
    <w:rsid w:val="00006983"/>
    <w:rsid w:val="00007BF4"/>
    <w:rsid w:val="000103AD"/>
    <w:rsid w:val="000115A9"/>
    <w:rsid w:val="0001417A"/>
    <w:rsid w:val="00015421"/>
    <w:rsid w:val="000206C9"/>
    <w:rsid w:val="000224AA"/>
    <w:rsid w:val="0002262D"/>
    <w:rsid w:val="00025447"/>
    <w:rsid w:val="0002563B"/>
    <w:rsid w:val="000260B3"/>
    <w:rsid w:val="00027998"/>
    <w:rsid w:val="00030295"/>
    <w:rsid w:val="00030B07"/>
    <w:rsid w:val="00030F8C"/>
    <w:rsid w:val="000316F2"/>
    <w:rsid w:val="00031983"/>
    <w:rsid w:val="0003228E"/>
    <w:rsid w:val="00032582"/>
    <w:rsid w:val="000337A9"/>
    <w:rsid w:val="0003495B"/>
    <w:rsid w:val="00042274"/>
    <w:rsid w:val="0004428F"/>
    <w:rsid w:val="000461D8"/>
    <w:rsid w:val="000463F0"/>
    <w:rsid w:val="00050873"/>
    <w:rsid w:val="00050C5F"/>
    <w:rsid w:val="00052A50"/>
    <w:rsid w:val="00052DA4"/>
    <w:rsid w:val="0005771C"/>
    <w:rsid w:val="000618DA"/>
    <w:rsid w:val="000656E8"/>
    <w:rsid w:val="0006771B"/>
    <w:rsid w:val="00070AE6"/>
    <w:rsid w:val="000712D9"/>
    <w:rsid w:val="000756A0"/>
    <w:rsid w:val="00076F62"/>
    <w:rsid w:val="00080AEE"/>
    <w:rsid w:val="00080E3C"/>
    <w:rsid w:val="00081B46"/>
    <w:rsid w:val="00082AAE"/>
    <w:rsid w:val="0008368A"/>
    <w:rsid w:val="00083892"/>
    <w:rsid w:val="00083BC0"/>
    <w:rsid w:val="00086B8A"/>
    <w:rsid w:val="00086D95"/>
    <w:rsid w:val="000924BE"/>
    <w:rsid w:val="00092C93"/>
    <w:rsid w:val="00095534"/>
    <w:rsid w:val="00095AEC"/>
    <w:rsid w:val="00095DD4"/>
    <w:rsid w:val="00096240"/>
    <w:rsid w:val="00096A0F"/>
    <w:rsid w:val="000A093B"/>
    <w:rsid w:val="000A0F92"/>
    <w:rsid w:val="000A198D"/>
    <w:rsid w:val="000A1AFB"/>
    <w:rsid w:val="000A3C2B"/>
    <w:rsid w:val="000A60EC"/>
    <w:rsid w:val="000A6447"/>
    <w:rsid w:val="000A7720"/>
    <w:rsid w:val="000B1B7B"/>
    <w:rsid w:val="000B2D5C"/>
    <w:rsid w:val="000B4896"/>
    <w:rsid w:val="000B65FB"/>
    <w:rsid w:val="000B6F61"/>
    <w:rsid w:val="000C0E24"/>
    <w:rsid w:val="000C10AD"/>
    <w:rsid w:val="000C1B27"/>
    <w:rsid w:val="000C329D"/>
    <w:rsid w:val="000C4891"/>
    <w:rsid w:val="000C4CB0"/>
    <w:rsid w:val="000C4D4D"/>
    <w:rsid w:val="000C508F"/>
    <w:rsid w:val="000C5F52"/>
    <w:rsid w:val="000C62AF"/>
    <w:rsid w:val="000C6407"/>
    <w:rsid w:val="000C6BAE"/>
    <w:rsid w:val="000C72C4"/>
    <w:rsid w:val="000C7C85"/>
    <w:rsid w:val="000D0129"/>
    <w:rsid w:val="000D09BC"/>
    <w:rsid w:val="000D1AFE"/>
    <w:rsid w:val="000D27B5"/>
    <w:rsid w:val="000D2849"/>
    <w:rsid w:val="000D4349"/>
    <w:rsid w:val="000D4CCC"/>
    <w:rsid w:val="000D7C1D"/>
    <w:rsid w:val="000E14BC"/>
    <w:rsid w:val="000E14D7"/>
    <w:rsid w:val="000E3B19"/>
    <w:rsid w:val="000E3E45"/>
    <w:rsid w:val="000E3EDC"/>
    <w:rsid w:val="000E428E"/>
    <w:rsid w:val="000E473D"/>
    <w:rsid w:val="000E5C1C"/>
    <w:rsid w:val="000E5EE5"/>
    <w:rsid w:val="000E6EE0"/>
    <w:rsid w:val="000F002B"/>
    <w:rsid w:val="000F01A3"/>
    <w:rsid w:val="000F2BB3"/>
    <w:rsid w:val="000F41B9"/>
    <w:rsid w:val="000F5361"/>
    <w:rsid w:val="000F581D"/>
    <w:rsid w:val="000F6D10"/>
    <w:rsid w:val="00100081"/>
    <w:rsid w:val="00102A25"/>
    <w:rsid w:val="00103135"/>
    <w:rsid w:val="001036DE"/>
    <w:rsid w:val="00104F04"/>
    <w:rsid w:val="001058AF"/>
    <w:rsid w:val="00105F5E"/>
    <w:rsid w:val="0010784B"/>
    <w:rsid w:val="001129E9"/>
    <w:rsid w:val="00116FB6"/>
    <w:rsid w:val="0012295D"/>
    <w:rsid w:val="001260A4"/>
    <w:rsid w:val="00126C2F"/>
    <w:rsid w:val="00127474"/>
    <w:rsid w:val="00131196"/>
    <w:rsid w:val="00132D84"/>
    <w:rsid w:val="00133712"/>
    <w:rsid w:val="00133F79"/>
    <w:rsid w:val="00134C3A"/>
    <w:rsid w:val="001366ED"/>
    <w:rsid w:val="00137650"/>
    <w:rsid w:val="001413E4"/>
    <w:rsid w:val="001420A1"/>
    <w:rsid w:val="00142795"/>
    <w:rsid w:val="0014339B"/>
    <w:rsid w:val="0014495C"/>
    <w:rsid w:val="0014541D"/>
    <w:rsid w:val="00145A47"/>
    <w:rsid w:val="001519FC"/>
    <w:rsid w:val="001521F9"/>
    <w:rsid w:val="00153C4E"/>
    <w:rsid w:val="001562B8"/>
    <w:rsid w:val="001603BB"/>
    <w:rsid w:val="00162599"/>
    <w:rsid w:val="001632B9"/>
    <w:rsid w:val="00165CD4"/>
    <w:rsid w:val="00171F0C"/>
    <w:rsid w:val="001724C4"/>
    <w:rsid w:val="0017275F"/>
    <w:rsid w:val="00173826"/>
    <w:rsid w:val="001811B9"/>
    <w:rsid w:val="00181EBA"/>
    <w:rsid w:val="00182683"/>
    <w:rsid w:val="00183278"/>
    <w:rsid w:val="00185F39"/>
    <w:rsid w:val="00192825"/>
    <w:rsid w:val="00192E49"/>
    <w:rsid w:val="0019481B"/>
    <w:rsid w:val="00195CCE"/>
    <w:rsid w:val="001A1B90"/>
    <w:rsid w:val="001A43C1"/>
    <w:rsid w:val="001B3EE1"/>
    <w:rsid w:val="001B3EE7"/>
    <w:rsid w:val="001B796F"/>
    <w:rsid w:val="001C086B"/>
    <w:rsid w:val="001C2721"/>
    <w:rsid w:val="001C4496"/>
    <w:rsid w:val="001C4ADB"/>
    <w:rsid w:val="001C5FAD"/>
    <w:rsid w:val="001C77B5"/>
    <w:rsid w:val="001D114C"/>
    <w:rsid w:val="001D2425"/>
    <w:rsid w:val="001D29C0"/>
    <w:rsid w:val="001D4B99"/>
    <w:rsid w:val="001D4FC3"/>
    <w:rsid w:val="001D51AC"/>
    <w:rsid w:val="001D6913"/>
    <w:rsid w:val="001D6AE4"/>
    <w:rsid w:val="001E1230"/>
    <w:rsid w:val="001E21BF"/>
    <w:rsid w:val="001E318E"/>
    <w:rsid w:val="001E3260"/>
    <w:rsid w:val="001E4D1B"/>
    <w:rsid w:val="001F352E"/>
    <w:rsid w:val="001F44E7"/>
    <w:rsid w:val="001F4559"/>
    <w:rsid w:val="0020199A"/>
    <w:rsid w:val="002028A6"/>
    <w:rsid w:val="00202914"/>
    <w:rsid w:val="00203165"/>
    <w:rsid w:val="00204AE8"/>
    <w:rsid w:val="00204D06"/>
    <w:rsid w:val="00205DD7"/>
    <w:rsid w:val="00206D82"/>
    <w:rsid w:val="002075B0"/>
    <w:rsid w:val="00212E00"/>
    <w:rsid w:val="00214222"/>
    <w:rsid w:val="00214B46"/>
    <w:rsid w:val="0021657E"/>
    <w:rsid w:val="00221D00"/>
    <w:rsid w:val="00222F7D"/>
    <w:rsid w:val="002237B9"/>
    <w:rsid w:val="00224DFB"/>
    <w:rsid w:val="002250D5"/>
    <w:rsid w:val="0022562C"/>
    <w:rsid w:val="00226E77"/>
    <w:rsid w:val="00227CD8"/>
    <w:rsid w:val="00231CB3"/>
    <w:rsid w:val="00232037"/>
    <w:rsid w:val="002325F9"/>
    <w:rsid w:val="0023291D"/>
    <w:rsid w:val="00233943"/>
    <w:rsid w:val="002347C2"/>
    <w:rsid w:val="0023588A"/>
    <w:rsid w:val="00241A5E"/>
    <w:rsid w:val="00242933"/>
    <w:rsid w:val="002472F7"/>
    <w:rsid w:val="00247C24"/>
    <w:rsid w:val="00247D73"/>
    <w:rsid w:val="0025057A"/>
    <w:rsid w:val="0025135C"/>
    <w:rsid w:val="002515E7"/>
    <w:rsid w:val="0025354A"/>
    <w:rsid w:val="002554F6"/>
    <w:rsid w:val="00255A67"/>
    <w:rsid w:val="002562F0"/>
    <w:rsid w:val="00257021"/>
    <w:rsid w:val="0025766A"/>
    <w:rsid w:val="0025795E"/>
    <w:rsid w:val="00261E49"/>
    <w:rsid w:val="00262282"/>
    <w:rsid w:val="00263262"/>
    <w:rsid w:val="0026370A"/>
    <w:rsid w:val="00263A31"/>
    <w:rsid w:val="00267879"/>
    <w:rsid w:val="00272E3E"/>
    <w:rsid w:val="002730AA"/>
    <w:rsid w:val="00273E6F"/>
    <w:rsid w:val="002765A3"/>
    <w:rsid w:val="0027756F"/>
    <w:rsid w:val="00282E2F"/>
    <w:rsid w:val="0028316F"/>
    <w:rsid w:val="002849BD"/>
    <w:rsid w:val="00287900"/>
    <w:rsid w:val="00287F38"/>
    <w:rsid w:val="002918D6"/>
    <w:rsid w:val="00293463"/>
    <w:rsid w:val="00293822"/>
    <w:rsid w:val="0029410F"/>
    <w:rsid w:val="00294740"/>
    <w:rsid w:val="002951D1"/>
    <w:rsid w:val="0029645E"/>
    <w:rsid w:val="00296C32"/>
    <w:rsid w:val="00297B49"/>
    <w:rsid w:val="002A0B14"/>
    <w:rsid w:val="002A167A"/>
    <w:rsid w:val="002A26FD"/>
    <w:rsid w:val="002A4F2D"/>
    <w:rsid w:val="002A51A4"/>
    <w:rsid w:val="002A548D"/>
    <w:rsid w:val="002A54DE"/>
    <w:rsid w:val="002A6A05"/>
    <w:rsid w:val="002A7CF9"/>
    <w:rsid w:val="002B09C5"/>
    <w:rsid w:val="002B0A47"/>
    <w:rsid w:val="002B1D21"/>
    <w:rsid w:val="002B2BF0"/>
    <w:rsid w:val="002B2DA9"/>
    <w:rsid w:val="002B31AD"/>
    <w:rsid w:val="002B3EF4"/>
    <w:rsid w:val="002B480D"/>
    <w:rsid w:val="002B5187"/>
    <w:rsid w:val="002B6E0A"/>
    <w:rsid w:val="002B7B17"/>
    <w:rsid w:val="002D188A"/>
    <w:rsid w:val="002D2697"/>
    <w:rsid w:val="002D37E3"/>
    <w:rsid w:val="002D3F71"/>
    <w:rsid w:val="002D4B5E"/>
    <w:rsid w:val="002D5FF6"/>
    <w:rsid w:val="002D6A18"/>
    <w:rsid w:val="002D772A"/>
    <w:rsid w:val="002D7F41"/>
    <w:rsid w:val="002E10FF"/>
    <w:rsid w:val="002E201D"/>
    <w:rsid w:val="002F015B"/>
    <w:rsid w:val="002F0221"/>
    <w:rsid w:val="002F10EC"/>
    <w:rsid w:val="002F27D3"/>
    <w:rsid w:val="002F3B4C"/>
    <w:rsid w:val="002F40CC"/>
    <w:rsid w:val="002F4571"/>
    <w:rsid w:val="002F5E0F"/>
    <w:rsid w:val="002F5FCC"/>
    <w:rsid w:val="002F7DA0"/>
    <w:rsid w:val="003006EF"/>
    <w:rsid w:val="0030124D"/>
    <w:rsid w:val="003025BA"/>
    <w:rsid w:val="00302995"/>
    <w:rsid w:val="00302A95"/>
    <w:rsid w:val="00303EAE"/>
    <w:rsid w:val="00304109"/>
    <w:rsid w:val="003044E5"/>
    <w:rsid w:val="003061E9"/>
    <w:rsid w:val="00306655"/>
    <w:rsid w:val="00306B58"/>
    <w:rsid w:val="003120C5"/>
    <w:rsid w:val="00312FB9"/>
    <w:rsid w:val="0031326D"/>
    <w:rsid w:val="00313351"/>
    <w:rsid w:val="00314D1E"/>
    <w:rsid w:val="00316553"/>
    <w:rsid w:val="00316ECB"/>
    <w:rsid w:val="00322E47"/>
    <w:rsid w:val="00322F68"/>
    <w:rsid w:val="00322FE0"/>
    <w:rsid w:val="00323437"/>
    <w:rsid w:val="003266BD"/>
    <w:rsid w:val="003309B7"/>
    <w:rsid w:val="00330AFD"/>
    <w:rsid w:val="0033203E"/>
    <w:rsid w:val="00333D89"/>
    <w:rsid w:val="003341B2"/>
    <w:rsid w:val="00335A46"/>
    <w:rsid w:val="003403D9"/>
    <w:rsid w:val="003409CA"/>
    <w:rsid w:val="00341BDB"/>
    <w:rsid w:val="00346566"/>
    <w:rsid w:val="00350109"/>
    <w:rsid w:val="00350DD7"/>
    <w:rsid w:val="00351FCA"/>
    <w:rsid w:val="00354D6F"/>
    <w:rsid w:val="00354E87"/>
    <w:rsid w:val="003552F0"/>
    <w:rsid w:val="00355C0D"/>
    <w:rsid w:val="00355F38"/>
    <w:rsid w:val="00355FCD"/>
    <w:rsid w:val="003565C3"/>
    <w:rsid w:val="00360EC2"/>
    <w:rsid w:val="00361482"/>
    <w:rsid w:val="00361CA7"/>
    <w:rsid w:val="0036279E"/>
    <w:rsid w:val="00362DCA"/>
    <w:rsid w:val="0036333E"/>
    <w:rsid w:val="00363CAD"/>
    <w:rsid w:val="00366245"/>
    <w:rsid w:val="003666FE"/>
    <w:rsid w:val="00370012"/>
    <w:rsid w:val="003715AC"/>
    <w:rsid w:val="00371AC5"/>
    <w:rsid w:val="00371D8D"/>
    <w:rsid w:val="003734F4"/>
    <w:rsid w:val="003745D5"/>
    <w:rsid w:val="00375CC8"/>
    <w:rsid w:val="003763FE"/>
    <w:rsid w:val="003767A5"/>
    <w:rsid w:val="0038088A"/>
    <w:rsid w:val="00383193"/>
    <w:rsid w:val="00383974"/>
    <w:rsid w:val="0039110E"/>
    <w:rsid w:val="003915F0"/>
    <w:rsid w:val="003919F2"/>
    <w:rsid w:val="00392732"/>
    <w:rsid w:val="003932D4"/>
    <w:rsid w:val="003943C1"/>
    <w:rsid w:val="003A1F6C"/>
    <w:rsid w:val="003A31B2"/>
    <w:rsid w:val="003A4062"/>
    <w:rsid w:val="003A49C8"/>
    <w:rsid w:val="003A57FD"/>
    <w:rsid w:val="003A7605"/>
    <w:rsid w:val="003A7A87"/>
    <w:rsid w:val="003B03D9"/>
    <w:rsid w:val="003B3D61"/>
    <w:rsid w:val="003B485F"/>
    <w:rsid w:val="003B5711"/>
    <w:rsid w:val="003C0B4D"/>
    <w:rsid w:val="003C5D35"/>
    <w:rsid w:val="003C62D2"/>
    <w:rsid w:val="003C6BF9"/>
    <w:rsid w:val="003C7563"/>
    <w:rsid w:val="003D0986"/>
    <w:rsid w:val="003D0EA1"/>
    <w:rsid w:val="003D21BB"/>
    <w:rsid w:val="003D58B1"/>
    <w:rsid w:val="003D673D"/>
    <w:rsid w:val="003D6D01"/>
    <w:rsid w:val="003E04E4"/>
    <w:rsid w:val="003E0EBA"/>
    <w:rsid w:val="003E22DE"/>
    <w:rsid w:val="003E2503"/>
    <w:rsid w:val="003E3C7B"/>
    <w:rsid w:val="003E4150"/>
    <w:rsid w:val="003E77FA"/>
    <w:rsid w:val="003F3A85"/>
    <w:rsid w:val="00400BCB"/>
    <w:rsid w:val="00401046"/>
    <w:rsid w:val="00401659"/>
    <w:rsid w:val="004059FF"/>
    <w:rsid w:val="004070F4"/>
    <w:rsid w:val="004103D5"/>
    <w:rsid w:val="00411370"/>
    <w:rsid w:val="004116BF"/>
    <w:rsid w:val="00412813"/>
    <w:rsid w:val="004146EB"/>
    <w:rsid w:val="00415953"/>
    <w:rsid w:val="00415E9E"/>
    <w:rsid w:val="00416391"/>
    <w:rsid w:val="00417D82"/>
    <w:rsid w:val="00421028"/>
    <w:rsid w:val="0042115B"/>
    <w:rsid w:val="00422364"/>
    <w:rsid w:val="00424559"/>
    <w:rsid w:val="00430117"/>
    <w:rsid w:val="004318A6"/>
    <w:rsid w:val="0043338A"/>
    <w:rsid w:val="0043638B"/>
    <w:rsid w:val="004372EA"/>
    <w:rsid w:val="00440970"/>
    <w:rsid w:val="00441B51"/>
    <w:rsid w:val="00443859"/>
    <w:rsid w:val="00446374"/>
    <w:rsid w:val="00446551"/>
    <w:rsid w:val="0044704F"/>
    <w:rsid w:val="004521C6"/>
    <w:rsid w:val="004544D1"/>
    <w:rsid w:val="004558FC"/>
    <w:rsid w:val="00462397"/>
    <w:rsid w:val="004646D8"/>
    <w:rsid w:val="00464E11"/>
    <w:rsid w:val="004656ED"/>
    <w:rsid w:val="004668A1"/>
    <w:rsid w:val="00470302"/>
    <w:rsid w:val="00471F24"/>
    <w:rsid w:val="00472369"/>
    <w:rsid w:val="00472976"/>
    <w:rsid w:val="00472AA4"/>
    <w:rsid w:val="00473753"/>
    <w:rsid w:val="004739C8"/>
    <w:rsid w:val="0047400E"/>
    <w:rsid w:val="00475D91"/>
    <w:rsid w:val="0047709E"/>
    <w:rsid w:val="004778DC"/>
    <w:rsid w:val="00481337"/>
    <w:rsid w:val="004837BD"/>
    <w:rsid w:val="00484A38"/>
    <w:rsid w:val="0049097F"/>
    <w:rsid w:val="00491D41"/>
    <w:rsid w:val="00492833"/>
    <w:rsid w:val="00494BFA"/>
    <w:rsid w:val="00495856"/>
    <w:rsid w:val="00496896"/>
    <w:rsid w:val="004A2235"/>
    <w:rsid w:val="004A3153"/>
    <w:rsid w:val="004A3950"/>
    <w:rsid w:val="004A4841"/>
    <w:rsid w:val="004A6CBD"/>
    <w:rsid w:val="004B016C"/>
    <w:rsid w:val="004B1930"/>
    <w:rsid w:val="004B30D8"/>
    <w:rsid w:val="004B3668"/>
    <w:rsid w:val="004B4434"/>
    <w:rsid w:val="004B497B"/>
    <w:rsid w:val="004B6C77"/>
    <w:rsid w:val="004B7AE5"/>
    <w:rsid w:val="004B7CDD"/>
    <w:rsid w:val="004C14C0"/>
    <w:rsid w:val="004C4873"/>
    <w:rsid w:val="004C5FC6"/>
    <w:rsid w:val="004C6EAD"/>
    <w:rsid w:val="004D13C5"/>
    <w:rsid w:val="004D1C72"/>
    <w:rsid w:val="004D1D1B"/>
    <w:rsid w:val="004D36D9"/>
    <w:rsid w:val="004D51AC"/>
    <w:rsid w:val="004D5EEE"/>
    <w:rsid w:val="004D61F3"/>
    <w:rsid w:val="004D6F8A"/>
    <w:rsid w:val="004E031D"/>
    <w:rsid w:val="004E0886"/>
    <w:rsid w:val="004E0C18"/>
    <w:rsid w:val="004E0F67"/>
    <w:rsid w:val="004E1D64"/>
    <w:rsid w:val="004E2AD0"/>
    <w:rsid w:val="004E2E7C"/>
    <w:rsid w:val="004E332C"/>
    <w:rsid w:val="004E4452"/>
    <w:rsid w:val="004E776E"/>
    <w:rsid w:val="004F22B5"/>
    <w:rsid w:val="004F3C91"/>
    <w:rsid w:val="004F5039"/>
    <w:rsid w:val="004F53A1"/>
    <w:rsid w:val="004F57A5"/>
    <w:rsid w:val="004F607F"/>
    <w:rsid w:val="004F7661"/>
    <w:rsid w:val="004F76BE"/>
    <w:rsid w:val="005029F3"/>
    <w:rsid w:val="00502F4C"/>
    <w:rsid w:val="00502FEE"/>
    <w:rsid w:val="00503C71"/>
    <w:rsid w:val="0050432D"/>
    <w:rsid w:val="00505DB4"/>
    <w:rsid w:val="00505F2E"/>
    <w:rsid w:val="00506702"/>
    <w:rsid w:val="00510221"/>
    <w:rsid w:val="00512231"/>
    <w:rsid w:val="00512E9B"/>
    <w:rsid w:val="00513190"/>
    <w:rsid w:val="00513BA0"/>
    <w:rsid w:val="00515DA9"/>
    <w:rsid w:val="00517237"/>
    <w:rsid w:val="005179E1"/>
    <w:rsid w:val="00517D4E"/>
    <w:rsid w:val="00522773"/>
    <w:rsid w:val="005248BB"/>
    <w:rsid w:val="005279DF"/>
    <w:rsid w:val="00527C93"/>
    <w:rsid w:val="0053114B"/>
    <w:rsid w:val="0053135D"/>
    <w:rsid w:val="0053164E"/>
    <w:rsid w:val="00531AEF"/>
    <w:rsid w:val="00537146"/>
    <w:rsid w:val="0054083F"/>
    <w:rsid w:val="005415CF"/>
    <w:rsid w:val="00541B36"/>
    <w:rsid w:val="005437ED"/>
    <w:rsid w:val="0055084B"/>
    <w:rsid w:val="005547F9"/>
    <w:rsid w:val="005554B1"/>
    <w:rsid w:val="00556E35"/>
    <w:rsid w:val="00557A16"/>
    <w:rsid w:val="00560714"/>
    <w:rsid w:val="00561388"/>
    <w:rsid w:val="00561F91"/>
    <w:rsid w:val="005631B3"/>
    <w:rsid w:val="00567661"/>
    <w:rsid w:val="00570032"/>
    <w:rsid w:val="00570334"/>
    <w:rsid w:val="00570FF7"/>
    <w:rsid w:val="0057155F"/>
    <w:rsid w:val="005715D7"/>
    <w:rsid w:val="00572C6B"/>
    <w:rsid w:val="005746A6"/>
    <w:rsid w:val="005771C3"/>
    <w:rsid w:val="0057778A"/>
    <w:rsid w:val="00580EC5"/>
    <w:rsid w:val="005833D9"/>
    <w:rsid w:val="00583FA5"/>
    <w:rsid w:val="005848BB"/>
    <w:rsid w:val="00584AE9"/>
    <w:rsid w:val="0058569C"/>
    <w:rsid w:val="00586F04"/>
    <w:rsid w:val="0059021A"/>
    <w:rsid w:val="0059049D"/>
    <w:rsid w:val="00590FC5"/>
    <w:rsid w:val="005921B2"/>
    <w:rsid w:val="005929F6"/>
    <w:rsid w:val="005941B8"/>
    <w:rsid w:val="00594B12"/>
    <w:rsid w:val="00594F86"/>
    <w:rsid w:val="00596086"/>
    <w:rsid w:val="0059660E"/>
    <w:rsid w:val="005A070E"/>
    <w:rsid w:val="005A2CD6"/>
    <w:rsid w:val="005A6BCE"/>
    <w:rsid w:val="005B1354"/>
    <w:rsid w:val="005B23B2"/>
    <w:rsid w:val="005B4981"/>
    <w:rsid w:val="005B52A5"/>
    <w:rsid w:val="005C34AD"/>
    <w:rsid w:val="005C4E42"/>
    <w:rsid w:val="005C79F4"/>
    <w:rsid w:val="005D0216"/>
    <w:rsid w:val="005D0B77"/>
    <w:rsid w:val="005D0D0D"/>
    <w:rsid w:val="005D2303"/>
    <w:rsid w:val="005D537B"/>
    <w:rsid w:val="005D5D92"/>
    <w:rsid w:val="005D6A60"/>
    <w:rsid w:val="005D7EC3"/>
    <w:rsid w:val="005E2C33"/>
    <w:rsid w:val="005E4610"/>
    <w:rsid w:val="005E7D1E"/>
    <w:rsid w:val="005F196D"/>
    <w:rsid w:val="005F1EB8"/>
    <w:rsid w:val="005F6CA3"/>
    <w:rsid w:val="00602A7B"/>
    <w:rsid w:val="006030D6"/>
    <w:rsid w:val="006042CC"/>
    <w:rsid w:val="006052F0"/>
    <w:rsid w:val="006074C3"/>
    <w:rsid w:val="00607A2B"/>
    <w:rsid w:val="006126D3"/>
    <w:rsid w:val="00612862"/>
    <w:rsid w:val="00614255"/>
    <w:rsid w:val="006159C2"/>
    <w:rsid w:val="00616E2F"/>
    <w:rsid w:val="006170BC"/>
    <w:rsid w:val="00617EB4"/>
    <w:rsid w:val="00622FB2"/>
    <w:rsid w:val="0062388B"/>
    <w:rsid w:val="00623EC5"/>
    <w:rsid w:val="0062527C"/>
    <w:rsid w:val="006254BD"/>
    <w:rsid w:val="00626CD4"/>
    <w:rsid w:val="00634B01"/>
    <w:rsid w:val="00634EB1"/>
    <w:rsid w:val="00635614"/>
    <w:rsid w:val="006372DA"/>
    <w:rsid w:val="00640C75"/>
    <w:rsid w:val="00641B58"/>
    <w:rsid w:val="00642FD4"/>
    <w:rsid w:val="006447B9"/>
    <w:rsid w:val="00645A45"/>
    <w:rsid w:val="00645ABF"/>
    <w:rsid w:val="00645E68"/>
    <w:rsid w:val="00650DB8"/>
    <w:rsid w:val="00653EFA"/>
    <w:rsid w:val="00655252"/>
    <w:rsid w:val="00655336"/>
    <w:rsid w:val="006556C3"/>
    <w:rsid w:val="0065725A"/>
    <w:rsid w:val="00657AC1"/>
    <w:rsid w:val="00663867"/>
    <w:rsid w:val="00663EEB"/>
    <w:rsid w:val="00664551"/>
    <w:rsid w:val="00667414"/>
    <w:rsid w:val="00667AA0"/>
    <w:rsid w:val="00667E86"/>
    <w:rsid w:val="006700F7"/>
    <w:rsid w:val="00684516"/>
    <w:rsid w:val="0068466C"/>
    <w:rsid w:val="00684A9A"/>
    <w:rsid w:val="00685953"/>
    <w:rsid w:val="006869FB"/>
    <w:rsid w:val="0068764E"/>
    <w:rsid w:val="00690ABD"/>
    <w:rsid w:val="00690B5C"/>
    <w:rsid w:val="006951F6"/>
    <w:rsid w:val="00696331"/>
    <w:rsid w:val="00697206"/>
    <w:rsid w:val="006A1A3C"/>
    <w:rsid w:val="006A3824"/>
    <w:rsid w:val="006A4778"/>
    <w:rsid w:val="006A4E17"/>
    <w:rsid w:val="006A650B"/>
    <w:rsid w:val="006B27B9"/>
    <w:rsid w:val="006B3BCA"/>
    <w:rsid w:val="006B72EE"/>
    <w:rsid w:val="006B737C"/>
    <w:rsid w:val="006B7B2B"/>
    <w:rsid w:val="006C10A5"/>
    <w:rsid w:val="006C4109"/>
    <w:rsid w:val="006C5D7A"/>
    <w:rsid w:val="006C74A3"/>
    <w:rsid w:val="006C7681"/>
    <w:rsid w:val="006D0B5A"/>
    <w:rsid w:val="006D0E2B"/>
    <w:rsid w:val="006D22D9"/>
    <w:rsid w:val="006D2ED9"/>
    <w:rsid w:val="006D3E74"/>
    <w:rsid w:val="006D517F"/>
    <w:rsid w:val="006D798F"/>
    <w:rsid w:val="006E22CA"/>
    <w:rsid w:val="006E3033"/>
    <w:rsid w:val="006E440F"/>
    <w:rsid w:val="006E7479"/>
    <w:rsid w:val="006E7AB6"/>
    <w:rsid w:val="006F077E"/>
    <w:rsid w:val="006F2328"/>
    <w:rsid w:val="006F555C"/>
    <w:rsid w:val="006F5CF4"/>
    <w:rsid w:val="006F5EB1"/>
    <w:rsid w:val="006F6C59"/>
    <w:rsid w:val="00702503"/>
    <w:rsid w:val="0070530B"/>
    <w:rsid w:val="00706767"/>
    <w:rsid w:val="00707235"/>
    <w:rsid w:val="00707F6C"/>
    <w:rsid w:val="00712207"/>
    <w:rsid w:val="0071277B"/>
    <w:rsid w:val="007127FA"/>
    <w:rsid w:val="0071335F"/>
    <w:rsid w:val="00713C6C"/>
    <w:rsid w:val="00713E98"/>
    <w:rsid w:val="007146CD"/>
    <w:rsid w:val="00716A1D"/>
    <w:rsid w:val="00717D64"/>
    <w:rsid w:val="007225A8"/>
    <w:rsid w:val="00722A9E"/>
    <w:rsid w:val="007237BE"/>
    <w:rsid w:val="007245EA"/>
    <w:rsid w:val="00727507"/>
    <w:rsid w:val="00727992"/>
    <w:rsid w:val="00727EFB"/>
    <w:rsid w:val="00727EFC"/>
    <w:rsid w:val="00730CE5"/>
    <w:rsid w:val="00730F6B"/>
    <w:rsid w:val="00731700"/>
    <w:rsid w:val="00731FD5"/>
    <w:rsid w:val="0073404A"/>
    <w:rsid w:val="00735A3F"/>
    <w:rsid w:val="00735A4C"/>
    <w:rsid w:val="00735FD3"/>
    <w:rsid w:val="00740710"/>
    <w:rsid w:val="007408E4"/>
    <w:rsid w:val="00742560"/>
    <w:rsid w:val="00744148"/>
    <w:rsid w:val="00744EDB"/>
    <w:rsid w:val="00745AAE"/>
    <w:rsid w:val="007467A6"/>
    <w:rsid w:val="00746899"/>
    <w:rsid w:val="007533F0"/>
    <w:rsid w:val="00756456"/>
    <w:rsid w:val="0075690B"/>
    <w:rsid w:val="00761D41"/>
    <w:rsid w:val="00763483"/>
    <w:rsid w:val="007654F0"/>
    <w:rsid w:val="00765885"/>
    <w:rsid w:val="00766340"/>
    <w:rsid w:val="0077017C"/>
    <w:rsid w:val="007703F0"/>
    <w:rsid w:val="00770EE4"/>
    <w:rsid w:val="00772BB0"/>
    <w:rsid w:val="00774A35"/>
    <w:rsid w:val="007768D9"/>
    <w:rsid w:val="00780F8F"/>
    <w:rsid w:val="0078104B"/>
    <w:rsid w:val="007821D5"/>
    <w:rsid w:val="0078388D"/>
    <w:rsid w:val="0078408C"/>
    <w:rsid w:val="00785039"/>
    <w:rsid w:val="00785ED3"/>
    <w:rsid w:val="00791053"/>
    <w:rsid w:val="00791455"/>
    <w:rsid w:val="00793F89"/>
    <w:rsid w:val="00794EB0"/>
    <w:rsid w:val="0079559D"/>
    <w:rsid w:val="007972E9"/>
    <w:rsid w:val="007A04FF"/>
    <w:rsid w:val="007A22FF"/>
    <w:rsid w:val="007A3F45"/>
    <w:rsid w:val="007A5C4B"/>
    <w:rsid w:val="007A7B81"/>
    <w:rsid w:val="007B01F2"/>
    <w:rsid w:val="007B0350"/>
    <w:rsid w:val="007B103B"/>
    <w:rsid w:val="007B1040"/>
    <w:rsid w:val="007B7C67"/>
    <w:rsid w:val="007C00DF"/>
    <w:rsid w:val="007C280E"/>
    <w:rsid w:val="007C2A52"/>
    <w:rsid w:val="007C319C"/>
    <w:rsid w:val="007C3E31"/>
    <w:rsid w:val="007C5B71"/>
    <w:rsid w:val="007C5BDC"/>
    <w:rsid w:val="007C7A5F"/>
    <w:rsid w:val="007D2629"/>
    <w:rsid w:val="007D2971"/>
    <w:rsid w:val="007D3206"/>
    <w:rsid w:val="007D339C"/>
    <w:rsid w:val="007D464D"/>
    <w:rsid w:val="007D586F"/>
    <w:rsid w:val="007D74F5"/>
    <w:rsid w:val="007E0B39"/>
    <w:rsid w:val="007E17C4"/>
    <w:rsid w:val="007E2BEE"/>
    <w:rsid w:val="007E39B8"/>
    <w:rsid w:val="007E3C56"/>
    <w:rsid w:val="007E3D53"/>
    <w:rsid w:val="007E452D"/>
    <w:rsid w:val="007E6852"/>
    <w:rsid w:val="007E780D"/>
    <w:rsid w:val="007F0D58"/>
    <w:rsid w:val="007F0E0E"/>
    <w:rsid w:val="007F1F2B"/>
    <w:rsid w:val="007F312A"/>
    <w:rsid w:val="007F51D3"/>
    <w:rsid w:val="007F5FDE"/>
    <w:rsid w:val="007F678F"/>
    <w:rsid w:val="008003D4"/>
    <w:rsid w:val="00800D67"/>
    <w:rsid w:val="00804863"/>
    <w:rsid w:val="00805F86"/>
    <w:rsid w:val="0080753F"/>
    <w:rsid w:val="00810AF3"/>
    <w:rsid w:val="00810FE8"/>
    <w:rsid w:val="00811871"/>
    <w:rsid w:val="0081652A"/>
    <w:rsid w:val="00816F04"/>
    <w:rsid w:val="00820EE8"/>
    <w:rsid w:val="00821E24"/>
    <w:rsid w:val="008236A2"/>
    <w:rsid w:val="00823955"/>
    <w:rsid w:val="00823E18"/>
    <w:rsid w:val="00824684"/>
    <w:rsid w:val="00825FB9"/>
    <w:rsid w:val="00826CA2"/>
    <w:rsid w:val="00831F86"/>
    <w:rsid w:val="00835120"/>
    <w:rsid w:val="0083524C"/>
    <w:rsid w:val="0083553B"/>
    <w:rsid w:val="00836873"/>
    <w:rsid w:val="00840872"/>
    <w:rsid w:val="0084175F"/>
    <w:rsid w:val="00842169"/>
    <w:rsid w:val="008430BF"/>
    <w:rsid w:val="0084512A"/>
    <w:rsid w:val="008461BB"/>
    <w:rsid w:val="00846FBB"/>
    <w:rsid w:val="008475FB"/>
    <w:rsid w:val="00851741"/>
    <w:rsid w:val="00852C94"/>
    <w:rsid w:val="00856DA8"/>
    <w:rsid w:val="0085798F"/>
    <w:rsid w:val="00860155"/>
    <w:rsid w:val="0086086D"/>
    <w:rsid w:val="0087076E"/>
    <w:rsid w:val="00870BDA"/>
    <w:rsid w:val="0087168C"/>
    <w:rsid w:val="00871991"/>
    <w:rsid w:val="00873E10"/>
    <w:rsid w:val="0087689B"/>
    <w:rsid w:val="00876F21"/>
    <w:rsid w:val="008776BD"/>
    <w:rsid w:val="00877D38"/>
    <w:rsid w:val="008825B9"/>
    <w:rsid w:val="00883798"/>
    <w:rsid w:val="0088691F"/>
    <w:rsid w:val="00886FDE"/>
    <w:rsid w:val="00893148"/>
    <w:rsid w:val="00894EF5"/>
    <w:rsid w:val="008955B4"/>
    <w:rsid w:val="008974CF"/>
    <w:rsid w:val="008977B6"/>
    <w:rsid w:val="008A0F7E"/>
    <w:rsid w:val="008A2A02"/>
    <w:rsid w:val="008A4F1B"/>
    <w:rsid w:val="008A58AA"/>
    <w:rsid w:val="008A6177"/>
    <w:rsid w:val="008A658E"/>
    <w:rsid w:val="008A666A"/>
    <w:rsid w:val="008A6E45"/>
    <w:rsid w:val="008A711A"/>
    <w:rsid w:val="008A7BAD"/>
    <w:rsid w:val="008A7CEE"/>
    <w:rsid w:val="008A7FE8"/>
    <w:rsid w:val="008B00A5"/>
    <w:rsid w:val="008B0B29"/>
    <w:rsid w:val="008B1D53"/>
    <w:rsid w:val="008B2C61"/>
    <w:rsid w:val="008B4E0F"/>
    <w:rsid w:val="008B60DC"/>
    <w:rsid w:val="008B629E"/>
    <w:rsid w:val="008B6407"/>
    <w:rsid w:val="008B6561"/>
    <w:rsid w:val="008B6677"/>
    <w:rsid w:val="008C0EA8"/>
    <w:rsid w:val="008C1F1B"/>
    <w:rsid w:val="008C20DE"/>
    <w:rsid w:val="008C2952"/>
    <w:rsid w:val="008C31A6"/>
    <w:rsid w:val="008C5357"/>
    <w:rsid w:val="008C5C3A"/>
    <w:rsid w:val="008C63D2"/>
    <w:rsid w:val="008C7B52"/>
    <w:rsid w:val="008D097E"/>
    <w:rsid w:val="008D1B06"/>
    <w:rsid w:val="008D36AD"/>
    <w:rsid w:val="008D3A4F"/>
    <w:rsid w:val="008D3CA2"/>
    <w:rsid w:val="008D63C1"/>
    <w:rsid w:val="008E01E6"/>
    <w:rsid w:val="008E1FAC"/>
    <w:rsid w:val="008E26AA"/>
    <w:rsid w:val="008E344E"/>
    <w:rsid w:val="008E3A74"/>
    <w:rsid w:val="008E3E0C"/>
    <w:rsid w:val="008E56FA"/>
    <w:rsid w:val="008E7782"/>
    <w:rsid w:val="008E7961"/>
    <w:rsid w:val="008F114B"/>
    <w:rsid w:val="008F1225"/>
    <w:rsid w:val="008F25FA"/>
    <w:rsid w:val="008F2AFA"/>
    <w:rsid w:val="008F2E34"/>
    <w:rsid w:val="008F5AA6"/>
    <w:rsid w:val="008F63B6"/>
    <w:rsid w:val="008F6C2A"/>
    <w:rsid w:val="00904FB6"/>
    <w:rsid w:val="00907FDE"/>
    <w:rsid w:val="009121EE"/>
    <w:rsid w:val="00912846"/>
    <w:rsid w:val="00912FA3"/>
    <w:rsid w:val="009150EC"/>
    <w:rsid w:val="00917116"/>
    <w:rsid w:val="00917919"/>
    <w:rsid w:val="0092157A"/>
    <w:rsid w:val="0092188A"/>
    <w:rsid w:val="00923263"/>
    <w:rsid w:val="00925301"/>
    <w:rsid w:val="0092570D"/>
    <w:rsid w:val="009301A8"/>
    <w:rsid w:val="00930527"/>
    <w:rsid w:val="00930584"/>
    <w:rsid w:val="009309A5"/>
    <w:rsid w:val="0093190F"/>
    <w:rsid w:val="00932DCC"/>
    <w:rsid w:val="0093320D"/>
    <w:rsid w:val="009349C3"/>
    <w:rsid w:val="00934EDF"/>
    <w:rsid w:val="00935C43"/>
    <w:rsid w:val="00936417"/>
    <w:rsid w:val="00936781"/>
    <w:rsid w:val="00941003"/>
    <w:rsid w:val="00943043"/>
    <w:rsid w:val="00946626"/>
    <w:rsid w:val="0095004F"/>
    <w:rsid w:val="009525ED"/>
    <w:rsid w:val="00953EDF"/>
    <w:rsid w:val="00954CE1"/>
    <w:rsid w:val="00954F5F"/>
    <w:rsid w:val="00955A32"/>
    <w:rsid w:val="00955C41"/>
    <w:rsid w:val="0095724B"/>
    <w:rsid w:val="00957E73"/>
    <w:rsid w:val="00960478"/>
    <w:rsid w:val="00960C67"/>
    <w:rsid w:val="0096120D"/>
    <w:rsid w:val="0096153F"/>
    <w:rsid w:val="00962773"/>
    <w:rsid w:val="00962EF1"/>
    <w:rsid w:val="00964731"/>
    <w:rsid w:val="009650E9"/>
    <w:rsid w:val="00967951"/>
    <w:rsid w:val="0097005A"/>
    <w:rsid w:val="00972DB7"/>
    <w:rsid w:val="009745F1"/>
    <w:rsid w:val="00980033"/>
    <w:rsid w:val="00980BEC"/>
    <w:rsid w:val="00981010"/>
    <w:rsid w:val="0098321F"/>
    <w:rsid w:val="00992190"/>
    <w:rsid w:val="00992B25"/>
    <w:rsid w:val="009A1CF4"/>
    <w:rsid w:val="009A400D"/>
    <w:rsid w:val="009A4166"/>
    <w:rsid w:val="009A4E3F"/>
    <w:rsid w:val="009A6E85"/>
    <w:rsid w:val="009A7ABA"/>
    <w:rsid w:val="009B013C"/>
    <w:rsid w:val="009B133B"/>
    <w:rsid w:val="009B191F"/>
    <w:rsid w:val="009B2915"/>
    <w:rsid w:val="009B35C8"/>
    <w:rsid w:val="009B527B"/>
    <w:rsid w:val="009B71C2"/>
    <w:rsid w:val="009C0C68"/>
    <w:rsid w:val="009C23D2"/>
    <w:rsid w:val="009C47C5"/>
    <w:rsid w:val="009C68E2"/>
    <w:rsid w:val="009C6D61"/>
    <w:rsid w:val="009D16D2"/>
    <w:rsid w:val="009D1720"/>
    <w:rsid w:val="009D2F33"/>
    <w:rsid w:val="009D4A16"/>
    <w:rsid w:val="009D4A50"/>
    <w:rsid w:val="009D62EA"/>
    <w:rsid w:val="009D7294"/>
    <w:rsid w:val="009E2400"/>
    <w:rsid w:val="009E2E12"/>
    <w:rsid w:val="009E7D7A"/>
    <w:rsid w:val="009F0DA6"/>
    <w:rsid w:val="009F34A5"/>
    <w:rsid w:val="009F4AB5"/>
    <w:rsid w:val="009F62A1"/>
    <w:rsid w:val="00A001A0"/>
    <w:rsid w:val="00A0174D"/>
    <w:rsid w:val="00A021DB"/>
    <w:rsid w:val="00A028E9"/>
    <w:rsid w:val="00A03871"/>
    <w:rsid w:val="00A05E29"/>
    <w:rsid w:val="00A11101"/>
    <w:rsid w:val="00A11676"/>
    <w:rsid w:val="00A15CDC"/>
    <w:rsid w:val="00A16FFF"/>
    <w:rsid w:val="00A220F8"/>
    <w:rsid w:val="00A26B8F"/>
    <w:rsid w:val="00A273C1"/>
    <w:rsid w:val="00A2771D"/>
    <w:rsid w:val="00A27A7E"/>
    <w:rsid w:val="00A335CC"/>
    <w:rsid w:val="00A33D60"/>
    <w:rsid w:val="00A33ECB"/>
    <w:rsid w:val="00A34A71"/>
    <w:rsid w:val="00A3576D"/>
    <w:rsid w:val="00A35F8F"/>
    <w:rsid w:val="00A36BC4"/>
    <w:rsid w:val="00A37A1F"/>
    <w:rsid w:val="00A37E8E"/>
    <w:rsid w:val="00A407E6"/>
    <w:rsid w:val="00A4157B"/>
    <w:rsid w:val="00A41779"/>
    <w:rsid w:val="00A422B6"/>
    <w:rsid w:val="00A42F75"/>
    <w:rsid w:val="00A43423"/>
    <w:rsid w:val="00A43D34"/>
    <w:rsid w:val="00A44D5F"/>
    <w:rsid w:val="00A44EA9"/>
    <w:rsid w:val="00A45DE9"/>
    <w:rsid w:val="00A4749A"/>
    <w:rsid w:val="00A50085"/>
    <w:rsid w:val="00A5070F"/>
    <w:rsid w:val="00A511F0"/>
    <w:rsid w:val="00A5706F"/>
    <w:rsid w:val="00A57123"/>
    <w:rsid w:val="00A57800"/>
    <w:rsid w:val="00A60A49"/>
    <w:rsid w:val="00A64FBB"/>
    <w:rsid w:val="00A65B8F"/>
    <w:rsid w:val="00A66091"/>
    <w:rsid w:val="00A71329"/>
    <w:rsid w:val="00A71383"/>
    <w:rsid w:val="00A72A37"/>
    <w:rsid w:val="00A7407B"/>
    <w:rsid w:val="00A76184"/>
    <w:rsid w:val="00A7782E"/>
    <w:rsid w:val="00A77B1F"/>
    <w:rsid w:val="00A816C4"/>
    <w:rsid w:val="00A82C68"/>
    <w:rsid w:val="00A831B2"/>
    <w:rsid w:val="00A8451E"/>
    <w:rsid w:val="00A84548"/>
    <w:rsid w:val="00A85688"/>
    <w:rsid w:val="00A857F5"/>
    <w:rsid w:val="00A868AE"/>
    <w:rsid w:val="00A86A54"/>
    <w:rsid w:val="00A8721B"/>
    <w:rsid w:val="00A91287"/>
    <w:rsid w:val="00A917C2"/>
    <w:rsid w:val="00A94D76"/>
    <w:rsid w:val="00A96DE7"/>
    <w:rsid w:val="00A96FB3"/>
    <w:rsid w:val="00AA0BFB"/>
    <w:rsid w:val="00AA1C16"/>
    <w:rsid w:val="00AA1D69"/>
    <w:rsid w:val="00AA27F6"/>
    <w:rsid w:val="00AA34D7"/>
    <w:rsid w:val="00AA368A"/>
    <w:rsid w:val="00AA499E"/>
    <w:rsid w:val="00AA639D"/>
    <w:rsid w:val="00AA643A"/>
    <w:rsid w:val="00AA6D58"/>
    <w:rsid w:val="00AA6D6A"/>
    <w:rsid w:val="00AA6DB7"/>
    <w:rsid w:val="00AB51F5"/>
    <w:rsid w:val="00AB6488"/>
    <w:rsid w:val="00AC13D4"/>
    <w:rsid w:val="00AC15CC"/>
    <w:rsid w:val="00AC53C8"/>
    <w:rsid w:val="00AC6A8C"/>
    <w:rsid w:val="00AD08BB"/>
    <w:rsid w:val="00AD10B0"/>
    <w:rsid w:val="00AD2176"/>
    <w:rsid w:val="00AD2D6E"/>
    <w:rsid w:val="00AD3BB8"/>
    <w:rsid w:val="00AD6199"/>
    <w:rsid w:val="00AD6874"/>
    <w:rsid w:val="00AD6A09"/>
    <w:rsid w:val="00AD742E"/>
    <w:rsid w:val="00AE38B4"/>
    <w:rsid w:val="00AE3986"/>
    <w:rsid w:val="00AE6762"/>
    <w:rsid w:val="00AF263D"/>
    <w:rsid w:val="00AF31A2"/>
    <w:rsid w:val="00AF77EB"/>
    <w:rsid w:val="00B02695"/>
    <w:rsid w:val="00B0609E"/>
    <w:rsid w:val="00B06246"/>
    <w:rsid w:val="00B07E4E"/>
    <w:rsid w:val="00B11656"/>
    <w:rsid w:val="00B12A5A"/>
    <w:rsid w:val="00B13E5F"/>
    <w:rsid w:val="00B172A6"/>
    <w:rsid w:val="00B178F5"/>
    <w:rsid w:val="00B17C65"/>
    <w:rsid w:val="00B226D9"/>
    <w:rsid w:val="00B24367"/>
    <w:rsid w:val="00B2534E"/>
    <w:rsid w:val="00B30059"/>
    <w:rsid w:val="00B30FDD"/>
    <w:rsid w:val="00B3368D"/>
    <w:rsid w:val="00B350D3"/>
    <w:rsid w:val="00B35D68"/>
    <w:rsid w:val="00B370B8"/>
    <w:rsid w:val="00B376EA"/>
    <w:rsid w:val="00B408F7"/>
    <w:rsid w:val="00B40F08"/>
    <w:rsid w:val="00B458A0"/>
    <w:rsid w:val="00B47726"/>
    <w:rsid w:val="00B507C5"/>
    <w:rsid w:val="00B5147E"/>
    <w:rsid w:val="00B53364"/>
    <w:rsid w:val="00B56134"/>
    <w:rsid w:val="00B63974"/>
    <w:rsid w:val="00B63B93"/>
    <w:rsid w:val="00B63FAC"/>
    <w:rsid w:val="00B677F5"/>
    <w:rsid w:val="00B71A06"/>
    <w:rsid w:val="00B71E9D"/>
    <w:rsid w:val="00B7206C"/>
    <w:rsid w:val="00B7483A"/>
    <w:rsid w:val="00B751B2"/>
    <w:rsid w:val="00B75657"/>
    <w:rsid w:val="00B75F70"/>
    <w:rsid w:val="00B778D5"/>
    <w:rsid w:val="00B77A4D"/>
    <w:rsid w:val="00B808B5"/>
    <w:rsid w:val="00B81657"/>
    <w:rsid w:val="00B84B99"/>
    <w:rsid w:val="00B87350"/>
    <w:rsid w:val="00B902CC"/>
    <w:rsid w:val="00B94404"/>
    <w:rsid w:val="00B947C1"/>
    <w:rsid w:val="00B94DD5"/>
    <w:rsid w:val="00B96F99"/>
    <w:rsid w:val="00BA1016"/>
    <w:rsid w:val="00BA190B"/>
    <w:rsid w:val="00BA2F46"/>
    <w:rsid w:val="00BA300B"/>
    <w:rsid w:val="00BA4C1A"/>
    <w:rsid w:val="00BA65B8"/>
    <w:rsid w:val="00BB1F06"/>
    <w:rsid w:val="00BB346E"/>
    <w:rsid w:val="00BB3628"/>
    <w:rsid w:val="00BB4E8C"/>
    <w:rsid w:val="00BB557F"/>
    <w:rsid w:val="00BB60B5"/>
    <w:rsid w:val="00BB6DBD"/>
    <w:rsid w:val="00BB780E"/>
    <w:rsid w:val="00BB7976"/>
    <w:rsid w:val="00BB7D07"/>
    <w:rsid w:val="00BC0C76"/>
    <w:rsid w:val="00BC101E"/>
    <w:rsid w:val="00BC1FE5"/>
    <w:rsid w:val="00BC38B9"/>
    <w:rsid w:val="00BC4579"/>
    <w:rsid w:val="00BC55AD"/>
    <w:rsid w:val="00BC584F"/>
    <w:rsid w:val="00BC5C38"/>
    <w:rsid w:val="00BC7DB7"/>
    <w:rsid w:val="00BD1D0F"/>
    <w:rsid w:val="00BD3D3B"/>
    <w:rsid w:val="00BD608E"/>
    <w:rsid w:val="00BD765F"/>
    <w:rsid w:val="00BD7870"/>
    <w:rsid w:val="00BE0CA5"/>
    <w:rsid w:val="00BE2450"/>
    <w:rsid w:val="00BE2A5E"/>
    <w:rsid w:val="00BE3497"/>
    <w:rsid w:val="00BE5DA5"/>
    <w:rsid w:val="00BE65D3"/>
    <w:rsid w:val="00BE6A13"/>
    <w:rsid w:val="00BF4591"/>
    <w:rsid w:val="00BF5E9C"/>
    <w:rsid w:val="00C00CC4"/>
    <w:rsid w:val="00C01736"/>
    <w:rsid w:val="00C019B3"/>
    <w:rsid w:val="00C02097"/>
    <w:rsid w:val="00C0299C"/>
    <w:rsid w:val="00C0410C"/>
    <w:rsid w:val="00C07FD3"/>
    <w:rsid w:val="00C10596"/>
    <w:rsid w:val="00C11EAE"/>
    <w:rsid w:val="00C12098"/>
    <w:rsid w:val="00C149DF"/>
    <w:rsid w:val="00C2263B"/>
    <w:rsid w:val="00C232CD"/>
    <w:rsid w:val="00C2333B"/>
    <w:rsid w:val="00C2418F"/>
    <w:rsid w:val="00C24C51"/>
    <w:rsid w:val="00C2718E"/>
    <w:rsid w:val="00C302E6"/>
    <w:rsid w:val="00C3072E"/>
    <w:rsid w:val="00C30A8D"/>
    <w:rsid w:val="00C3184A"/>
    <w:rsid w:val="00C33EB4"/>
    <w:rsid w:val="00C3405E"/>
    <w:rsid w:val="00C34233"/>
    <w:rsid w:val="00C369A7"/>
    <w:rsid w:val="00C3738B"/>
    <w:rsid w:val="00C40AB7"/>
    <w:rsid w:val="00C40FE5"/>
    <w:rsid w:val="00C44843"/>
    <w:rsid w:val="00C451E8"/>
    <w:rsid w:val="00C46F20"/>
    <w:rsid w:val="00C51199"/>
    <w:rsid w:val="00C51E5B"/>
    <w:rsid w:val="00C5290E"/>
    <w:rsid w:val="00C54A4C"/>
    <w:rsid w:val="00C56B56"/>
    <w:rsid w:val="00C574D6"/>
    <w:rsid w:val="00C577DA"/>
    <w:rsid w:val="00C57D7E"/>
    <w:rsid w:val="00C604EC"/>
    <w:rsid w:val="00C60BD4"/>
    <w:rsid w:val="00C60C11"/>
    <w:rsid w:val="00C60CCE"/>
    <w:rsid w:val="00C62405"/>
    <w:rsid w:val="00C63C57"/>
    <w:rsid w:val="00C65370"/>
    <w:rsid w:val="00C65742"/>
    <w:rsid w:val="00C66DA4"/>
    <w:rsid w:val="00C704F8"/>
    <w:rsid w:val="00C72569"/>
    <w:rsid w:val="00C72652"/>
    <w:rsid w:val="00C7267D"/>
    <w:rsid w:val="00C7387E"/>
    <w:rsid w:val="00C74BD9"/>
    <w:rsid w:val="00C77852"/>
    <w:rsid w:val="00C81826"/>
    <w:rsid w:val="00C83730"/>
    <w:rsid w:val="00C83AFA"/>
    <w:rsid w:val="00C83ECB"/>
    <w:rsid w:val="00C84113"/>
    <w:rsid w:val="00C84CA8"/>
    <w:rsid w:val="00C85B1D"/>
    <w:rsid w:val="00C87E1A"/>
    <w:rsid w:val="00C91A3F"/>
    <w:rsid w:val="00C92CB2"/>
    <w:rsid w:val="00C93C49"/>
    <w:rsid w:val="00C94D5B"/>
    <w:rsid w:val="00C95590"/>
    <w:rsid w:val="00C96329"/>
    <w:rsid w:val="00C963BB"/>
    <w:rsid w:val="00C97CFA"/>
    <w:rsid w:val="00CA1961"/>
    <w:rsid w:val="00CA2016"/>
    <w:rsid w:val="00CA213A"/>
    <w:rsid w:val="00CA259D"/>
    <w:rsid w:val="00CA499E"/>
    <w:rsid w:val="00CA5269"/>
    <w:rsid w:val="00CA6DD9"/>
    <w:rsid w:val="00CB01E1"/>
    <w:rsid w:val="00CB17C6"/>
    <w:rsid w:val="00CB1BA8"/>
    <w:rsid w:val="00CB40A9"/>
    <w:rsid w:val="00CB4F80"/>
    <w:rsid w:val="00CB5531"/>
    <w:rsid w:val="00CB7F99"/>
    <w:rsid w:val="00CC019A"/>
    <w:rsid w:val="00CC1691"/>
    <w:rsid w:val="00CC1FF0"/>
    <w:rsid w:val="00CC2A6A"/>
    <w:rsid w:val="00CC3788"/>
    <w:rsid w:val="00CC3944"/>
    <w:rsid w:val="00CC4D5D"/>
    <w:rsid w:val="00CD17E7"/>
    <w:rsid w:val="00CD1EAD"/>
    <w:rsid w:val="00CD365E"/>
    <w:rsid w:val="00CD3A1B"/>
    <w:rsid w:val="00CD4023"/>
    <w:rsid w:val="00CD5E47"/>
    <w:rsid w:val="00CD64DC"/>
    <w:rsid w:val="00CD72FC"/>
    <w:rsid w:val="00CE10AB"/>
    <w:rsid w:val="00CE1BFC"/>
    <w:rsid w:val="00CE2191"/>
    <w:rsid w:val="00CE41A0"/>
    <w:rsid w:val="00CE7E98"/>
    <w:rsid w:val="00CF04E4"/>
    <w:rsid w:val="00CF05AA"/>
    <w:rsid w:val="00CF0F67"/>
    <w:rsid w:val="00CF38E3"/>
    <w:rsid w:val="00CF4670"/>
    <w:rsid w:val="00CF556F"/>
    <w:rsid w:val="00D03E96"/>
    <w:rsid w:val="00D06C64"/>
    <w:rsid w:val="00D06DD2"/>
    <w:rsid w:val="00D12F39"/>
    <w:rsid w:val="00D1473C"/>
    <w:rsid w:val="00D14985"/>
    <w:rsid w:val="00D149F3"/>
    <w:rsid w:val="00D157A2"/>
    <w:rsid w:val="00D1621D"/>
    <w:rsid w:val="00D167FB"/>
    <w:rsid w:val="00D1690F"/>
    <w:rsid w:val="00D1700C"/>
    <w:rsid w:val="00D170E1"/>
    <w:rsid w:val="00D21FFD"/>
    <w:rsid w:val="00D22D6E"/>
    <w:rsid w:val="00D2471F"/>
    <w:rsid w:val="00D25DA2"/>
    <w:rsid w:val="00D3540D"/>
    <w:rsid w:val="00D375EC"/>
    <w:rsid w:val="00D41004"/>
    <w:rsid w:val="00D426CF"/>
    <w:rsid w:val="00D43737"/>
    <w:rsid w:val="00D444FB"/>
    <w:rsid w:val="00D53497"/>
    <w:rsid w:val="00D55553"/>
    <w:rsid w:val="00D56348"/>
    <w:rsid w:val="00D56859"/>
    <w:rsid w:val="00D57160"/>
    <w:rsid w:val="00D579DB"/>
    <w:rsid w:val="00D6005E"/>
    <w:rsid w:val="00D607A9"/>
    <w:rsid w:val="00D60DFB"/>
    <w:rsid w:val="00D61BE1"/>
    <w:rsid w:val="00D638ED"/>
    <w:rsid w:val="00D64F5E"/>
    <w:rsid w:val="00D668D4"/>
    <w:rsid w:val="00D66C48"/>
    <w:rsid w:val="00D67C99"/>
    <w:rsid w:val="00D731C0"/>
    <w:rsid w:val="00D732F9"/>
    <w:rsid w:val="00D738E4"/>
    <w:rsid w:val="00D7547C"/>
    <w:rsid w:val="00D76DB0"/>
    <w:rsid w:val="00D80912"/>
    <w:rsid w:val="00D8103A"/>
    <w:rsid w:val="00D82004"/>
    <w:rsid w:val="00D822E3"/>
    <w:rsid w:val="00D82BB0"/>
    <w:rsid w:val="00D82CC3"/>
    <w:rsid w:val="00D82E97"/>
    <w:rsid w:val="00D83B49"/>
    <w:rsid w:val="00D84879"/>
    <w:rsid w:val="00D85475"/>
    <w:rsid w:val="00D85FA5"/>
    <w:rsid w:val="00D8615A"/>
    <w:rsid w:val="00D86A1A"/>
    <w:rsid w:val="00D86B38"/>
    <w:rsid w:val="00D86EB0"/>
    <w:rsid w:val="00D906BB"/>
    <w:rsid w:val="00D90A7C"/>
    <w:rsid w:val="00D91214"/>
    <w:rsid w:val="00D93448"/>
    <w:rsid w:val="00D93943"/>
    <w:rsid w:val="00D94F1B"/>
    <w:rsid w:val="00DA3F55"/>
    <w:rsid w:val="00DA4178"/>
    <w:rsid w:val="00DA4AEE"/>
    <w:rsid w:val="00DA5263"/>
    <w:rsid w:val="00DA54D8"/>
    <w:rsid w:val="00DA6020"/>
    <w:rsid w:val="00DA6398"/>
    <w:rsid w:val="00DB050A"/>
    <w:rsid w:val="00DB2E38"/>
    <w:rsid w:val="00DB3856"/>
    <w:rsid w:val="00DB428A"/>
    <w:rsid w:val="00DB6056"/>
    <w:rsid w:val="00DB7550"/>
    <w:rsid w:val="00DB7ACE"/>
    <w:rsid w:val="00DB7C17"/>
    <w:rsid w:val="00DC03B3"/>
    <w:rsid w:val="00DC0740"/>
    <w:rsid w:val="00DC115B"/>
    <w:rsid w:val="00DC1C83"/>
    <w:rsid w:val="00DC2097"/>
    <w:rsid w:val="00DC3843"/>
    <w:rsid w:val="00DC422F"/>
    <w:rsid w:val="00DC64F6"/>
    <w:rsid w:val="00DC689F"/>
    <w:rsid w:val="00DC70A2"/>
    <w:rsid w:val="00DC7868"/>
    <w:rsid w:val="00DD2C3D"/>
    <w:rsid w:val="00DD3743"/>
    <w:rsid w:val="00DD5E8A"/>
    <w:rsid w:val="00DD6785"/>
    <w:rsid w:val="00DD67D8"/>
    <w:rsid w:val="00DE0860"/>
    <w:rsid w:val="00DE23C4"/>
    <w:rsid w:val="00DE3B98"/>
    <w:rsid w:val="00DE46BB"/>
    <w:rsid w:val="00DE68F3"/>
    <w:rsid w:val="00DE6BF2"/>
    <w:rsid w:val="00DE7974"/>
    <w:rsid w:val="00DF03F7"/>
    <w:rsid w:val="00DF0D3B"/>
    <w:rsid w:val="00DF10C6"/>
    <w:rsid w:val="00DF13BB"/>
    <w:rsid w:val="00DF2C7D"/>
    <w:rsid w:val="00DF2DA4"/>
    <w:rsid w:val="00DF6615"/>
    <w:rsid w:val="00E00778"/>
    <w:rsid w:val="00E0167F"/>
    <w:rsid w:val="00E0673D"/>
    <w:rsid w:val="00E07D05"/>
    <w:rsid w:val="00E101ED"/>
    <w:rsid w:val="00E11EDF"/>
    <w:rsid w:val="00E12A3F"/>
    <w:rsid w:val="00E139E9"/>
    <w:rsid w:val="00E14757"/>
    <w:rsid w:val="00E16F11"/>
    <w:rsid w:val="00E2046D"/>
    <w:rsid w:val="00E219F6"/>
    <w:rsid w:val="00E2215F"/>
    <w:rsid w:val="00E2278E"/>
    <w:rsid w:val="00E24C33"/>
    <w:rsid w:val="00E31DC9"/>
    <w:rsid w:val="00E33DD2"/>
    <w:rsid w:val="00E34F6D"/>
    <w:rsid w:val="00E36076"/>
    <w:rsid w:val="00E364D4"/>
    <w:rsid w:val="00E402BB"/>
    <w:rsid w:val="00E429F8"/>
    <w:rsid w:val="00E439F0"/>
    <w:rsid w:val="00E44787"/>
    <w:rsid w:val="00E51520"/>
    <w:rsid w:val="00E52CE9"/>
    <w:rsid w:val="00E52F68"/>
    <w:rsid w:val="00E55E00"/>
    <w:rsid w:val="00E5602B"/>
    <w:rsid w:val="00E5638C"/>
    <w:rsid w:val="00E57352"/>
    <w:rsid w:val="00E60088"/>
    <w:rsid w:val="00E608A1"/>
    <w:rsid w:val="00E610D4"/>
    <w:rsid w:val="00E620E3"/>
    <w:rsid w:val="00E62646"/>
    <w:rsid w:val="00E6334F"/>
    <w:rsid w:val="00E64B01"/>
    <w:rsid w:val="00E65DDD"/>
    <w:rsid w:val="00E66DDB"/>
    <w:rsid w:val="00E6709A"/>
    <w:rsid w:val="00E67E17"/>
    <w:rsid w:val="00E729D8"/>
    <w:rsid w:val="00E730BD"/>
    <w:rsid w:val="00E7348E"/>
    <w:rsid w:val="00E7452D"/>
    <w:rsid w:val="00E80671"/>
    <w:rsid w:val="00E81D42"/>
    <w:rsid w:val="00E82C50"/>
    <w:rsid w:val="00E840FA"/>
    <w:rsid w:val="00E84254"/>
    <w:rsid w:val="00E8489F"/>
    <w:rsid w:val="00E867DB"/>
    <w:rsid w:val="00E86A19"/>
    <w:rsid w:val="00E87F1C"/>
    <w:rsid w:val="00E90209"/>
    <w:rsid w:val="00E90A30"/>
    <w:rsid w:val="00E910DB"/>
    <w:rsid w:val="00E9144A"/>
    <w:rsid w:val="00E91DF0"/>
    <w:rsid w:val="00E9455C"/>
    <w:rsid w:val="00E95E08"/>
    <w:rsid w:val="00E96124"/>
    <w:rsid w:val="00EA106D"/>
    <w:rsid w:val="00EA1862"/>
    <w:rsid w:val="00EA1F6F"/>
    <w:rsid w:val="00EA3086"/>
    <w:rsid w:val="00EA34EB"/>
    <w:rsid w:val="00EA3677"/>
    <w:rsid w:val="00EA3F10"/>
    <w:rsid w:val="00EA4188"/>
    <w:rsid w:val="00EA41C3"/>
    <w:rsid w:val="00EA57EF"/>
    <w:rsid w:val="00EA593E"/>
    <w:rsid w:val="00EA6BB5"/>
    <w:rsid w:val="00EA6C2D"/>
    <w:rsid w:val="00EA6DB0"/>
    <w:rsid w:val="00EB2163"/>
    <w:rsid w:val="00EB30FD"/>
    <w:rsid w:val="00EB3DBE"/>
    <w:rsid w:val="00EB3E8C"/>
    <w:rsid w:val="00EB4B86"/>
    <w:rsid w:val="00EB5977"/>
    <w:rsid w:val="00EC05E4"/>
    <w:rsid w:val="00EC1B03"/>
    <w:rsid w:val="00EC3914"/>
    <w:rsid w:val="00EC649E"/>
    <w:rsid w:val="00EC6FE5"/>
    <w:rsid w:val="00ED52F6"/>
    <w:rsid w:val="00ED5D25"/>
    <w:rsid w:val="00ED6628"/>
    <w:rsid w:val="00ED7570"/>
    <w:rsid w:val="00EE3149"/>
    <w:rsid w:val="00EE50A7"/>
    <w:rsid w:val="00EE63A4"/>
    <w:rsid w:val="00EF0D7D"/>
    <w:rsid w:val="00EF0F5A"/>
    <w:rsid w:val="00EF10C1"/>
    <w:rsid w:val="00EF3178"/>
    <w:rsid w:val="00EF5850"/>
    <w:rsid w:val="00F00498"/>
    <w:rsid w:val="00F00BA4"/>
    <w:rsid w:val="00F01FF5"/>
    <w:rsid w:val="00F030C2"/>
    <w:rsid w:val="00F06343"/>
    <w:rsid w:val="00F06A2D"/>
    <w:rsid w:val="00F0733E"/>
    <w:rsid w:val="00F11931"/>
    <w:rsid w:val="00F13441"/>
    <w:rsid w:val="00F143A8"/>
    <w:rsid w:val="00F14F39"/>
    <w:rsid w:val="00F1531B"/>
    <w:rsid w:val="00F16D8F"/>
    <w:rsid w:val="00F17004"/>
    <w:rsid w:val="00F219DB"/>
    <w:rsid w:val="00F21F26"/>
    <w:rsid w:val="00F2450D"/>
    <w:rsid w:val="00F24FF6"/>
    <w:rsid w:val="00F266EC"/>
    <w:rsid w:val="00F26B48"/>
    <w:rsid w:val="00F31007"/>
    <w:rsid w:val="00F315C7"/>
    <w:rsid w:val="00F324DB"/>
    <w:rsid w:val="00F3282E"/>
    <w:rsid w:val="00F329CE"/>
    <w:rsid w:val="00F32A3E"/>
    <w:rsid w:val="00F3407E"/>
    <w:rsid w:val="00F35C4C"/>
    <w:rsid w:val="00F366C4"/>
    <w:rsid w:val="00F4068C"/>
    <w:rsid w:val="00F40B44"/>
    <w:rsid w:val="00F416EE"/>
    <w:rsid w:val="00F44707"/>
    <w:rsid w:val="00F45748"/>
    <w:rsid w:val="00F46315"/>
    <w:rsid w:val="00F46BB4"/>
    <w:rsid w:val="00F46C94"/>
    <w:rsid w:val="00F50B64"/>
    <w:rsid w:val="00F51788"/>
    <w:rsid w:val="00F52A99"/>
    <w:rsid w:val="00F53AEE"/>
    <w:rsid w:val="00F53CAF"/>
    <w:rsid w:val="00F56143"/>
    <w:rsid w:val="00F61E11"/>
    <w:rsid w:val="00F62849"/>
    <w:rsid w:val="00F63595"/>
    <w:rsid w:val="00F63787"/>
    <w:rsid w:val="00F6439B"/>
    <w:rsid w:val="00F6557B"/>
    <w:rsid w:val="00F6590B"/>
    <w:rsid w:val="00F71B6D"/>
    <w:rsid w:val="00F71DE5"/>
    <w:rsid w:val="00F72B66"/>
    <w:rsid w:val="00F739DE"/>
    <w:rsid w:val="00F74865"/>
    <w:rsid w:val="00F765DE"/>
    <w:rsid w:val="00F7675B"/>
    <w:rsid w:val="00F80BE3"/>
    <w:rsid w:val="00F810ED"/>
    <w:rsid w:val="00F82E30"/>
    <w:rsid w:val="00F836E4"/>
    <w:rsid w:val="00F8449E"/>
    <w:rsid w:val="00F8587B"/>
    <w:rsid w:val="00F85D4C"/>
    <w:rsid w:val="00F86B43"/>
    <w:rsid w:val="00F8728B"/>
    <w:rsid w:val="00F91AE1"/>
    <w:rsid w:val="00F93656"/>
    <w:rsid w:val="00F93A28"/>
    <w:rsid w:val="00F93A5D"/>
    <w:rsid w:val="00F95275"/>
    <w:rsid w:val="00F967B8"/>
    <w:rsid w:val="00F96A38"/>
    <w:rsid w:val="00F971A1"/>
    <w:rsid w:val="00FA196A"/>
    <w:rsid w:val="00FA2B3E"/>
    <w:rsid w:val="00FA48F2"/>
    <w:rsid w:val="00FA781B"/>
    <w:rsid w:val="00FA7FD0"/>
    <w:rsid w:val="00FB026B"/>
    <w:rsid w:val="00FB0F80"/>
    <w:rsid w:val="00FB3532"/>
    <w:rsid w:val="00FB38D8"/>
    <w:rsid w:val="00FB4967"/>
    <w:rsid w:val="00FC09AB"/>
    <w:rsid w:val="00FC1D39"/>
    <w:rsid w:val="00FD0FAF"/>
    <w:rsid w:val="00FD1E5B"/>
    <w:rsid w:val="00FD269E"/>
    <w:rsid w:val="00FD28D1"/>
    <w:rsid w:val="00FD39B3"/>
    <w:rsid w:val="00FD5945"/>
    <w:rsid w:val="00FD60B7"/>
    <w:rsid w:val="00FE062A"/>
    <w:rsid w:val="00FE0D74"/>
    <w:rsid w:val="00FE1FEA"/>
    <w:rsid w:val="00FE3B5D"/>
    <w:rsid w:val="00FE3B89"/>
    <w:rsid w:val="00FE6A8F"/>
    <w:rsid w:val="00FE7F44"/>
    <w:rsid w:val="00FF0A7D"/>
    <w:rsid w:val="00FF1F6E"/>
    <w:rsid w:val="00FF235B"/>
    <w:rsid w:val="00FF27A4"/>
    <w:rsid w:val="00FF377B"/>
    <w:rsid w:val="00FF55C8"/>
    <w:rsid w:val="014D24E0"/>
    <w:rsid w:val="01CF32DE"/>
    <w:rsid w:val="01FB0577"/>
    <w:rsid w:val="02520836"/>
    <w:rsid w:val="02982D61"/>
    <w:rsid w:val="03613E1C"/>
    <w:rsid w:val="042E07AD"/>
    <w:rsid w:val="04610395"/>
    <w:rsid w:val="058A5105"/>
    <w:rsid w:val="058C1AF7"/>
    <w:rsid w:val="05BB4897"/>
    <w:rsid w:val="05EF03F3"/>
    <w:rsid w:val="06A436FB"/>
    <w:rsid w:val="08292EF0"/>
    <w:rsid w:val="08702488"/>
    <w:rsid w:val="08D521F0"/>
    <w:rsid w:val="0A4C6703"/>
    <w:rsid w:val="0AA3355A"/>
    <w:rsid w:val="0B2662C4"/>
    <w:rsid w:val="0B2B18D0"/>
    <w:rsid w:val="0C010665"/>
    <w:rsid w:val="0C4B67FC"/>
    <w:rsid w:val="0C7B5742"/>
    <w:rsid w:val="0D3055AA"/>
    <w:rsid w:val="0DD9007E"/>
    <w:rsid w:val="0FB65CF9"/>
    <w:rsid w:val="10127935"/>
    <w:rsid w:val="10CD0B16"/>
    <w:rsid w:val="115C0222"/>
    <w:rsid w:val="133121DF"/>
    <w:rsid w:val="15613E91"/>
    <w:rsid w:val="15AB6577"/>
    <w:rsid w:val="15EE4223"/>
    <w:rsid w:val="16E129C7"/>
    <w:rsid w:val="16FC53DE"/>
    <w:rsid w:val="1795066F"/>
    <w:rsid w:val="189B78DE"/>
    <w:rsid w:val="18C272A1"/>
    <w:rsid w:val="18DD7817"/>
    <w:rsid w:val="1A7E2606"/>
    <w:rsid w:val="1AF3341F"/>
    <w:rsid w:val="1B19090B"/>
    <w:rsid w:val="1C821221"/>
    <w:rsid w:val="1DB4038D"/>
    <w:rsid w:val="1F9017C1"/>
    <w:rsid w:val="20486FB7"/>
    <w:rsid w:val="22E06CA1"/>
    <w:rsid w:val="23072D77"/>
    <w:rsid w:val="23D7294D"/>
    <w:rsid w:val="272F2932"/>
    <w:rsid w:val="27BC1BC5"/>
    <w:rsid w:val="28994707"/>
    <w:rsid w:val="29980385"/>
    <w:rsid w:val="2A396119"/>
    <w:rsid w:val="2A6D3B32"/>
    <w:rsid w:val="2B3109E2"/>
    <w:rsid w:val="2C0A4EFF"/>
    <w:rsid w:val="2CB32B2E"/>
    <w:rsid w:val="2D9D1C2B"/>
    <w:rsid w:val="2F0922B4"/>
    <w:rsid w:val="2F370591"/>
    <w:rsid w:val="2F9B467C"/>
    <w:rsid w:val="2FB83131"/>
    <w:rsid w:val="2FBC7F5F"/>
    <w:rsid w:val="2FD40E75"/>
    <w:rsid w:val="306653E6"/>
    <w:rsid w:val="31597D59"/>
    <w:rsid w:val="31605B7D"/>
    <w:rsid w:val="31817613"/>
    <w:rsid w:val="331A5596"/>
    <w:rsid w:val="33914519"/>
    <w:rsid w:val="339935C8"/>
    <w:rsid w:val="35E3583F"/>
    <w:rsid w:val="36B41C7C"/>
    <w:rsid w:val="37D840A9"/>
    <w:rsid w:val="37F24BC6"/>
    <w:rsid w:val="3806660C"/>
    <w:rsid w:val="39693140"/>
    <w:rsid w:val="396E311B"/>
    <w:rsid w:val="397268D4"/>
    <w:rsid w:val="3DD86EA7"/>
    <w:rsid w:val="3EED2426"/>
    <w:rsid w:val="40A05104"/>
    <w:rsid w:val="40B04C94"/>
    <w:rsid w:val="417D5F77"/>
    <w:rsid w:val="420A6671"/>
    <w:rsid w:val="423544BC"/>
    <w:rsid w:val="42FF5D83"/>
    <w:rsid w:val="44FA379B"/>
    <w:rsid w:val="450F5D66"/>
    <w:rsid w:val="46C91F85"/>
    <w:rsid w:val="46CC1CEE"/>
    <w:rsid w:val="46F53B97"/>
    <w:rsid w:val="47AF7EBF"/>
    <w:rsid w:val="47F279E3"/>
    <w:rsid w:val="47F95BF5"/>
    <w:rsid w:val="48B044F6"/>
    <w:rsid w:val="48DD1FC7"/>
    <w:rsid w:val="49E739C6"/>
    <w:rsid w:val="4A316AB2"/>
    <w:rsid w:val="4A6F3E14"/>
    <w:rsid w:val="4D7102B1"/>
    <w:rsid w:val="4D7D19FF"/>
    <w:rsid w:val="4F147BB7"/>
    <w:rsid w:val="507C1E50"/>
    <w:rsid w:val="51181EB3"/>
    <w:rsid w:val="511A4DB4"/>
    <w:rsid w:val="51AD73BF"/>
    <w:rsid w:val="51C128DC"/>
    <w:rsid w:val="528D3EA0"/>
    <w:rsid w:val="53684FB5"/>
    <w:rsid w:val="547A3510"/>
    <w:rsid w:val="54E52040"/>
    <w:rsid w:val="54FF12D2"/>
    <w:rsid w:val="55175CA3"/>
    <w:rsid w:val="556502F8"/>
    <w:rsid w:val="563F46E8"/>
    <w:rsid w:val="58353226"/>
    <w:rsid w:val="588E44CE"/>
    <w:rsid w:val="59A52FB9"/>
    <w:rsid w:val="5C87366D"/>
    <w:rsid w:val="5DD22B07"/>
    <w:rsid w:val="5DFE22BA"/>
    <w:rsid w:val="5E6D3EF4"/>
    <w:rsid w:val="5FB25D7E"/>
    <w:rsid w:val="60142654"/>
    <w:rsid w:val="61E15FB7"/>
    <w:rsid w:val="632414F2"/>
    <w:rsid w:val="636101AA"/>
    <w:rsid w:val="64293ABF"/>
    <w:rsid w:val="646F5050"/>
    <w:rsid w:val="64874569"/>
    <w:rsid w:val="651C409F"/>
    <w:rsid w:val="65D04032"/>
    <w:rsid w:val="66CD04B7"/>
    <w:rsid w:val="67206C39"/>
    <w:rsid w:val="676634E7"/>
    <w:rsid w:val="69796AD5"/>
    <w:rsid w:val="69D2308E"/>
    <w:rsid w:val="6A8D22AF"/>
    <w:rsid w:val="6C633400"/>
    <w:rsid w:val="6D2D3E5E"/>
    <w:rsid w:val="6E6A2B17"/>
    <w:rsid w:val="6F000C4B"/>
    <w:rsid w:val="6F0E33B0"/>
    <w:rsid w:val="6FEC771A"/>
    <w:rsid w:val="70EF6D4C"/>
    <w:rsid w:val="71566079"/>
    <w:rsid w:val="71705F87"/>
    <w:rsid w:val="7211280E"/>
    <w:rsid w:val="725F14AC"/>
    <w:rsid w:val="740A0B66"/>
    <w:rsid w:val="766320B0"/>
    <w:rsid w:val="76DD0CC0"/>
    <w:rsid w:val="76E901AD"/>
    <w:rsid w:val="77D8692B"/>
    <w:rsid w:val="78C07423"/>
    <w:rsid w:val="794F10EF"/>
    <w:rsid w:val="7CAB4D9F"/>
    <w:rsid w:val="7CB62EA9"/>
    <w:rsid w:val="7DB44302"/>
    <w:rsid w:val="7E461622"/>
    <w:rsid w:val="7EA73D82"/>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9"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iPriority="9"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0" w:semiHidden="0" w:name="toc 2"/>
    <w:lsdException w:qFormat="1" w:uiPriority="0" w:semiHidden="0" w:name="toc 3"/>
    <w:lsdException w:qFormat="1" w:uiPriority="0" w:semiHidden="0" w:name="toc 4"/>
    <w:lsdException w:qFormat="1" w:uiPriority="0" w:semiHidden="0" w:name="toc 5"/>
    <w:lsdException w:qFormat="1" w:uiPriority="0" w:semiHidden="0" w:name="toc 6"/>
    <w:lsdException w:qFormat="1" w:uiPriority="0" w:semiHidden="0" w:name="toc 7"/>
    <w:lsdException w:qFormat="1" w:uiPriority="0" w:semiHidden="0" w:name="toc 8"/>
    <w:lsdException w:qFormat="1" w:uiPriority="0" w:semiHidden="0" w:name="toc 9"/>
    <w:lsdException w:qFormat="1" w:unhideWhenUsed="0" w:uiPriority="0" w:semiHidden="0" w:name="Normal Indent"/>
    <w:lsdException w:uiPriority="99" w:name="footnote text"/>
    <w:lsdException w:qFormat="1" w:unhideWhenUsed="0" w:uiPriority="0" w:semiHidden="0" w:name="annotation text"/>
    <w:lsdException w:qFormat="1" w:uiPriority="0"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qFormat="1" w:unhideWhenUsed="0" w:uiPriority="0" w:semiHidden="0" w:name="toa heading"/>
    <w:lsdException w:uiPriority="99" w:name="List"/>
    <w:lsdException w:uiPriority="99" w:name="List Bullet"/>
    <w:lsdException w:uiPriority="99" w:name="List Number"/>
    <w:lsdException w:qFormat="1" w:unhideWhenUsed="0" w:uiPriority="0" w:semiHidden="0" w:name="List 2"/>
    <w:lsdException w:qFormat="1"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qFormat="1" w:unhideWhenUsed="0" w:uiPriority="0" w:semiHidden="0"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qFormat="1" w:unhideWhenUsed="0" w:uiPriority="0" w:semiHidden="0" w:name="Body Text First Indent"/>
    <w:lsdException w:uiPriority="99" w:name="Body Text First Indent 2"/>
    <w:lsdException w:uiPriority="99"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99" w:semiHidden="0" w:name="Block Text"/>
    <w:lsdException w:qFormat="1" w:unhideWhenUsed="0" w:uiPriority="99" w:semiHidden="0" w:name="Hyperlink"/>
    <w:lsdException w:qFormat="1" w:unhideWhenUsed="0" w:uiPriority="99"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0" w:semiHidden="0"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70"/>
    <w:qFormat/>
    <w:uiPriority w:val="0"/>
    <w:pPr>
      <w:keepNext/>
      <w:keepLines/>
      <w:spacing w:before="340" w:after="330" w:line="576" w:lineRule="auto"/>
      <w:outlineLvl w:val="0"/>
    </w:pPr>
    <w:rPr>
      <w:rFonts w:ascii="宋体" w:hAnsi="Courier New"/>
      <w:b/>
      <w:bCs/>
      <w:kern w:val="44"/>
      <w:sz w:val="44"/>
      <w:szCs w:val="44"/>
    </w:rPr>
  </w:style>
  <w:style w:type="paragraph" w:styleId="3">
    <w:name w:val="heading 2"/>
    <w:basedOn w:val="1"/>
    <w:next w:val="1"/>
    <w:link w:val="69"/>
    <w:qFormat/>
    <w:uiPriority w:val="0"/>
    <w:pPr>
      <w:keepNext/>
      <w:keepLines/>
      <w:spacing w:before="260" w:after="260" w:line="415" w:lineRule="auto"/>
      <w:outlineLvl w:val="1"/>
    </w:pPr>
    <w:rPr>
      <w:rFonts w:ascii="Arial" w:hAnsi="Arial" w:eastAsia="黑体"/>
      <w:b/>
      <w:bCs/>
      <w:sz w:val="32"/>
      <w:szCs w:val="32"/>
    </w:rPr>
  </w:style>
  <w:style w:type="paragraph" w:styleId="4">
    <w:name w:val="heading 3"/>
    <w:basedOn w:val="1"/>
    <w:next w:val="1"/>
    <w:link w:val="183"/>
    <w:qFormat/>
    <w:uiPriority w:val="0"/>
    <w:pPr>
      <w:keepNext/>
      <w:keepLines/>
      <w:spacing w:before="260" w:after="260" w:line="415" w:lineRule="auto"/>
      <w:outlineLvl w:val="2"/>
    </w:pPr>
    <w:rPr>
      <w:b/>
      <w:sz w:val="32"/>
      <w:szCs w:val="20"/>
    </w:rPr>
  </w:style>
  <w:style w:type="paragraph" w:styleId="5">
    <w:name w:val="heading 4"/>
    <w:basedOn w:val="1"/>
    <w:next w:val="1"/>
    <w:link w:val="211"/>
    <w:qFormat/>
    <w:uiPriority w:val="9"/>
    <w:pPr>
      <w:keepNext/>
      <w:keepLines/>
      <w:spacing w:before="280" w:after="290" w:line="374" w:lineRule="auto"/>
      <w:outlineLvl w:val="3"/>
    </w:pPr>
    <w:rPr>
      <w:rFonts w:ascii="Arial" w:hAnsi="Arial" w:eastAsia="黑体"/>
      <w:b/>
      <w:sz w:val="28"/>
      <w:szCs w:val="20"/>
    </w:rPr>
  </w:style>
  <w:style w:type="paragraph" w:styleId="6">
    <w:name w:val="heading 5"/>
    <w:basedOn w:val="1"/>
    <w:next w:val="1"/>
    <w:link w:val="221"/>
    <w:qFormat/>
    <w:uiPriority w:val="0"/>
    <w:pPr>
      <w:tabs>
        <w:tab w:val="left" w:pos="992"/>
        <w:tab w:val="left" w:pos="1134"/>
      </w:tabs>
      <w:spacing w:before="280" w:after="290" w:line="360" w:lineRule="auto"/>
      <w:ind w:left="992" w:hanging="992"/>
      <w:outlineLvl w:val="4"/>
    </w:pPr>
    <w:rPr>
      <w:b/>
      <w:bCs/>
      <w:kern w:val="0"/>
      <w:sz w:val="28"/>
      <w:szCs w:val="28"/>
    </w:rPr>
  </w:style>
  <w:style w:type="paragraph" w:styleId="7">
    <w:name w:val="heading 6"/>
    <w:basedOn w:val="1"/>
    <w:next w:val="1"/>
    <w:link w:val="219"/>
    <w:qFormat/>
    <w:uiPriority w:val="0"/>
    <w:pPr>
      <w:keepNext/>
      <w:keepLines/>
      <w:tabs>
        <w:tab w:val="left" w:pos="1134"/>
      </w:tabs>
      <w:spacing w:before="240" w:after="64" w:line="316" w:lineRule="auto"/>
      <w:ind w:left="1134" w:hanging="1134"/>
      <w:outlineLvl w:val="5"/>
    </w:pPr>
    <w:rPr>
      <w:rFonts w:ascii="Arial" w:hAnsi="Arial"/>
      <w:b/>
      <w:bCs/>
      <w:kern w:val="0"/>
      <w:sz w:val="28"/>
      <w:szCs w:val="18"/>
    </w:rPr>
  </w:style>
  <w:style w:type="paragraph" w:styleId="8">
    <w:name w:val="heading 7"/>
    <w:basedOn w:val="1"/>
    <w:next w:val="1"/>
    <w:link w:val="224"/>
    <w:qFormat/>
    <w:uiPriority w:val="0"/>
    <w:pPr>
      <w:keepNext/>
      <w:keepLines/>
      <w:spacing w:before="240" w:after="64" w:line="320" w:lineRule="auto"/>
      <w:outlineLvl w:val="6"/>
    </w:pPr>
    <w:rPr>
      <w:b/>
      <w:bCs/>
      <w:kern w:val="0"/>
      <w:sz w:val="24"/>
    </w:rPr>
  </w:style>
  <w:style w:type="paragraph" w:styleId="9">
    <w:name w:val="heading 8"/>
    <w:basedOn w:val="1"/>
    <w:next w:val="1"/>
    <w:link w:val="193"/>
    <w:qFormat/>
    <w:uiPriority w:val="0"/>
    <w:pPr>
      <w:keepNext/>
      <w:keepLines/>
      <w:spacing w:before="240" w:after="64" w:line="320" w:lineRule="auto"/>
      <w:outlineLvl w:val="7"/>
    </w:pPr>
    <w:rPr>
      <w:rFonts w:ascii="Cambria" w:hAnsi="Cambria"/>
      <w:kern w:val="0"/>
      <w:sz w:val="24"/>
    </w:rPr>
  </w:style>
  <w:style w:type="character" w:default="1" w:styleId="49">
    <w:name w:val="Default Paragraph Font"/>
    <w:semiHidden/>
    <w:unhideWhenUsed/>
    <w:qFormat/>
    <w:uiPriority w:val="1"/>
  </w:style>
  <w:style w:type="table" w:default="1" w:styleId="47">
    <w:name w:val="Normal Table"/>
    <w:semiHidden/>
    <w:unhideWhenUsed/>
    <w:qFormat/>
    <w:uiPriority w:val="99"/>
    <w:tblPr>
      <w:tblCellMar>
        <w:top w:w="0" w:type="dxa"/>
        <w:left w:w="108" w:type="dxa"/>
        <w:bottom w:w="0" w:type="dxa"/>
        <w:right w:w="108" w:type="dxa"/>
      </w:tblCellMar>
    </w:tblPr>
  </w:style>
  <w:style w:type="paragraph" w:styleId="10">
    <w:name w:val="List 3"/>
    <w:basedOn w:val="1"/>
    <w:semiHidden/>
    <w:unhideWhenUsed/>
    <w:qFormat/>
    <w:uiPriority w:val="99"/>
    <w:pPr>
      <w:ind w:left="100" w:leftChars="400" w:hanging="200" w:hangingChars="200"/>
      <w:contextualSpacing/>
    </w:pPr>
  </w:style>
  <w:style w:type="paragraph" w:styleId="11">
    <w:name w:val="toc 7"/>
    <w:basedOn w:val="1"/>
    <w:next w:val="1"/>
    <w:unhideWhenUsed/>
    <w:qFormat/>
    <w:uiPriority w:val="0"/>
    <w:pPr>
      <w:ind w:left="2520" w:leftChars="1200"/>
    </w:pPr>
    <w:rPr>
      <w:szCs w:val="20"/>
    </w:rPr>
  </w:style>
  <w:style w:type="paragraph" w:styleId="12">
    <w:name w:val="List Number 2"/>
    <w:basedOn w:val="1"/>
    <w:qFormat/>
    <w:uiPriority w:val="0"/>
    <w:pPr>
      <w:tabs>
        <w:tab w:val="left" w:pos="780"/>
      </w:tabs>
      <w:ind w:left="840" w:hanging="360"/>
    </w:pPr>
    <w:rPr>
      <w:szCs w:val="20"/>
    </w:rPr>
  </w:style>
  <w:style w:type="paragraph" w:styleId="13">
    <w:name w:val="Normal Indent"/>
    <w:basedOn w:val="1"/>
    <w:link w:val="171"/>
    <w:qFormat/>
    <w:uiPriority w:val="0"/>
    <w:pPr>
      <w:ind w:firstLine="420"/>
    </w:pPr>
    <w:rPr>
      <w:rFonts w:ascii="等线" w:hAnsi="等线" w:eastAsia="等线"/>
      <w:szCs w:val="22"/>
    </w:rPr>
  </w:style>
  <w:style w:type="paragraph" w:styleId="14">
    <w:name w:val="Document Map"/>
    <w:basedOn w:val="1"/>
    <w:link w:val="128"/>
    <w:qFormat/>
    <w:uiPriority w:val="0"/>
    <w:pPr>
      <w:shd w:val="clear" w:color="auto" w:fill="000080"/>
    </w:pPr>
    <w:rPr>
      <w:rFonts w:ascii="等线" w:hAnsi="等线" w:eastAsia="等线"/>
    </w:rPr>
  </w:style>
  <w:style w:type="paragraph" w:styleId="15">
    <w:name w:val="toa heading"/>
    <w:basedOn w:val="1"/>
    <w:next w:val="1"/>
    <w:qFormat/>
    <w:uiPriority w:val="0"/>
    <w:pPr>
      <w:spacing w:before="120"/>
    </w:pPr>
    <w:rPr>
      <w:rFonts w:ascii="Arial" w:hAnsi="Arial" w:cs="Arial"/>
      <w:sz w:val="24"/>
    </w:rPr>
  </w:style>
  <w:style w:type="paragraph" w:styleId="16">
    <w:name w:val="annotation text"/>
    <w:basedOn w:val="1"/>
    <w:link w:val="74"/>
    <w:qFormat/>
    <w:uiPriority w:val="0"/>
    <w:pPr>
      <w:jc w:val="left"/>
    </w:pPr>
    <w:rPr>
      <w:rFonts w:ascii="Calibri" w:hAnsi="Calibri"/>
    </w:rPr>
  </w:style>
  <w:style w:type="paragraph" w:styleId="17">
    <w:name w:val="Body Text 3"/>
    <w:basedOn w:val="1"/>
    <w:link w:val="310"/>
    <w:qFormat/>
    <w:uiPriority w:val="0"/>
    <w:pPr>
      <w:spacing w:after="120"/>
    </w:pPr>
    <w:rPr>
      <w:sz w:val="16"/>
      <w:szCs w:val="16"/>
    </w:rPr>
  </w:style>
  <w:style w:type="paragraph" w:styleId="18">
    <w:name w:val="Body Text"/>
    <w:basedOn w:val="1"/>
    <w:link w:val="78"/>
    <w:qFormat/>
    <w:uiPriority w:val="0"/>
    <w:pPr>
      <w:spacing w:line="420" w:lineRule="auto"/>
    </w:pPr>
    <w:rPr>
      <w:kern w:val="0"/>
      <w:sz w:val="24"/>
    </w:rPr>
  </w:style>
  <w:style w:type="paragraph" w:styleId="19">
    <w:name w:val="Body Text Indent"/>
    <w:basedOn w:val="1"/>
    <w:link w:val="80"/>
    <w:qFormat/>
    <w:uiPriority w:val="0"/>
    <w:pPr>
      <w:spacing w:line="440" w:lineRule="exact"/>
      <w:ind w:firstLine="630"/>
    </w:pPr>
    <w:rPr>
      <w:rFonts w:ascii="宋体" w:hAnsi="宋体" w:eastAsia="等线"/>
      <w:sz w:val="28"/>
    </w:rPr>
  </w:style>
  <w:style w:type="paragraph" w:styleId="20">
    <w:name w:val="List 2"/>
    <w:basedOn w:val="1"/>
    <w:qFormat/>
    <w:uiPriority w:val="0"/>
    <w:pPr>
      <w:ind w:left="100" w:leftChars="200" w:hanging="200" w:hangingChars="200"/>
      <w:contextualSpacing/>
    </w:pPr>
  </w:style>
  <w:style w:type="paragraph" w:styleId="21">
    <w:name w:val="Block Text"/>
    <w:basedOn w:val="1"/>
    <w:qFormat/>
    <w:uiPriority w:val="99"/>
    <w:pPr>
      <w:widowControl/>
      <w:tabs>
        <w:tab w:val="left" w:pos="284"/>
      </w:tabs>
      <w:ind w:left="788" w:right="-594"/>
    </w:pPr>
    <w:rPr>
      <w:rFonts w:ascii="创艺繁楷体" w:hAnsi="Calibri" w:eastAsia="创艺繁楷体"/>
      <w:szCs w:val="22"/>
    </w:rPr>
  </w:style>
  <w:style w:type="paragraph" w:styleId="22">
    <w:name w:val="toc 5"/>
    <w:basedOn w:val="1"/>
    <w:next w:val="1"/>
    <w:unhideWhenUsed/>
    <w:qFormat/>
    <w:uiPriority w:val="0"/>
    <w:pPr>
      <w:ind w:left="1680" w:leftChars="800"/>
    </w:pPr>
    <w:rPr>
      <w:szCs w:val="20"/>
    </w:rPr>
  </w:style>
  <w:style w:type="paragraph" w:styleId="23">
    <w:name w:val="toc 3"/>
    <w:basedOn w:val="1"/>
    <w:next w:val="1"/>
    <w:unhideWhenUsed/>
    <w:qFormat/>
    <w:uiPriority w:val="0"/>
    <w:pPr>
      <w:ind w:left="840" w:leftChars="400"/>
    </w:pPr>
    <w:rPr>
      <w:szCs w:val="21"/>
    </w:rPr>
  </w:style>
  <w:style w:type="paragraph" w:styleId="24">
    <w:name w:val="Plain Text"/>
    <w:basedOn w:val="1"/>
    <w:link w:val="173"/>
    <w:qFormat/>
    <w:uiPriority w:val="0"/>
    <w:rPr>
      <w:rFonts w:ascii="宋体" w:hAnsi="Courier New"/>
      <w:kern w:val="0"/>
      <w:szCs w:val="21"/>
    </w:rPr>
  </w:style>
  <w:style w:type="paragraph" w:styleId="25">
    <w:name w:val="toc 8"/>
    <w:basedOn w:val="1"/>
    <w:next w:val="1"/>
    <w:unhideWhenUsed/>
    <w:qFormat/>
    <w:uiPriority w:val="0"/>
    <w:pPr>
      <w:ind w:left="2940" w:leftChars="1400"/>
    </w:pPr>
    <w:rPr>
      <w:szCs w:val="20"/>
    </w:rPr>
  </w:style>
  <w:style w:type="paragraph" w:styleId="26">
    <w:name w:val="Date"/>
    <w:basedOn w:val="1"/>
    <w:next w:val="1"/>
    <w:link w:val="83"/>
    <w:qFormat/>
    <w:uiPriority w:val="0"/>
    <w:rPr>
      <w:rFonts w:ascii="宋体" w:hAnsi="Courier New" w:eastAsia="楷体_GB2312"/>
      <w:sz w:val="32"/>
      <w:szCs w:val="20"/>
    </w:rPr>
  </w:style>
  <w:style w:type="paragraph" w:styleId="27">
    <w:name w:val="Body Text Indent 2"/>
    <w:basedOn w:val="1"/>
    <w:link w:val="181"/>
    <w:qFormat/>
    <w:uiPriority w:val="0"/>
    <w:pPr>
      <w:tabs>
        <w:tab w:val="left" w:pos="540"/>
      </w:tabs>
      <w:ind w:firstLine="538" w:firstLineChars="192"/>
    </w:pPr>
    <w:rPr>
      <w:rFonts w:ascii="等线" w:hAnsi="等线" w:eastAsia="等线"/>
      <w:sz w:val="28"/>
    </w:rPr>
  </w:style>
  <w:style w:type="paragraph" w:styleId="28">
    <w:name w:val="Balloon Text"/>
    <w:basedOn w:val="1"/>
    <w:link w:val="88"/>
    <w:qFormat/>
    <w:uiPriority w:val="0"/>
    <w:rPr>
      <w:sz w:val="18"/>
      <w:szCs w:val="18"/>
    </w:rPr>
  </w:style>
  <w:style w:type="paragraph" w:styleId="29">
    <w:name w:val="footer"/>
    <w:basedOn w:val="1"/>
    <w:link w:val="57"/>
    <w:unhideWhenUsed/>
    <w:qFormat/>
    <w:uiPriority w:val="99"/>
    <w:pPr>
      <w:tabs>
        <w:tab w:val="center" w:pos="4153"/>
        <w:tab w:val="right" w:pos="8306"/>
      </w:tabs>
      <w:snapToGrid w:val="0"/>
      <w:jc w:val="left"/>
    </w:pPr>
    <w:rPr>
      <w:sz w:val="18"/>
      <w:szCs w:val="18"/>
    </w:rPr>
  </w:style>
  <w:style w:type="paragraph" w:styleId="30">
    <w:name w:val="header"/>
    <w:basedOn w:val="1"/>
    <w:link w:val="56"/>
    <w:unhideWhenUsed/>
    <w:qFormat/>
    <w:uiPriority w:val="0"/>
    <w:pPr>
      <w:pBdr>
        <w:bottom w:val="single" w:color="auto" w:sz="6" w:space="1"/>
      </w:pBdr>
      <w:tabs>
        <w:tab w:val="center" w:pos="4153"/>
        <w:tab w:val="right" w:pos="8306"/>
      </w:tabs>
      <w:snapToGrid w:val="0"/>
      <w:jc w:val="center"/>
    </w:pPr>
    <w:rPr>
      <w:sz w:val="18"/>
      <w:szCs w:val="18"/>
    </w:rPr>
  </w:style>
  <w:style w:type="paragraph" w:styleId="31">
    <w:name w:val="toc 1"/>
    <w:basedOn w:val="1"/>
    <w:next w:val="1"/>
    <w:link w:val="212"/>
    <w:qFormat/>
    <w:uiPriority w:val="39"/>
    <w:pPr>
      <w:tabs>
        <w:tab w:val="right" w:leader="dot" w:pos="8834"/>
      </w:tabs>
      <w:spacing w:before="120" w:after="120"/>
      <w:jc w:val="left"/>
    </w:pPr>
    <w:rPr>
      <w:b/>
      <w:bCs/>
      <w:caps/>
      <w:sz w:val="28"/>
      <w:szCs w:val="28"/>
    </w:rPr>
  </w:style>
  <w:style w:type="paragraph" w:styleId="32">
    <w:name w:val="toc 4"/>
    <w:basedOn w:val="1"/>
    <w:next w:val="1"/>
    <w:unhideWhenUsed/>
    <w:qFormat/>
    <w:uiPriority w:val="0"/>
    <w:pPr>
      <w:ind w:left="1260" w:leftChars="600"/>
    </w:pPr>
    <w:rPr>
      <w:szCs w:val="20"/>
    </w:rPr>
  </w:style>
  <w:style w:type="paragraph" w:styleId="33">
    <w:name w:val="Subtitle"/>
    <w:basedOn w:val="1"/>
    <w:next w:val="1"/>
    <w:link w:val="89"/>
    <w:qFormat/>
    <w:uiPriority w:val="0"/>
    <w:pPr>
      <w:spacing w:before="240" w:after="60" w:line="312" w:lineRule="auto"/>
      <w:jc w:val="center"/>
      <w:outlineLvl w:val="1"/>
    </w:pPr>
    <w:rPr>
      <w:rFonts w:ascii="Cambria" w:hAnsi="Cambria" w:eastAsia="方正楷体简体"/>
      <w:kern w:val="28"/>
      <w:sz w:val="32"/>
      <w:szCs w:val="32"/>
    </w:rPr>
  </w:style>
  <w:style w:type="paragraph" w:styleId="34">
    <w:name w:val="toc 6"/>
    <w:basedOn w:val="1"/>
    <w:next w:val="1"/>
    <w:unhideWhenUsed/>
    <w:qFormat/>
    <w:uiPriority w:val="0"/>
    <w:pPr>
      <w:ind w:left="2100" w:leftChars="1000"/>
    </w:pPr>
    <w:rPr>
      <w:szCs w:val="20"/>
    </w:rPr>
  </w:style>
  <w:style w:type="paragraph" w:styleId="35">
    <w:name w:val="Body Text Indent 3"/>
    <w:basedOn w:val="1"/>
    <w:link w:val="178"/>
    <w:qFormat/>
    <w:uiPriority w:val="0"/>
    <w:pPr>
      <w:ind w:firstLine="420" w:firstLineChars="150"/>
    </w:pPr>
    <w:rPr>
      <w:rFonts w:ascii="等线" w:hAnsi="等线" w:eastAsia="等线"/>
      <w:sz w:val="28"/>
    </w:rPr>
  </w:style>
  <w:style w:type="paragraph" w:styleId="36">
    <w:name w:val="toc 2"/>
    <w:basedOn w:val="1"/>
    <w:next w:val="1"/>
    <w:qFormat/>
    <w:uiPriority w:val="0"/>
    <w:pPr>
      <w:ind w:left="420" w:leftChars="200"/>
    </w:pPr>
    <w:rPr>
      <w:szCs w:val="21"/>
    </w:rPr>
  </w:style>
  <w:style w:type="paragraph" w:styleId="37">
    <w:name w:val="toc 9"/>
    <w:basedOn w:val="1"/>
    <w:next w:val="1"/>
    <w:unhideWhenUsed/>
    <w:qFormat/>
    <w:uiPriority w:val="0"/>
    <w:pPr>
      <w:ind w:left="3360" w:leftChars="1600"/>
    </w:pPr>
    <w:rPr>
      <w:szCs w:val="20"/>
    </w:rPr>
  </w:style>
  <w:style w:type="paragraph" w:styleId="38">
    <w:name w:val="Body Text 2"/>
    <w:basedOn w:val="1"/>
    <w:link w:val="242"/>
    <w:qFormat/>
    <w:uiPriority w:val="0"/>
    <w:pPr>
      <w:spacing w:line="200" w:lineRule="exact"/>
      <w:jc w:val="center"/>
    </w:pPr>
    <w:rPr>
      <w:rFonts w:ascii="宋体" w:hAnsi="宋体"/>
      <w:color w:val="000000"/>
      <w:sz w:val="18"/>
      <w:szCs w:val="18"/>
    </w:rPr>
  </w:style>
  <w:style w:type="paragraph" w:styleId="39">
    <w:name w:val="HTML Preformatted"/>
    <w:basedOn w:val="1"/>
    <w:link w:val="241"/>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40">
    <w:name w:val="Normal (Web)"/>
    <w:basedOn w:val="1"/>
    <w:qFormat/>
    <w:uiPriority w:val="0"/>
    <w:pPr>
      <w:widowControl/>
      <w:spacing w:before="240" w:after="240"/>
      <w:jc w:val="left"/>
    </w:pPr>
    <w:rPr>
      <w:rFonts w:ascii="宋体" w:hAnsi="宋体" w:cs="宋体"/>
      <w:kern w:val="0"/>
      <w:sz w:val="24"/>
    </w:rPr>
  </w:style>
  <w:style w:type="paragraph" w:styleId="41">
    <w:name w:val="index 1"/>
    <w:basedOn w:val="1"/>
    <w:next w:val="1"/>
    <w:qFormat/>
    <w:uiPriority w:val="0"/>
    <w:pPr>
      <w:widowControl/>
      <w:jc w:val="left"/>
    </w:pPr>
    <w:rPr>
      <w:rFonts w:ascii="Arial" w:hAnsi="Arial" w:cs="Arial"/>
      <w:b/>
      <w:bCs/>
      <w:kern w:val="0"/>
      <w:sz w:val="17"/>
      <w:szCs w:val="20"/>
      <w:lang w:eastAsia="en-US"/>
    </w:rPr>
  </w:style>
  <w:style w:type="paragraph" w:styleId="42">
    <w:name w:val="Title"/>
    <w:basedOn w:val="1"/>
    <w:next w:val="1"/>
    <w:link w:val="92"/>
    <w:qFormat/>
    <w:uiPriority w:val="0"/>
    <w:pPr>
      <w:spacing w:before="240" w:after="60"/>
      <w:jc w:val="center"/>
      <w:outlineLvl w:val="0"/>
    </w:pPr>
    <w:rPr>
      <w:rFonts w:ascii="Cambria" w:hAnsi="Cambria"/>
      <w:b/>
      <w:bCs/>
      <w:sz w:val="32"/>
      <w:szCs w:val="32"/>
    </w:rPr>
  </w:style>
  <w:style w:type="paragraph" w:styleId="43">
    <w:name w:val="annotation subject"/>
    <w:basedOn w:val="19"/>
    <w:next w:val="19"/>
    <w:link w:val="76"/>
    <w:qFormat/>
    <w:uiPriority w:val="0"/>
    <w:rPr>
      <w:rFonts w:ascii="等线" w:hAnsi="等线"/>
      <w:b/>
      <w:bCs/>
    </w:rPr>
  </w:style>
  <w:style w:type="paragraph" w:styleId="44">
    <w:name w:val="Body Text First Indent"/>
    <w:basedOn w:val="45"/>
    <w:link w:val="347"/>
    <w:qFormat/>
    <w:uiPriority w:val="0"/>
    <w:pPr>
      <w:tabs>
        <w:tab w:val="left" w:pos="420"/>
      </w:tabs>
      <w:spacing w:after="120" w:line="240" w:lineRule="auto"/>
      <w:ind w:firstLine="420" w:firstLineChars="100"/>
    </w:pPr>
  </w:style>
  <w:style w:type="paragraph" w:customStyle="1" w:styleId="45">
    <w:name w:val="正文要点"/>
    <w:basedOn w:val="1"/>
    <w:next w:val="46"/>
    <w:link w:val="99"/>
    <w:qFormat/>
    <w:uiPriority w:val="0"/>
    <w:pPr>
      <w:tabs>
        <w:tab w:val="left" w:pos="420"/>
      </w:tabs>
      <w:spacing w:line="360" w:lineRule="auto"/>
      <w:ind w:left="840" w:hanging="420"/>
    </w:pPr>
    <w:rPr>
      <w:szCs w:val="21"/>
    </w:rPr>
  </w:style>
  <w:style w:type="paragraph" w:customStyle="1" w:styleId="46">
    <w:name w:val="正文要点内容"/>
    <w:basedOn w:val="45"/>
    <w:link w:val="98"/>
    <w:qFormat/>
    <w:uiPriority w:val="0"/>
    <w:pPr>
      <w:tabs>
        <w:tab w:val="left" w:pos="840"/>
        <w:tab w:val="clear" w:pos="420"/>
      </w:tabs>
      <w:ind w:left="400" w:leftChars="400" w:firstLine="200" w:firstLineChars="200"/>
    </w:pPr>
  </w:style>
  <w:style w:type="table" w:styleId="48">
    <w:name w:val="Table Grid"/>
    <w:qFormat/>
    <w:uiPriority w:val="0"/>
    <w:rPr>
      <w:rFonts w:ascii="Calibri" w:hAnsi="Calibri"/>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
  </w:style>
  <w:style w:type="character" w:styleId="50">
    <w:name w:val="Strong"/>
    <w:basedOn w:val="49"/>
    <w:qFormat/>
    <w:uiPriority w:val="0"/>
    <w:rPr>
      <w:b/>
      <w:bCs/>
    </w:rPr>
  </w:style>
  <w:style w:type="character" w:styleId="51">
    <w:name w:val="page number"/>
    <w:qFormat/>
    <w:uiPriority w:val="0"/>
    <w:rPr>
      <w:rFonts w:cs="Times New Roman"/>
    </w:rPr>
  </w:style>
  <w:style w:type="character" w:styleId="52">
    <w:name w:val="FollowedHyperlink"/>
    <w:qFormat/>
    <w:uiPriority w:val="99"/>
    <w:rPr>
      <w:color w:val="954F72"/>
      <w:u w:val="single"/>
    </w:rPr>
  </w:style>
  <w:style w:type="character" w:styleId="53">
    <w:name w:val="Emphasis"/>
    <w:qFormat/>
    <w:uiPriority w:val="0"/>
    <w:rPr>
      <w:i/>
    </w:rPr>
  </w:style>
  <w:style w:type="character" w:styleId="54">
    <w:name w:val="Hyperlink"/>
    <w:qFormat/>
    <w:uiPriority w:val="99"/>
    <w:rPr>
      <w:color w:val="0000FF"/>
      <w:u w:val="single"/>
    </w:rPr>
  </w:style>
  <w:style w:type="character" w:styleId="55">
    <w:name w:val="annotation reference"/>
    <w:qFormat/>
    <w:uiPriority w:val="0"/>
    <w:rPr>
      <w:sz w:val="21"/>
      <w:szCs w:val="21"/>
    </w:rPr>
  </w:style>
  <w:style w:type="character" w:customStyle="1" w:styleId="56">
    <w:name w:val="页眉 Char1"/>
    <w:basedOn w:val="49"/>
    <w:link w:val="30"/>
    <w:qFormat/>
    <w:uiPriority w:val="99"/>
    <w:rPr>
      <w:sz w:val="18"/>
      <w:szCs w:val="18"/>
    </w:rPr>
  </w:style>
  <w:style w:type="character" w:customStyle="1" w:styleId="57">
    <w:name w:val="页脚 Char1"/>
    <w:basedOn w:val="49"/>
    <w:link w:val="29"/>
    <w:qFormat/>
    <w:uiPriority w:val="99"/>
    <w:rPr>
      <w:sz w:val="18"/>
      <w:szCs w:val="18"/>
    </w:rPr>
  </w:style>
  <w:style w:type="character" w:customStyle="1" w:styleId="58">
    <w:name w:val="标题 1 字符"/>
    <w:basedOn w:val="49"/>
    <w:qFormat/>
    <w:uiPriority w:val="0"/>
    <w:rPr>
      <w:rFonts w:ascii="Times New Roman" w:hAnsi="Times New Roman" w:eastAsia="宋体" w:cs="Times New Roman"/>
      <w:b/>
      <w:bCs/>
      <w:kern w:val="44"/>
      <w:sz w:val="44"/>
      <w:szCs w:val="44"/>
    </w:rPr>
  </w:style>
  <w:style w:type="character" w:customStyle="1" w:styleId="59">
    <w:name w:val="标题 2 字符"/>
    <w:basedOn w:val="49"/>
    <w:qFormat/>
    <w:uiPriority w:val="0"/>
    <w:rPr>
      <w:rFonts w:asciiTheme="majorHAnsi" w:hAnsiTheme="majorHAnsi" w:eastAsiaTheme="majorEastAsia" w:cstheme="majorBidi"/>
      <w:b/>
      <w:bCs/>
      <w:sz w:val="32"/>
      <w:szCs w:val="32"/>
    </w:rPr>
  </w:style>
  <w:style w:type="character" w:customStyle="1" w:styleId="60">
    <w:name w:val="标题 3 字符"/>
    <w:basedOn w:val="49"/>
    <w:qFormat/>
    <w:uiPriority w:val="0"/>
    <w:rPr>
      <w:rFonts w:ascii="Times New Roman" w:hAnsi="Times New Roman" w:eastAsia="宋体" w:cs="Times New Roman"/>
      <w:b/>
      <w:bCs/>
      <w:sz w:val="32"/>
      <w:szCs w:val="32"/>
    </w:rPr>
  </w:style>
  <w:style w:type="character" w:customStyle="1" w:styleId="61">
    <w:name w:val="标题 4 字符"/>
    <w:basedOn w:val="49"/>
    <w:qFormat/>
    <w:uiPriority w:val="9"/>
    <w:rPr>
      <w:rFonts w:asciiTheme="majorHAnsi" w:hAnsiTheme="majorHAnsi" w:eastAsiaTheme="majorEastAsia" w:cstheme="majorBidi"/>
      <w:b/>
      <w:bCs/>
      <w:sz w:val="28"/>
      <w:szCs w:val="28"/>
    </w:rPr>
  </w:style>
  <w:style w:type="character" w:customStyle="1" w:styleId="62">
    <w:name w:val="标题 5 字符"/>
    <w:basedOn w:val="49"/>
    <w:qFormat/>
    <w:uiPriority w:val="0"/>
    <w:rPr>
      <w:rFonts w:ascii="Times New Roman" w:hAnsi="Times New Roman" w:eastAsia="宋体" w:cs="Times New Roman"/>
      <w:b/>
      <w:bCs/>
      <w:sz w:val="28"/>
      <w:szCs w:val="28"/>
    </w:rPr>
  </w:style>
  <w:style w:type="character" w:customStyle="1" w:styleId="63">
    <w:name w:val="标题 6 字符"/>
    <w:basedOn w:val="49"/>
    <w:qFormat/>
    <w:uiPriority w:val="0"/>
    <w:rPr>
      <w:rFonts w:asciiTheme="majorHAnsi" w:hAnsiTheme="majorHAnsi" w:eastAsiaTheme="majorEastAsia" w:cstheme="majorBidi"/>
      <w:b/>
      <w:bCs/>
      <w:sz w:val="24"/>
      <w:szCs w:val="24"/>
    </w:rPr>
  </w:style>
  <w:style w:type="character" w:customStyle="1" w:styleId="64">
    <w:name w:val="标题 7 字符"/>
    <w:basedOn w:val="49"/>
    <w:qFormat/>
    <w:uiPriority w:val="0"/>
    <w:rPr>
      <w:rFonts w:ascii="Times New Roman" w:hAnsi="Times New Roman" w:eastAsia="宋体" w:cs="Times New Roman"/>
      <w:b/>
      <w:bCs/>
      <w:sz w:val="24"/>
      <w:szCs w:val="24"/>
    </w:rPr>
  </w:style>
  <w:style w:type="character" w:customStyle="1" w:styleId="65">
    <w:name w:val="标题 8 字符"/>
    <w:basedOn w:val="49"/>
    <w:qFormat/>
    <w:uiPriority w:val="0"/>
    <w:rPr>
      <w:rFonts w:asciiTheme="majorHAnsi" w:hAnsiTheme="majorHAnsi" w:eastAsiaTheme="majorEastAsia" w:cstheme="majorBidi"/>
      <w:sz w:val="24"/>
      <w:szCs w:val="24"/>
    </w:rPr>
  </w:style>
  <w:style w:type="character" w:customStyle="1" w:styleId="66">
    <w:name w:val="页眉 字符1"/>
    <w:basedOn w:val="49"/>
    <w:qFormat/>
    <w:uiPriority w:val="0"/>
    <w:rPr>
      <w:kern w:val="2"/>
      <w:sz w:val="18"/>
      <w:szCs w:val="18"/>
    </w:rPr>
  </w:style>
  <w:style w:type="character" w:customStyle="1" w:styleId="67">
    <w:name w:val="页脚 字符1"/>
    <w:basedOn w:val="49"/>
    <w:qFormat/>
    <w:uiPriority w:val="0"/>
    <w:rPr>
      <w:kern w:val="2"/>
      <w:sz w:val="18"/>
      <w:szCs w:val="18"/>
    </w:rPr>
  </w:style>
  <w:style w:type="character" w:customStyle="1" w:styleId="68">
    <w:name w:val="文档结构图 字符"/>
    <w:basedOn w:val="49"/>
    <w:qFormat/>
    <w:uiPriority w:val="0"/>
    <w:rPr>
      <w:rFonts w:ascii="Microsoft YaHei UI" w:hAnsi="Times New Roman" w:eastAsia="Microsoft YaHei UI" w:cs="Times New Roman"/>
      <w:sz w:val="18"/>
      <w:szCs w:val="18"/>
    </w:rPr>
  </w:style>
  <w:style w:type="character" w:customStyle="1" w:styleId="69">
    <w:name w:val="标题 2 Char"/>
    <w:basedOn w:val="49"/>
    <w:link w:val="3"/>
    <w:qFormat/>
    <w:uiPriority w:val="0"/>
    <w:rPr>
      <w:rFonts w:ascii="Arial" w:hAnsi="Arial" w:eastAsia="黑体" w:cs="Times New Roman"/>
      <w:b/>
      <w:bCs/>
      <w:sz w:val="32"/>
      <w:szCs w:val="32"/>
    </w:rPr>
  </w:style>
  <w:style w:type="character" w:customStyle="1" w:styleId="70">
    <w:name w:val="标题 1 Char"/>
    <w:basedOn w:val="49"/>
    <w:link w:val="2"/>
    <w:qFormat/>
    <w:uiPriority w:val="0"/>
    <w:rPr>
      <w:rFonts w:ascii="宋体" w:hAnsi="Courier New" w:eastAsia="宋体" w:cs="Times New Roman"/>
      <w:b/>
      <w:bCs/>
      <w:kern w:val="44"/>
      <w:sz w:val="44"/>
      <w:szCs w:val="44"/>
    </w:rPr>
  </w:style>
  <w:style w:type="character" w:customStyle="1" w:styleId="71">
    <w:name w:val="标题 3 Char"/>
    <w:basedOn w:val="49"/>
    <w:qFormat/>
    <w:uiPriority w:val="0"/>
    <w:rPr>
      <w:b/>
      <w:bCs/>
      <w:kern w:val="2"/>
      <w:sz w:val="32"/>
      <w:szCs w:val="32"/>
    </w:rPr>
  </w:style>
  <w:style w:type="character" w:customStyle="1" w:styleId="72">
    <w:name w:val="标题 4 Char"/>
    <w:basedOn w:val="49"/>
    <w:qFormat/>
    <w:uiPriority w:val="0"/>
    <w:rPr>
      <w:rFonts w:ascii="仿宋_GB2312" w:eastAsia="仿宋_GB2312" w:cs="仿宋_GB2312"/>
      <w:kern w:val="2"/>
      <w:sz w:val="28"/>
      <w:szCs w:val="28"/>
    </w:rPr>
  </w:style>
  <w:style w:type="character" w:customStyle="1" w:styleId="73">
    <w:name w:val="批注文字 字符"/>
    <w:basedOn w:val="49"/>
    <w:qFormat/>
    <w:uiPriority w:val="0"/>
    <w:rPr>
      <w:rFonts w:ascii="Times New Roman" w:hAnsi="Times New Roman" w:eastAsia="宋体" w:cs="Times New Roman"/>
      <w:szCs w:val="24"/>
    </w:rPr>
  </w:style>
  <w:style w:type="character" w:customStyle="1" w:styleId="74">
    <w:name w:val="批注文字 Char1"/>
    <w:basedOn w:val="49"/>
    <w:link w:val="16"/>
    <w:qFormat/>
    <w:uiPriority w:val="99"/>
    <w:rPr>
      <w:rFonts w:ascii="Calibri" w:hAnsi="Calibri" w:eastAsia="宋体" w:cs="Times New Roman"/>
      <w:szCs w:val="24"/>
    </w:rPr>
  </w:style>
  <w:style w:type="character" w:customStyle="1" w:styleId="75">
    <w:name w:val="批注主题 字符"/>
    <w:basedOn w:val="73"/>
    <w:qFormat/>
    <w:uiPriority w:val="0"/>
    <w:rPr>
      <w:rFonts w:ascii="Times New Roman" w:hAnsi="Times New Roman" w:eastAsia="宋体" w:cs="Times New Roman"/>
      <w:b/>
      <w:bCs/>
      <w:szCs w:val="24"/>
    </w:rPr>
  </w:style>
  <w:style w:type="character" w:customStyle="1" w:styleId="76">
    <w:name w:val="批注主题 Char"/>
    <w:basedOn w:val="74"/>
    <w:link w:val="43"/>
    <w:qFormat/>
    <w:uiPriority w:val="0"/>
    <w:rPr>
      <w:rFonts w:ascii="等线" w:hAnsi="等线" w:eastAsia="等线" w:cs="Times New Roman"/>
      <w:b/>
      <w:bCs/>
      <w:sz w:val="28"/>
      <w:szCs w:val="24"/>
    </w:rPr>
  </w:style>
  <w:style w:type="character" w:customStyle="1" w:styleId="77">
    <w:name w:val="正文文本 字符"/>
    <w:basedOn w:val="49"/>
    <w:qFormat/>
    <w:uiPriority w:val="0"/>
    <w:rPr>
      <w:rFonts w:ascii="Times New Roman" w:hAnsi="Times New Roman" w:eastAsia="宋体" w:cs="Times New Roman"/>
      <w:szCs w:val="24"/>
    </w:rPr>
  </w:style>
  <w:style w:type="character" w:customStyle="1" w:styleId="78">
    <w:name w:val="正文文本 Char"/>
    <w:basedOn w:val="49"/>
    <w:link w:val="18"/>
    <w:qFormat/>
    <w:uiPriority w:val="0"/>
    <w:rPr>
      <w:rFonts w:ascii="Times New Roman" w:hAnsi="Times New Roman" w:eastAsia="宋体" w:cs="Times New Roman"/>
      <w:kern w:val="0"/>
      <w:sz w:val="24"/>
      <w:szCs w:val="24"/>
    </w:rPr>
  </w:style>
  <w:style w:type="character" w:customStyle="1" w:styleId="79">
    <w:name w:val="正文文本缩进 字符"/>
    <w:basedOn w:val="49"/>
    <w:qFormat/>
    <w:uiPriority w:val="0"/>
    <w:rPr>
      <w:rFonts w:ascii="Times New Roman" w:hAnsi="Times New Roman" w:eastAsia="宋体" w:cs="Times New Roman"/>
      <w:szCs w:val="24"/>
    </w:rPr>
  </w:style>
  <w:style w:type="character" w:customStyle="1" w:styleId="80">
    <w:name w:val="正文文本缩进 Char"/>
    <w:basedOn w:val="49"/>
    <w:link w:val="19"/>
    <w:qFormat/>
    <w:uiPriority w:val="0"/>
    <w:rPr>
      <w:rFonts w:ascii="宋体" w:hAnsi="宋体" w:eastAsia="等线" w:cs="Times New Roman"/>
      <w:sz w:val="28"/>
      <w:szCs w:val="24"/>
    </w:rPr>
  </w:style>
  <w:style w:type="character" w:customStyle="1" w:styleId="81">
    <w:name w:val="纯文本 字符"/>
    <w:basedOn w:val="49"/>
    <w:qFormat/>
    <w:uiPriority w:val="99"/>
    <w:rPr>
      <w:rFonts w:hAnsi="Courier New" w:cs="Courier New" w:asciiTheme="minorEastAsia"/>
      <w:szCs w:val="24"/>
    </w:rPr>
  </w:style>
  <w:style w:type="character" w:customStyle="1" w:styleId="82">
    <w:name w:val="纯文本 Char"/>
    <w:basedOn w:val="49"/>
    <w:qFormat/>
    <w:uiPriority w:val="0"/>
    <w:rPr>
      <w:rFonts w:ascii="宋体" w:hAnsi="Courier New"/>
      <w:sz w:val="21"/>
      <w:szCs w:val="21"/>
    </w:rPr>
  </w:style>
  <w:style w:type="character" w:customStyle="1" w:styleId="83">
    <w:name w:val="日期 Char1"/>
    <w:basedOn w:val="49"/>
    <w:link w:val="26"/>
    <w:qFormat/>
    <w:uiPriority w:val="0"/>
    <w:rPr>
      <w:rFonts w:ascii="宋体" w:hAnsi="Courier New" w:eastAsia="楷体_GB2312" w:cs="Times New Roman"/>
      <w:sz w:val="32"/>
      <w:szCs w:val="20"/>
    </w:rPr>
  </w:style>
  <w:style w:type="character" w:customStyle="1" w:styleId="84">
    <w:name w:val="日期 Char"/>
    <w:basedOn w:val="49"/>
    <w:qFormat/>
    <w:uiPriority w:val="0"/>
    <w:rPr>
      <w:rFonts w:ascii="宋体" w:hAnsi="Courier New"/>
      <w:sz w:val="21"/>
      <w:szCs w:val="21"/>
    </w:rPr>
  </w:style>
  <w:style w:type="character" w:customStyle="1" w:styleId="85">
    <w:name w:val="正文文本缩进 2 字符"/>
    <w:basedOn w:val="49"/>
    <w:qFormat/>
    <w:uiPriority w:val="0"/>
    <w:rPr>
      <w:rFonts w:ascii="Times New Roman" w:hAnsi="Times New Roman" w:eastAsia="宋体" w:cs="Times New Roman"/>
      <w:szCs w:val="24"/>
    </w:rPr>
  </w:style>
  <w:style w:type="character" w:customStyle="1" w:styleId="86">
    <w:name w:val="正文文本缩进 2 Char"/>
    <w:basedOn w:val="49"/>
    <w:qFormat/>
    <w:uiPriority w:val="0"/>
    <w:rPr>
      <w:sz w:val="24"/>
      <w:szCs w:val="24"/>
    </w:rPr>
  </w:style>
  <w:style w:type="character" w:customStyle="1" w:styleId="87">
    <w:name w:val="批注框文本 字符"/>
    <w:basedOn w:val="49"/>
    <w:qFormat/>
    <w:uiPriority w:val="0"/>
    <w:rPr>
      <w:rFonts w:ascii="Times New Roman" w:hAnsi="Times New Roman" w:eastAsia="宋体" w:cs="Times New Roman"/>
      <w:sz w:val="18"/>
      <w:szCs w:val="18"/>
    </w:rPr>
  </w:style>
  <w:style w:type="character" w:customStyle="1" w:styleId="88">
    <w:name w:val="批注框文本 Char"/>
    <w:basedOn w:val="49"/>
    <w:link w:val="28"/>
    <w:qFormat/>
    <w:uiPriority w:val="0"/>
    <w:rPr>
      <w:rFonts w:ascii="Times New Roman" w:hAnsi="Times New Roman" w:eastAsia="宋体" w:cs="Times New Roman"/>
      <w:sz w:val="18"/>
      <w:szCs w:val="18"/>
    </w:rPr>
  </w:style>
  <w:style w:type="character" w:customStyle="1" w:styleId="89">
    <w:name w:val="副标题 Char"/>
    <w:basedOn w:val="49"/>
    <w:link w:val="33"/>
    <w:qFormat/>
    <w:uiPriority w:val="0"/>
    <w:rPr>
      <w:rFonts w:ascii="Cambria" w:hAnsi="Cambria" w:eastAsia="方正楷体简体" w:cs="Times New Roman"/>
      <w:kern w:val="28"/>
      <w:sz w:val="32"/>
      <w:szCs w:val="32"/>
    </w:rPr>
  </w:style>
  <w:style w:type="character" w:customStyle="1" w:styleId="90">
    <w:name w:val="正文文本缩进 3 字符"/>
    <w:basedOn w:val="49"/>
    <w:qFormat/>
    <w:uiPriority w:val="0"/>
    <w:rPr>
      <w:rFonts w:ascii="Times New Roman" w:hAnsi="Times New Roman" w:eastAsia="宋体" w:cs="Times New Roman"/>
      <w:sz w:val="16"/>
      <w:szCs w:val="16"/>
    </w:rPr>
  </w:style>
  <w:style w:type="character" w:customStyle="1" w:styleId="91">
    <w:name w:val="正文文本缩进 3 Char"/>
    <w:basedOn w:val="49"/>
    <w:qFormat/>
    <w:uiPriority w:val="0"/>
    <w:rPr>
      <w:sz w:val="16"/>
      <w:szCs w:val="16"/>
    </w:rPr>
  </w:style>
  <w:style w:type="character" w:customStyle="1" w:styleId="92">
    <w:name w:val="标题 Char1"/>
    <w:basedOn w:val="49"/>
    <w:link w:val="42"/>
    <w:qFormat/>
    <w:uiPriority w:val="0"/>
    <w:rPr>
      <w:rFonts w:ascii="Cambria" w:hAnsi="Cambria" w:eastAsia="宋体" w:cs="Times New Roman"/>
      <w:b/>
      <w:bCs/>
      <w:sz w:val="32"/>
      <w:szCs w:val="32"/>
    </w:rPr>
  </w:style>
  <w:style w:type="character" w:customStyle="1" w:styleId="93">
    <w:name w:val="标题 Char"/>
    <w:basedOn w:val="49"/>
    <w:qFormat/>
    <w:uiPriority w:val="0"/>
    <w:rPr>
      <w:rFonts w:ascii="Cambria" w:hAnsi="Cambria" w:eastAsia="方正小标宋简体"/>
      <w:b/>
      <w:bCs/>
      <w:kern w:val="2"/>
      <w:sz w:val="32"/>
      <w:szCs w:val="32"/>
    </w:rPr>
  </w:style>
  <w:style w:type="paragraph" w:customStyle="1" w:styleId="94">
    <w:name w:val="Char"/>
    <w:basedOn w:val="1"/>
    <w:qFormat/>
    <w:uiPriority w:val="0"/>
    <w:rPr>
      <w:szCs w:val="21"/>
    </w:rPr>
  </w:style>
  <w:style w:type="paragraph" w:customStyle="1" w:styleId="95">
    <w:name w:val="样式1"/>
    <w:basedOn w:val="1"/>
    <w:qFormat/>
    <w:uiPriority w:val="0"/>
    <w:pPr>
      <w:tabs>
        <w:tab w:val="left" w:pos="1674"/>
      </w:tabs>
      <w:adjustRightInd w:val="0"/>
      <w:ind w:left="1674" w:hanging="1125"/>
      <w:textAlignment w:val="baseline"/>
    </w:pPr>
    <w:rPr>
      <w:rFonts w:ascii="宋体" w:hAnsi="宋体" w:cs="宋体"/>
      <w:kern w:val="0"/>
      <w:szCs w:val="21"/>
    </w:rPr>
  </w:style>
  <w:style w:type="paragraph" w:customStyle="1" w:styleId="96">
    <w:name w:val="TOC 标题1"/>
    <w:basedOn w:val="2"/>
    <w:next w:val="1"/>
    <w:qFormat/>
    <w:uiPriority w:val="0"/>
    <w:pPr>
      <w:widowControl/>
      <w:spacing w:before="480" w:after="0" w:line="276" w:lineRule="auto"/>
      <w:jc w:val="left"/>
      <w:outlineLvl w:val="9"/>
    </w:pPr>
    <w:rPr>
      <w:rFonts w:ascii="Cambria" w:hAnsi="Cambria" w:cs="Cambria"/>
      <w:color w:val="365F91"/>
      <w:kern w:val="0"/>
      <w:sz w:val="28"/>
      <w:szCs w:val="28"/>
    </w:rPr>
  </w:style>
  <w:style w:type="paragraph" w:customStyle="1" w:styleId="97">
    <w:name w:val="默认段落字体 Para Char Char Char Char"/>
    <w:basedOn w:val="1"/>
    <w:qFormat/>
    <w:uiPriority w:val="0"/>
    <w:rPr>
      <w:szCs w:val="21"/>
    </w:rPr>
  </w:style>
  <w:style w:type="character" w:customStyle="1" w:styleId="98">
    <w:name w:val="正文要点内容 Char Char"/>
    <w:basedOn w:val="99"/>
    <w:link w:val="46"/>
    <w:qFormat/>
    <w:locked/>
    <w:uiPriority w:val="0"/>
    <w:rPr>
      <w:rFonts w:ascii="Times New Roman" w:hAnsi="Times New Roman" w:eastAsia="宋体" w:cs="Times New Roman"/>
      <w:szCs w:val="21"/>
    </w:rPr>
  </w:style>
  <w:style w:type="character" w:customStyle="1" w:styleId="99">
    <w:name w:val="正文要点 Char Char"/>
    <w:basedOn w:val="49"/>
    <w:link w:val="45"/>
    <w:qFormat/>
    <w:locked/>
    <w:uiPriority w:val="0"/>
    <w:rPr>
      <w:rFonts w:ascii="Times New Roman" w:hAnsi="Times New Roman" w:eastAsia="宋体" w:cs="Times New Roman"/>
      <w:szCs w:val="21"/>
    </w:rPr>
  </w:style>
  <w:style w:type="paragraph" w:customStyle="1" w:styleId="100">
    <w:name w:val="Bullet"/>
    <w:basedOn w:val="1"/>
    <w:qFormat/>
    <w:uiPriority w:val="0"/>
    <w:pPr>
      <w:widowControl/>
      <w:adjustRightInd w:val="0"/>
      <w:spacing w:before="60" w:after="60" w:line="500" w:lineRule="exact"/>
      <w:ind w:firstLine="551" w:firstLineChars="196"/>
    </w:pPr>
    <w:rPr>
      <w:rFonts w:ascii="宋体" w:hAnsi="宋体" w:cs="宋体"/>
      <w:b/>
      <w:bCs/>
      <w:color w:val="333333"/>
      <w:kern w:val="0"/>
      <w:sz w:val="28"/>
      <w:szCs w:val="28"/>
    </w:rPr>
  </w:style>
  <w:style w:type="paragraph" w:customStyle="1" w:styleId="101">
    <w:name w:val="样式 标题 3h3Level 3 HeadH3Heading 3 - oldlevel_3PIM 3BOD 0s..."/>
    <w:basedOn w:val="4"/>
    <w:qFormat/>
    <w:uiPriority w:val="0"/>
    <w:pPr>
      <w:tabs>
        <w:tab w:val="left" w:pos="0"/>
      </w:tabs>
      <w:adjustRightInd w:val="0"/>
      <w:spacing w:before="0" w:after="0" w:line="500" w:lineRule="exact"/>
      <w:textAlignment w:val="baseline"/>
    </w:pPr>
    <w:rPr>
      <w:kern w:val="0"/>
      <w:sz w:val="28"/>
      <w:szCs w:val="28"/>
    </w:rPr>
  </w:style>
  <w:style w:type="paragraph" w:customStyle="1" w:styleId="102">
    <w:name w:val="font8"/>
    <w:basedOn w:val="1"/>
    <w:qFormat/>
    <w:uiPriority w:val="0"/>
    <w:pPr>
      <w:widowControl/>
      <w:spacing w:before="100" w:beforeAutospacing="1" w:after="100" w:afterAutospacing="1"/>
      <w:jc w:val="left"/>
    </w:pPr>
    <w:rPr>
      <w:rFonts w:ascii="黑体" w:hAnsi="Arial Unicode MS" w:eastAsia="黑体" w:cs="黑体"/>
      <w:kern w:val="0"/>
      <w:sz w:val="22"/>
      <w:szCs w:val="22"/>
    </w:rPr>
  </w:style>
  <w:style w:type="paragraph" w:customStyle="1" w:styleId="103">
    <w:name w:val="xl27"/>
    <w:basedOn w:val="1"/>
    <w:qFormat/>
    <w:uiPriority w:val="0"/>
    <w:pPr>
      <w:widowControl/>
      <w:spacing w:before="100" w:beforeAutospacing="1" w:after="100" w:afterAutospacing="1"/>
      <w:jc w:val="center"/>
      <w:textAlignment w:val="center"/>
    </w:pPr>
    <w:rPr>
      <w:rFonts w:ascii="华文细黑" w:hAnsi="华文细黑" w:eastAsia="华文细黑" w:cs="华文细黑"/>
      <w:b/>
      <w:bCs/>
      <w:kern w:val="0"/>
      <w:sz w:val="22"/>
      <w:szCs w:val="22"/>
    </w:rPr>
  </w:style>
  <w:style w:type="paragraph" w:customStyle="1" w:styleId="104">
    <w:name w:val="xl33"/>
    <w:basedOn w:val="1"/>
    <w:qFormat/>
    <w:uiPriority w:val="0"/>
    <w:pPr>
      <w:widowControl/>
      <w:spacing w:before="100" w:beforeAutospacing="1" w:after="100" w:afterAutospacing="1"/>
      <w:jc w:val="center"/>
      <w:textAlignment w:val="center"/>
    </w:pPr>
    <w:rPr>
      <w:rFonts w:ascii="黑体" w:hAnsi="Arial Unicode MS" w:eastAsia="黑体" w:cs="黑体"/>
      <w:kern w:val="0"/>
      <w:sz w:val="22"/>
      <w:szCs w:val="22"/>
    </w:rPr>
  </w:style>
  <w:style w:type="paragraph" w:customStyle="1" w:styleId="105">
    <w:name w:val="无间隔1"/>
    <w:link w:val="106"/>
    <w:qFormat/>
    <w:uiPriority w:val="0"/>
    <w:rPr>
      <w:rFonts w:ascii="Calibri" w:hAnsi="Calibri" w:eastAsia="宋体" w:cs="Calibri"/>
      <w:sz w:val="22"/>
      <w:szCs w:val="22"/>
      <w:lang w:val="en-US" w:eastAsia="zh-CN" w:bidi="ar-SA"/>
    </w:rPr>
  </w:style>
  <w:style w:type="character" w:customStyle="1" w:styleId="106">
    <w:name w:val="无间隔 Char"/>
    <w:basedOn w:val="49"/>
    <w:link w:val="105"/>
    <w:qFormat/>
    <w:locked/>
    <w:uiPriority w:val="0"/>
    <w:rPr>
      <w:rFonts w:ascii="Calibri" w:hAnsi="Calibri" w:eastAsia="宋体" w:cs="Calibri"/>
      <w:kern w:val="0"/>
      <w:sz w:val="22"/>
    </w:rPr>
  </w:style>
  <w:style w:type="paragraph" w:customStyle="1" w:styleId="107">
    <w:name w:val="Char Char1 Char Char Char Char Char Char Char Char Char Char Char Char Char Char Char"/>
    <w:basedOn w:val="1"/>
    <w:qFormat/>
    <w:uiPriority w:val="0"/>
    <w:pPr>
      <w:widowControl/>
      <w:spacing w:after="160" w:line="240" w:lineRule="exact"/>
      <w:jc w:val="left"/>
    </w:pPr>
    <w:rPr>
      <w:rFonts w:ascii="Verdana" w:hAnsi="Verdana" w:cs="Verdana"/>
      <w:kern w:val="0"/>
      <w:sz w:val="20"/>
      <w:szCs w:val="20"/>
      <w:lang w:eastAsia="en-US"/>
    </w:rPr>
  </w:style>
  <w:style w:type="paragraph" w:customStyle="1" w:styleId="108">
    <w:name w:val="Char1 Char Char Char"/>
    <w:basedOn w:val="1"/>
    <w:qFormat/>
    <w:uiPriority w:val="0"/>
    <w:rPr>
      <w:rFonts w:eastAsia="仿宋_GB2312"/>
      <w:sz w:val="28"/>
      <w:szCs w:val="28"/>
    </w:rPr>
  </w:style>
  <w:style w:type="paragraph" w:customStyle="1" w:styleId="109">
    <w:name w:val="默认段落字体 Para Char Char Char Char Char Char Char Char Char Char"/>
    <w:basedOn w:val="1"/>
    <w:qFormat/>
    <w:uiPriority w:val="0"/>
    <w:rPr>
      <w:rFonts w:ascii="Tahoma" w:hAnsi="Tahoma" w:cs="Tahoma"/>
      <w:sz w:val="24"/>
    </w:rPr>
  </w:style>
  <w:style w:type="paragraph" w:customStyle="1" w:styleId="110">
    <w:name w:val="修订1"/>
    <w:hidden/>
    <w:qFormat/>
    <w:uiPriority w:val="0"/>
    <w:rPr>
      <w:rFonts w:ascii="Times New Roman" w:hAnsi="Times New Roman" w:eastAsia="宋体" w:cs="Times New Roman"/>
      <w:kern w:val="2"/>
      <w:sz w:val="21"/>
      <w:szCs w:val="21"/>
      <w:lang w:val="en-US" w:eastAsia="zh-CN" w:bidi="ar-SA"/>
    </w:rPr>
  </w:style>
  <w:style w:type="paragraph" w:customStyle="1" w:styleId="111">
    <w:name w:val="列出段落1"/>
    <w:basedOn w:val="1"/>
    <w:link w:val="175"/>
    <w:qFormat/>
    <w:uiPriority w:val="0"/>
    <w:pPr>
      <w:ind w:firstLine="420" w:firstLineChars="200"/>
    </w:pPr>
    <w:rPr>
      <w:szCs w:val="21"/>
    </w:rPr>
  </w:style>
  <w:style w:type="character" w:customStyle="1" w:styleId="112">
    <w:name w:val="Title Char"/>
    <w:qFormat/>
    <w:locked/>
    <w:uiPriority w:val="0"/>
    <w:rPr>
      <w:rFonts w:ascii="Cambria" w:hAnsi="Cambria" w:eastAsia="方正小标宋简体" w:cs="Cambria"/>
      <w:b/>
      <w:bCs/>
      <w:kern w:val="2"/>
      <w:sz w:val="32"/>
      <w:szCs w:val="32"/>
    </w:rPr>
  </w:style>
  <w:style w:type="character" w:customStyle="1" w:styleId="113">
    <w:name w:val="Subtitle Char"/>
    <w:qFormat/>
    <w:locked/>
    <w:uiPriority w:val="0"/>
    <w:rPr>
      <w:rFonts w:ascii="Cambria" w:hAnsi="Cambria" w:eastAsia="方正楷体简体" w:cs="Cambria"/>
      <w:kern w:val="28"/>
      <w:sz w:val="32"/>
      <w:szCs w:val="32"/>
    </w:rPr>
  </w:style>
  <w:style w:type="character" w:customStyle="1" w:styleId="114">
    <w:name w:val="Plain Text Char"/>
    <w:qFormat/>
    <w:locked/>
    <w:uiPriority w:val="0"/>
    <w:rPr>
      <w:rFonts w:ascii="宋体" w:hAnsi="Courier New" w:cs="宋体"/>
      <w:sz w:val="21"/>
      <w:szCs w:val="21"/>
    </w:rPr>
  </w:style>
  <w:style w:type="character" w:customStyle="1" w:styleId="115">
    <w:name w:val="Date Char"/>
    <w:qFormat/>
    <w:locked/>
    <w:uiPriority w:val="0"/>
    <w:rPr>
      <w:rFonts w:ascii="宋体" w:hAnsi="Courier New" w:cs="宋体"/>
      <w:sz w:val="21"/>
      <w:szCs w:val="21"/>
    </w:rPr>
  </w:style>
  <w:style w:type="character" w:customStyle="1" w:styleId="116">
    <w:name w:val="Body Text Indent Char"/>
    <w:qFormat/>
    <w:locked/>
    <w:uiPriority w:val="0"/>
    <w:rPr>
      <w:rFonts w:ascii="仿宋_GB2312" w:hAnsi="Times New Roman" w:eastAsia="仿宋_GB2312" w:cs="仿宋_GB2312"/>
      <w:sz w:val="32"/>
      <w:szCs w:val="32"/>
    </w:rPr>
  </w:style>
  <w:style w:type="character" w:customStyle="1" w:styleId="117">
    <w:name w:val="case31"/>
    <w:basedOn w:val="49"/>
    <w:qFormat/>
    <w:uiPriority w:val="0"/>
    <w:rPr>
      <w:sz w:val="21"/>
      <w:szCs w:val="21"/>
    </w:rPr>
  </w:style>
  <w:style w:type="character" w:customStyle="1" w:styleId="118">
    <w:name w:val="Footer Char"/>
    <w:qFormat/>
    <w:locked/>
    <w:uiPriority w:val="0"/>
    <w:rPr>
      <w:rFonts w:ascii="Times New Roman" w:hAnsi="Times New Roman" w:cs="Times New Roman"/>
      <w:sz w:val="18"/>
      <w:szCs w:val="18"/>
    </w:rPr>
  </w:style>
  <w:style w:type="character" w:customStyle="1" w:styleId="119">
    <w:name w:val="Header Char"/>
    <w:qFormat/>
    <w:locked/>
    <w:uiPriority w:val="0"/>
    <w:rPr>
      <w:rFonts w:ascii="Times New Roman" w:hAnsi="Times New Roman" w:cs="Times New Roman"/>
      <w:sz w:val="18"/>
      <w:szCs w:val="18"/>
    </w:rPr>
  </w:style>
  <w:style w:type="character" w:customStyle="1" w:styleId="120">
    <w:name w:val="Body Text Indent 3 Char"/>
    <w:qFormat/>
    <w:locked/>
    <w:uiPriority w:val="0"/>
    <w:rPr>
      <w:rFonts w:ascii="Times New Roman" w:hAnsi="Times New Roman" w:cs="Times New Roman"/>
      <w:sz w:val="16"/>
      <w:szCs w:val="16"/>
    </w:rPr>
  </w:style>
  <w:style w:type="character" w:customStyle="1" w:styleId="121">
    <w:name w:val="Body Text Char"/>
    <w:qFormat/>
    <w:locked/>
    <w:uiPriority w:val="0"/>
    <w:rPr>
      <w:rFonts w:ascii="Times New Roman" w:hAnsi="Times New Roman" w:cs="Times New Roman"/>
      <w:sz w:val="24"/>
      <w:szCs w:val="24"/>
    </w:rPr>
  </w:style>
  <w:style w:type="character" w:customStyle="1" w:styleId="122">
    <w:name w:val="Body Text Indent 2 Char"/>
    <w:qFormat/>
    <w:locked/>
    <w:uiPriority w:val="0"/>
    <w:rPr>
      <w:rFonts w:ascii="Times New Roman" w:hAnsi="Times New Roman" w:cs="Times New Roman"/>
      <w:sz w:val="24"/>
      <w:szCs w:val="24"/>
    </w:rPr>
  </w:style>
  <w:style w:type="character" w:customStyle="1" w:styleId="123">
    <w:name w:val="Char Char4"/>
    <w:basedOn w:val="49"/>
    <w:qFormat/>
    <w:uiPriority w:val="0"/>
    <w:rPr>
      <w:rFonts w:eastAsia="宋体"/>
      <w:b/>
      <w:bCs/>
      <w:kern w:val="44"/>
      <w:sz w:val="44"/>
      <w:szCs w:val="44"/>
      <w:lang w:val="en-US" w:eastAsia="zh-CN"/>
    </w:rPr>
  </w:style>
  <w:style w:type="character" w:customStyle="1" w:styleId="124">
    <w:name w:val="普通文字 Char"/>
    <w:basedOn w:val="49"/>
    <w:qFormat/>
    <w:uiPriority w:val="0"/>
    <w:rPr>
      <w:rFonts w:ascii="宋体" w:hAnsi="Courier New" w:cs="宋体"/>
      <w:sz w:val="21"/>
      <w:szCs w:val="21"/>
    </w:rPr>
  </w:style>
  <w:style w:type="paragraph" w:styleId="125">
    <w:name w:val="No Spacing"/>
    <w:basedOn w:val="1"/>
    <w:link w:val="318"/>
    <w:qFormat/>
    <w:uiPriority w:val="0"/>
    <w:pPr>
      <w:widowControl/>
      <w:jc w:val="left"/>
    </w:pPr>
    <w:rPr>
      <w:rFonts w:ascii="Calibri" w:hAnsi="Calibri"/>
      <w:kern w:val="0"/>
      <w:sz w:val="22"/>
      <w:szCs w:val="22"/>
      <w:lang w:eastAsia="en-US" w:bidi="en-US"/>
    </w:rPr>
  </w:style>
  <w:style w:type="paragraph" w:customStyle="1" w:styleId="126">
    <w:name w:val="TOC 标题2"/>
    <w:basedOn w:val="2"/>
    <w:next w:val="1"/>
    <w:qFormat/>
    <w:uiPriority w:val="0"/>
    <w:pPr>
      <w:widowControl/>
      <w:spacing w:before="480" w:after="0" w:line="276" w:lineRule="auto"/>
      <w:jc w:val="left"/>
      <w:outlineLvl w:val="9"/>
    </w:pPr>
    <w:rPr>
      <w:rFonts w:ascii="Cambria" w:hAnsi="Cambria" w:cs="Cambria"/>
      <w:color w:val="365F91"/>
      <w:kern w:val="0"/>
      <w:sz w:val="28"/>
      <w:szCs w:val="28"/>
    </w:rPr>
  </w:style>
  <w:style w:type="paragraph" w:styleId="127">
    <w:name w:val="List Paragraph"/>
    <w:basedOn w:val="1"/>
    <w:qFormat/>
    <w:uiPriority w:val="0"/>
    <w:pPr>
      <w:widowControl/>
      <w:ind w:left="720"/>
      <w:contextualSpacing/>
      <w:jc w:val="left"/>
    </w:pPr>
    <w:rPr>
      <w:rFonts w:eastAsia="Times New Roman"/>
      <w:kern w:val="0"/>
      <w:sz w:val="24"/>
    </w:rPr>
  </w:style>
  <w:style w:type="character" w:customStyle="1" w:styleId="128">
    <w:name w:val="文档结构图 Char"/>
    <w:basedOn w:val="49"/>
    <w:link w:val="14"/>
    <w:qFormat/>
    <w:uiPriority w:val="0"/>
    <w:rPr>
      <w:rFonts w:ascii="等线" w:hAnsi="等线" w:eastAsia="等线" w:cs="Times New Roman"/>
      <w:szCs w:val="24"/>
      <w:shd w:val="clear" w:color="auto" w:fill="000080"/>
    </w:rPr>
  </w:style>
  <w:style w:type="paragraph" w:customStyle="1" w:styleId="129">
    <w:name w:val="font5"/>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130">
    <w:name w:val="font6"/>
    <w:basedOn w:val="1"/>
    <w:qFormat/>
    <w:uiPriority w:val="0"/>
    <w:pPr>
      <w:widowControl/>
      <w:spacing w:before="100" w:beforeAutospacing="1" w:after="100" w:afterAutospacing="1"/>
      <w:jc w:val="left"/>
    </w:pPr>
    <w:rPr>
      <w:kern w:val="0"/>
      <w:szCs w:val="21"/>
    </w:rPr>
  </w:style>
  <w:style w:type="paragraph" w:customStyle="1" w:styleId="131">
    <w:name w:val="font7"/>
    <w:basedOn w:val="1"/>
    <w:qFormat/>
    <w:uiPriority w:val="0"/>
    <w:pPr>
      <w:widowControl/>
      <w:spacing w:before="100" w:beforeAutospacing="1" w:after="100" w:afterAutospacing="1"/>
      <w:jc w:val="left"/>
    </w:pPr>
    <w:rPr>
      <w:rFonts w:ascii="宋体" w:hAnsi="宋体" w:cs="宋体"/>
      <w:kern w:val="0"/>
      <w:szCs w:val="21"/>
    </w:rPr>
  </w:style>
  <w:style w:type="paragraph" w:customStyle="1" w:styleId="132">
    <w:name w:val="xl66"/>
    <w:basedOn w:val="1"/>
    <w:qFormat/>
    <w:uiPriority w:val="0"/>
    <w:pPr>
      <w:widowControl/>
      <w:pBdr>
        <w:left w:val="single" w:color="auto" w:sz="8" w:space="0"/>
      </w:pBdr>
      <w:spacing w:before="100" w:beforeAutospacing="1" w:after="100" w:afterAutospacing="1"/>
      <w:jc w:val="left"/>
      <w:textAlignment w:val="center"/>
    </w:pPr>
    <w:rPr>
      <w:rFonts w:ascii="宋体" w:hAnsi="宋体" w:cs="宋体"/>
      <w:b/>
      <w:bCs/>
      <w:kern w:val="0"/>
      <w:szCs w:val="21"/>
    </w:rPr>
  </w:style>
  <w:style w:type="paragraph" w:customStyle="1" w:styleId="133">
    <w:name w:val="xl67"/>
    <w:basedOn w:val="1"/>
    <w:qFormat/>
    <w:uiPriority w:val="0"/>
    <w:pPr>
      <w:widowControl/>
      <w:pBdr>
        <w:left w:val="single" w:color="auto" w:sz="8" w:space="0"/>
      </w:pBdr>
      <w:spacing w:before="100" w:beforeAutospacing="1" w:after="100" w:afterAutospacing="1"/>
      <w:jc w:val="left"/>
      <w:textAlignment w:val="center"/>
    </w:pPr>
    <w:rPr>
      <w:rFonts w:ascii="宋体" w:hAnsi="宋体" w:cs="宋体"/>
      <w:kern w:val="0"/>
      <w:szCs w:val="21"/>
    </w:rPr>
  </w:style>
  <w:style w:type="paragraph" w:customStyle="1" w:styleId="134">
    <w:name w:val="xl68"/>
    <w:basedOn w:val="1"/>
    <w:qFormat/>
    <w:uiPriority w:val="0"/>
    <w:pPr>
      <w:widowControl/>
      <w:spacing w:before="100" w:beforeAutospacing="1" w:after="100" w:afterAutospacing="1"/>
      <w:jc w:val="left"/>
      <w:textAlignment w:val="center"/>
    </w:pPr>
    <w:rPr>
      <w:rFonts w:ascii="宋体" w:hAnsi="宋体" w:cs="宋体"/>
      <w:kern w:val="0"/>
      <w:szCs w:val="21"/>
    </w:rPr>
  </w:style>
  <w:style w:type="paragraph" w:customStyle="1" w:styleId="135">
    <w:name w:val="xl69"/>
    <w:basedOn w:val="1"/>
    <w:qFormat/>
    <w:uiPriority w:val="0"/>
    <w:pPr>
      <w:widowControl/>
      <w:pBdr>
        <w:right w:val="single" w:color="000000" w:sz="8" w:space="0"/>
      </w:pBdr>
      <w:spacing w:before="100" w:beforeAutospacing="1" w:after="100" w:afterAutospacing="1"/>
      <w:jc w:val="left"/>
      <w:textAlignment w:val="center"/>
    </w:pPr>
    <w:rPr>
      <w:rFonts w:ascii="宋体" w:hAnsi="宋体" w:cs="宋体"/>
      <w:kern w:val="0"/>
      <w:szCs w:val="21"/>
    </w:rPr>
  </w:style>
  <w:style w:type="paragraph" w:customStyle="1" w:styleId="136">
    <w:name w:val="xl70"/>
    <w:basedOn w:val="1"/>
    <w:qFormat/>
    <w:uiPriority w:val="0"/>
    <w:pPr>
      <w:widowControl/>
      <w:pBdr>
        <w:left w:val="single" w:color="auto" w:sz="8" w:space="0"/>
        <w:bottom w:val="single" w:color="auto" w:sz="8" w:space="0"/>
      </w:pBdr>
      <w:spacing w:before="100" w:beforeAutospacing="1" w:after="100" w:afterAutospacing="1"/>
      <w:jc w:val="left"/>
      <w:textAlignment w:val="center"/>
    </w:pPr>
    <w:rPr>
      <w:rFonts w:ascii="宋体" w:hAnsi="宋体" w:cs="宋体"/>
      <w:kern w:val="0"/>
      <w:szCs w:val="21"/>
    </w:rPr>
  </w:style>
  <w:style w:type="paragraph" w:customStyle="1" w:styleId="137">
    <w:name w:val="xl71"/>
    <w:basedOn w:val="1"/>
    <w:qFormat/>
    <w:uiPriority w:val="0"/>
    <w:pPr>
      <w:widowControl/>
      <w:pBdr>
        <w:bottom w:val="single" w:color="auto" w:sz="8" w:space="0"/>
      </w:pBdr>
      <w:spacing w:before="100" w:beforeAutospacing="1" w:after="100" w:afterAutospacing="1"/>
      <w:jc w:val="left"/>
      <w:textAlignment w:val="center"/>
    </w:pPr>
    <w:rPr>
      <w:rFonts w:ascii="宋体" w:hAnsi="宋体" w:cs="宋体"/>
      <w:kern w:val="0"/>
      <w:szCs w:val="21"/>
    </w:rPr>
  </w:style>
  <w:style w:type="paragraph" w:customStyle="1" w:styleId="138">
    <w:name w:val="xl72"/>
    <w:basedOn w:val="1"/>
    <w:qFormat/>
    <w:uiPriority w:val="0"/>
    <w:pPr>
      <w:widowControl/>
      <w:pBdr>
        <w:bottom w:val="single" w:color="auto" w:sz="8" w:space="0"/>
        <w:right w:val="single" w:color="000000" w:sz="8" w:space="0"/>
      </w:pBdr>
      <w:spacing w:before="100" w:beforeAutospacing="1" w:after="100" w:afterAutospacing="1"/>
      <w:jc w:val="left"/>
      <w:textAlignment w:val="center"/>
    </w:pPr>
    <w:rPr>
      <w:rFonts w:ascii="宋体" w:hAnsi="宋体" w:cs="宋体"/>
      <w:kern w:val="0"/>
      <w:szCs w:val="21"/>
    </w:rPr>
  </w:style>
  <w:style w:type="paragraph" w:customStyle="1" w:styleId="139">
    <w:name w:val="xl73"/>
    <w:basedOn w:val="1"/>
    <w:qFormat/>
    <w:uiPriority w:val="0"/>
    <w:pPr>
      <w:widowControl/>
      <w:spacing w:before="100" w:beforeAutospacing="1" w:after="100" w:afterAutospacing="1"/>
      <w:jc w:val="left"/>
      <w:textAlignment w:val="center"/>
    </w:pPr>
    <w:rPr>
      <w:rFonts w:ascii="宋体" w:hAnsi="宋体" w:cs="宋体"/>
      <w:b/>
      <w:bCs/>
      <w:kern w:val="0"/>
      <w:szCs w:val="21"/>
    </w:rPr>
  </w:style>
  <w:style w:type="paragraph" w:customStyle="1" w:styleId="140">
    <w:name w:val="xl74"/>
    <w:basedOn w:val="1"/>
    <w:qFormat/>
    <w:uiPriority w:val="0"/>
    <w:pPr>
      <w:widowControl/>
      <w:pBdr>
        <w:right w:val="single" w:color="000000" w:sz="8" w:space="0"/>
      </w:pBdr>
      <w:spacing w:before="100" w:beforeAutospacing="1" w:after="100" w:afterAutospacing="1"/>
      <w:jc w:val="left"/>
      <w:textAlignment w:val="center"/>
    </w:pPr>
    <w:rPr>
      <w:rFonts w:ascii="宋体" w:hAnsi="宋体" w:cs="宋体"/>
      <w:b/>
      <w:bCs/>
      <w:kern w:val="0"/>
      <w:szCs w:val="21"/>
    </w:rPr>
  </w:style>
  <w:style w:type="paragraph" w:customStyle="1" w:styleId="141">
    <w:name w:val="xl7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Cs w:val="21"/>
    </w:rPr>
  </w:style>
  <w:style w:type="paragraph" w:customStyle="1" w:styleId="142">
    <w:name w:val="xl7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Cs w:val="21"/>
    </w:rPr>
  </w:style>
  <w:style w:type="paragraph" w:customStyle="1" w:styleId="143">
    <w:name w:val="xl7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cs="宋体"/>
      <w:kern w:val="0"/>
      <w:szCs w:val="21"/>
    </w:rPr>
  </w:style>
  <w:style w:type="paragraph" w:customStyle="1" w:styleId="144">
    <w:name w:val="xl7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Cs w:val="21"/>
    </w:rPr>
  </w:style>
  <w:style w:type="paragraph" w:customStyle="1" w:styleId="145">
    <w:name w:val="xl7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cs="宋体"/>
      <w:kern w:val="0"/>
      <w:szCs w:val="21"/>
    </w:rPr>
  </w:style>
  <w:style w:type="paragraph" w:customStyle="1" w:styleId="146">
    <w:name w:val="xl8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rFonts w:ascii="宋体" w:hAnsi="宋体" w:cs="宋体"/>
      <w:kern w:val="0"/>
      <w:szCs w:val="21"/>
    </w:rPr>
  </w:style>
  <w:style w:type="paragraph" w:customStyle="1" w:styleId="147">
    <w:name w:val="xl81"/>
    <w:basedOn w:val="1"/>
    <w:qFormat/>
    <w:uiPriority w:val="0"/>
    <w:pPr>
      <w:widowControl/>
      <w:spacing w:before="100" w:beforeAutospacing="1" w:after="100" w:afterAutospacing="1"/>
      <w:jc w:val="left"/>
    </w:pPr>
    <w:rPr>
      <w:rFonts w:ascii="宋体" w:hAnsi="宋体" w:cs="宋体"/>
      <w:kern w:val="0"/>
      <w:szCs w:val="21"/>
    </w:rPr>
  </w:style>
  <w:style w:type="paragraph" w:customStyle="1" w:styleId="148">
    <w:name w:val="xl8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top"/>
    </w:pPr>
    <w:rPr>
      <w:rFonts w:ascii="宋体" w:hAnsi="宋体" w:cs="宋体"/>
      <w:kern w:val="0"/>
      <w:szCs w:val="21"/>
    </w:rPr>
  </w:style>
  <w:style w:type="paragraph" w:customStyle="1" w:styleId="149">
    <w:name w:val="xl8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kern w:val="0"/>
      <w:szCs w:val="21"/>
    </w:rPr>
  </w:style>
  <w:style w:type="paragraph" w:customStyle="1" w:styleId="150">
    <w:name w:val="font9"/>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151">
    <w:name w:val="xl84"/>
    <w:basedOn w:val="1"/>
    <w:qFormat/>
    <w:uiPriority w:val="0"/>
    <w:pPr>
      <w:widowControl/>
      <w:pBdr>
        <w:top w:val="single" w:color="auto" w:sz="4" w:space="0"/>
        <w:left w:val="single" w:color="auto" w:sz="4" w:space="0"/>
        <w:right w:val="single" w:color="auto" w:sz="4" w:space="0"/>
      </w:pBdr>
      <w:shd w:val="clear" w:color="000000" w:fill="F2F2F2"/>
      <w:spacing w:before="100" w:beforeAutospacing="1" w:after="100" w:afterAutospacing="1"/>
      <w:jc w:val="center"/>
      <w:textAlignment w:val="center"/>
    </w:pPr>
    <w:rPr>
      <w:rFonts w:ascii="宋体" w:hAnsi="宋体" w:cs="宋体"/>
      <w:kern w:val="0"/>
      <w:szCs w:val="21"/>
    </w:rPr>
  </w:style>
  <w:style w:type="paragraph" w:customStyle="1" w:styleId="152">
    <w:name w:val="xl85"/>
    <w:basedOn w:val="1"/>
    <w:qFormat/>
    <w:uiPriority w:val="0"/>
    <w:pPr>
      <w:widowControl/>
      <w:pBdr>
        <w:top w:val="single" w:color="auto" w:sz="4" w:space="0"/>
        <w:left w:val="single" w:color="auto" w:sz="4" w:space="0"/>
        <w:bottom w:val="single" w:color="auto" w:sz="4" w:space="0"/>
        <w:right w:val="single" w:color="auto" w:sz="4" w:space="0"/>
      </w:pBdr>
      <w:shd w:val="clear" w:color="000000" w:fill="F2F2F2"/>
      <w:spacing w:before="100" w:beforeAutospacing="1" w:after="100" w:afterAutospacing="1"/>
      <w:jc w:val="left"/>
      <w:textAlignment w:val="center"/>
    </w:pPr>
    <w:rPr>
      <w:rFonts w:ascii="宋体" w:hAnsi="宋体" w:cs="宋体"/>
      <w:kern w:val="0"/>
      <w:szCs w:val="21"/>
    </w:rPr>
  </w:style>
  <w:style w:type="paragraph" w:customStyle="1" w:styleId="153">
    <w:name w:val="xl86"/>
    <w:basedOn w:val="1"/>
    <w:qFormat/>
    <w:uiPriority w:val="0"/>
    <w:pPr>
      <w:widowControl/>
      <w:shd w:val="clear" w:color="000000" w:fill="F2F2F2"/>
      <w:spacing w:before="100" w:beforeAutospacing="1" w:after="100" w:afterAutospacing="1"/>
      <w:jc w:val="left"/>
    </w:pPr>
    <w:rPr>
      <w:rFonts w:ascii="宋体" w:hAnsi="宋体" w:cs="宋体"/>
      <w:kern w:val="0"/>
      <w:sz w:val="24"/>
    </w:rPr>
  </w:style>
  <w:style w:type="paragraph" w:customStyle="1" w:styleId="154">
    <w:name w:val="xl87"/>
    <w:basedOn w:val="1"/>
    <w:qFormat/>
    <w:uiPriority w:val="0"/>
    <w:pPr>
      <w:widowControl/>
      <w:pBdr>
        <w:left w:val="single" w:color="auto" w:sz="4" w:space="0"/>
        <w:right w:val="single" w:color="auto" w:sz="4" w:space="0"/>
      </w:pBdr>
      <w:shd w:val="clear" w:color="000000" w:fill="F2F2F2"/>
      <w:spacing w:before="100" w:beforeAutospacing="1" w:after="100" w:afterAutospacing="1"/>
      <w:jc w:val="center"/>
      <w:textAlignment w:val="center"/>
    </w:pPr>
    <w:rPr>
      <w:rFonts w:ascii="宋体" w:hAnsi="宋体" w:cs="宋体"/>
      <w:kern w:val="0"/>
      <w:szCs w:val="21"/>
    </w:rPr>
  </w:style>
  <w:style w:type="paragraph" w:customStyle="1" w:styleId="155">
    <w:name w:val="xl88"/>
    <w:basedOn w:val="1"/>
    <w:qFormat/>
    <w:uiPriority w:val="0"/>
    <w:pPr>
      <w:widowControl/>
      <w:pBdr>
        <w:top w:val="single" w:color="auto" w:sz="4" w:space="0"/>
        <w:left w:val="single" w:color="auto" w:sz="4" w:space="0"/>
        <w:bottom w:val="single" w:color="auto" w:sz="4" w:space="0"/>
        <w:right w:val="single" w:color="auto" w:sz="4" w:space="0"/>
      </w:pBdr>
      <w:shd w:val="clear" w:color="000000" w:fill="F2F2F2"/>
      <w:spacing w:before="100" w:beforeAutospacing="1" w:after="100" w:afterAutospacing="1"/>
      <w:jc w:val="left"/>
      <w:textAlignment w:val="center"/>
    </w:pPr>
    <w:rPr>
      <w:rFonts w:ascii="宋体" w:hAnsi="宋体" w:cs="宋体"/>
      <w:kern w:val="0"/>
      <w:szCs w:val="21"/>
    </w:rPr>
  </w:style>
  <w:style w:type="paragraph" w:customStyle="1" w:styleId="156">
    <w:name w:val="xl89"/>
    <w:basedOn w:val="1"/>
    <w:qFormat/>
    <w:uiPriority w:val="0"/>
    <w:pPr>
      <w:widowControl/>
      <w:pBdr>
        <w:top w:val="single" w:color="auto" w:sz="4" w:space="0"/>
        <w:left w:val="single" w:color="auto" w:sz="4" w:space="0"/>
        <w:bottom w:val="single" w:color="auto" w:sz="4" w:space="0"/>
        <w:right w:val="single" w:color="auto" w:sz="4" w:space="0"/>
      </w:pBdr>
      <w:shd w:val="clear" w:color="000000" w:fill="F2F2F2"/>
      <w:spacing w:before="100" w:beforeAutospacing="1" w:after="100" w:afterAutospacing="1"/>
      <w:jc w:val="center"/>
      <w:textAlignment w:val="center"/>
    </w:pPr>
    <w:rPr>
      <w:rFonts w:ascii="宋体" w:hAnsi="宋体" w:cs="宋体"/>
      <w:kern w:val="0"/>
      <w:szCs w:val="21"/>
    </w:rPr>
  </w:style>
  <w:style w:type="paragraph" w:customStyle="1" w:styleId="157">
    <w:name w:val="xl90"/>
    <w:basedOn w:val="1"/>
    <w:qFormat/>
    <w:uiPriority w:val="0"/>
    <w:pPr>
      <w:widowControl/>
      <w:pBdr>
        <w:top w:val="single" w:color="auto" w:sz="4" w:space="0"/>
        <w:left w:val="single" w:color="auto" w:sz="4" w:space="0"/>
        <w:right w:val="single" w:color="auto" w:sz="4" w:space="0"/>
      </w:pBdr>
      <w:shd w:val="clear" w:color="000000" w:fill="F2F2F2"/>
      <w:spacing w:before="100" w:beforeAutospacing="1" w:after="100" w:afterAutospacing="1"/>
      <w:jc w:val="center"/>
      <w:textAlignment w:val="center"/>
    </w:pPr>
    <w:rPr>
      <w:rFonts w:ascii="宋体" w:hAnsi="宋体" w:cs="宋体"/>
      <w:kern w:val="0"/>
      <w:szCs w:val="21"/>
    </w:rPr>
  </w:style>
  <w:style w:type="paragraph" w:customStyle="1" w:styleId="158">
    <w:name w:val="xl91"/>
    <w:basedOn w:val="1"/>
    <w:qFormat/>
    <w:uiPriority w:val="0"/>
    <w:pPr>
      <w:widowControl/>
      <w:pBdr>
        <w:top w:val="single" w:color="auto" w:sz="4" w:space="0"/>
        <w:left w:val="single" w:color="auto" w:sz="4" w:space="0"/>
        <w:right w:val="single" w:color="auto" w:sz="4" w:space="0"/>
      </w:pBdr>
      <w:shd w:val="clear" w:color="000000" w:fill="F2F2F2"/>
      <w:spacing w:before="100" w:beforeAutospacing="1" w:after="100" w:afterAutospacing="1"/>
      <w:jc w:val="left"/>
      <w:textAlignment w:val="center"/>
    </w:pPr>
    <w:rPr>
      <w:rFonts w:ascii="宋体" w:hAnsi="宋体" w:cs="宋体"/>
      <w:kern w:val="0"/>
      <w:szCs w:val="21"/>
    </w:rPr>
  </w:style>
  <w:style w:type="paragraph" w:customStyle="1" w:styleId="159">
    <w:name w:val="xl92"/>
    <w:basedOn w:val="1"/>
    <w:qFormat/>
    <w:uiPriority w:val="0"/>
    <w:pPr>
      <w:widowControl/>
      <w:pBdr>
        <w:top w:val="single" w:color="auto" w:sz="4" w:space="0"/>
        <w:left w:val="single" w:color="auto" w:sz="4" w:space="0"/>
        <w:right w:val="single" w:color="auto" w:sz="4" w:space="0"/>
      </w:pBdr>
      <w:shd w:val="clear" w:color="000000" w:fill="F2F2F2"/>
      <w:spacing w:before="100" w:beforeAutospacing="1" w:after="100" w:afterAutospacing="1"/>
      <w:jc w:val="left"/>
      <w:textAlignment w:val="center"/>
    </w:pPr>
    <w:rPr>
      <w:rFonts w:ascii="宋体" w:hAnsi="宋体" w:cs="宋体"/>
      <w:kern w:val="0"/>
      <w:szCs w:val="21"/>
    </w:rPr>
  </w:style>
  <w:style w:type="paragraph" w:customStyle="1" w:styleId="160">
    <w:name w:val="xl93"/>
    <w:basedOn w:val="1"/>
    <w:qFormat/>
    <w:uiPriority w:val="0"/>
    <w:pPr>
      <w:widowControl/>
      <w:pBdr>
        <w:top w:val="single" w:color="auto" w:sz="4" w:space="0"/>
        <w:left w:val="single" w:color="auto" w:sz="8" w:space="0"/>
        <w:bottom w:val="single" w:color="auto" w:sz="4" w:space="0"/>
        <w:right w:val="single" w:color="auto" w:sz="4" w:space="0"/>
      </w:pBdr>
      <w:shd w:val="clear" w:color="000000" w:fill="F2F2F2"/>
      <w:spacing w:before="100" w:beforeAutospacing="1" w:after="100" w:afterAutospacing="1"/>
      <w:jc w:val="center"/>
      <w:textAlignment w:val="center"/>
    </w:pPr>
    <w:rPr>
      <w:rFonts w:ascii="宋体" w:hAnsi="宋体" w:cs="宋体"/>
      <w:kern w:val="0"/>
      <w:szCs w:val="21"/>
    </w:rPr>
  </w:style>
  <w:style w:type="paragraph" w:customStyle="1" w:styleId="161">
    <w:name w:val="xl94"/>
    <w:basedOn w:val="1"/>
    <w:qFormat/>
    <w:uiPriority w:val="0"/>
    <w:pPr>
      <w:widowControl/>
      <w:pBdr>
        <w:top w:val="single" w:color="auto" w:sz="4" w:space="0"/>
        <w:left w:val="single" w:color="auto" w:sz="4" w:space="0"/>
        <w:bottom w:val="single" w:color="auto" w:sz="4" w:space="0"/>
        <w:right w:val="single" w:color="auto" w:sz="8" w:space="0"/>
      </w:pBdr>
      <w:shd w:val="clear" w:color="000000" w:fill="F2F2F2"/>
      <w:spacing w:before="100" w:beforeAutospacing="1" w:after="100" w:afterAutospacing="1"/>
      <w:jc w:val="left"/>
      <w:textAlignment w:val="center"/>
    </w:pPr>
    <w:rPr>
      <w:rFonts w:ascii="宋体" w:hAnsi="宋体" w:cs="宋体"/>
      <w:kern w:val="0"/>
      <w:szCs w:val="21"/>
    </w:rPr>
  </w:style>
  <w:style w:type="paragraph" w:customStyle="1" w:styleId="162">
    <w:name w:val="xl95"/>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Cs w:val="21"/>
    </w:rPr>
  </w:style>
  <w:style w:type="paragraph" w:customStyle="1" w:styleId="163">
    <w:name w:val="xl96"/>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Cs w:val="21"/>
    </w:rPr>
  </w:style>
  <w:style w:type="paragraph" w:customStyle="1" w:styleId="164">
    <w:name w:val="xl97"/>
    <w:basedOn w:val="1"/>
    <w:qFormat/>
    <w:uiPriority w:val="0"/>
    <w:pPr>
      <w:widowControl/>
      <w:pBdr>
        <w:top w:val="single" w:color="auto" w:sz="4" w:space="0"/>
        <w:left w:val="single" w:color="auto" w:sz="4" w:space="0"/>
        <w:right w:val="single" w:color="auto" w:sz="4" w:space="0"/>
      </w:pBdr>
      <w:spacing w:before="100" w:beforeAutospacing="1" w:after="100" w:afterAutospacing="1"/>
      <w:jc w:val="left"/>
      <w:textAlignment w:val="center"/>
    </w:pPr>
    <w:rPr>
      <w:rFonts w:ascii="宋体" w:hAnsi="宋体" w:cs="宋体"/>
      <w:kern w:val="0"/>
      <w:szCs w:val="21"/>
    </w:rPr>
  </w:style>
  <w:style w:type="paragraph" w:customStyle="1" w:styleId="165">
    <w:name w:val="xl98"/>
    <w:basedOn w:val="1"/>
    <w:qFormat/>
    <w:uiPriority w:val="0"/>
    <w:pPr>
      <w:widowControl/>
      <w:pBdr>
        <w:top w:val="single" w:color="auto" w:sz="4" w:space="0"/>
        <w:left w:val="single" w:color="auto" w:sz="8" w:space="0"/>
        <w:bottom w:val="single" w:color="auto" w:sz="8" w:space="0"/>
        <w:right w:val="single" w:color="auto" w:sz="4" w:space="0"/>
      </w:pBdr>
      <w:shd w:val="clear" w:color="000000" w:fill="F2F2F2"/>
      <w:spacing w:before="100" w:beforeAutospacing="1" w:after="100" w:afterAutospacing="1"/>
      <w:jc w:val="center"/>
      <w:textAlignment w:val="center"/>
    </w:pPr>
    <w:rPr>
      <w:rFonts w:ascii="宋体" w:hAnsi="宋体" w:cs="宋体"/>
      <w:kern w:val="0"/>
      <w:szCs w:val="21"/>
    </w:rPr>
  </w:style>
  <w:style w:type="paragraph" w:customStyle="1" w:styleId="166">
    <w:name w:val="xl99"/>
    <w:basedOn w:val="1"/>
    <w:qFormat/>
    <w:uiPriority w:val="0"/>
    <w:pPr>
      <w:widowControl/>
      <w:pBdr>
        <w:top w:val="single" w:color="auto" w:sz="4" w:space="0"/>
        <w:left w:val="single" w:color="auto" w:sz="4" w:space="0"/>
        <w:bottom w:val="single" w:color="auto" w:sz="8" w:space="0"/>
        <w:right w:val="single" w:color="auto" w:sz="4" w:space="0"/>
      </w:pBdr>
      <w:shd w:val="clear" w:color="000000" w:fill="F2F2F2"/>
      <w:spacing w:before="100" w:beforeAutospacing="1" w:after="100" w:afterAutospacing="1"/>
      <w:jc w:val="center"/>
      <w:textAlignment w:val="center"/>
    </w:pPr>
    <w:rPr>
      <w:rFonts w:ascii="宋体" w:hAnsi="宋体" w:cs="宋体"/>
      <w:kern w:val="0"/>
      <w:szCs w:val="21"/>
    </w:rPr>
  </w:style>
  <w:style w:type="paragraph" w:customStyle="1" w:styleId="167">
    <w:name w:val="xl100"/>
    <w:basedOn w:val="1"/>
    <w:qFormat/>
    <w:uiPriority w:val="0"/>
    <w:pPr>
      <w:widowControl/>
      <w:pBdr>
        <w:top w:val="single" w:color="auto" w:sz="4" w:space="0"/>
        <w:left w:val="single" w:color="auto" w:sz="4" w:space="0"/>
        <w:bottom w:val="single" w:color="auto" w:sz="8" w:space="0"/>
        <w:right w:val="single" w:color="auto" w:sz="4" w:space="0"/>
      </w:pBdr>
      <w:shd w:val="clear" w:color="000000" w:fill="F2F2F2"/>
      <w:spacing w:before="100" w:beforeAutospacing="1" w:after="100" w:afterAutospacing="1"/>
      <w:jc w:val="left"/>
      <w:textAlignment w:val="center"/>
    </w:pPr>
    <w:rPr>
      <w:rFonts w:ascii="宋体" w:hAnsi="宋体" w:cs="宋体"/>
      <w:kern w:val="0"/>
      <w:szCs w:val="21"/>
    </w:rPr>
  </w:style>
  <w:style w:type="paragraph" w:customStyle="1" w:styleId="168">
    <w:name w:val="xl101"/>
    <w:basedOn w:val="1"/>
    <w:qFormat/>
    <w:uiPriority w:val="0"/>
    <w:pPr>
      <w:widowControl/>
      <w:pBdr>
        <w:top w:val="single" w:color="auto" w:sz="4" w:space="0"/>
        <w:left w:val="single" w:color="auto" w:sz="4" w:space="0"/>
        <w:bottom w:val="single" w:color="auto" w:sz="8" w:space="0"/>
        <w:right w:val="single" w:color="auto" w:sz="4" w:space="0"/>
      </w:pBdr>
      <w:shd w:val="clear" w:color="000000" w:fill="F2F2F2"/>
      <w:spacing w:before="100" w:beforeAutospacing="1" w:after="100" w:afterAutospacing="1"/>
      <w:jc w:val="center"/>
      <w:textAlignment w:val="center"/>
    </w:pPr>
    <w:rPr>
      <w:rFonts w:ascii="宋体" w:hAnsi="宋体" w:cs="宋体"/>
      <w:kern w:val="0"/>
      <w:szCs w:val="21"/>
    </w:rPr>
  </w:style>
  <w:style w:type="paragraph" w:customStyle="1" w:styleId="169">
    <w:name w:val="xl102"/>
    <w:basedOn w:val="1"/>
    <w:qFormat/>
    <w:uiPriority w:val="0"/>
    <w:pPr>
      <w:widowControl/>
      <w:pBdr>
        <w:top w:val="single" w:color="auto" w:sz="4" w:space="0"/>
        <w:left w:val="single" w:color="auto" w:sz="4" w:space="0"/>
        <w:bottom w:val="single" w:color="auto" w:sz="8" w:space="0"/>
        <w:right w:val="single" w:color="auto" w:sz="8" w:space="0"/>
      </w:pBdr>
      <w:shd w:val="clear" w:color="000000" w:fill="F2F2F2"/>
      <w:spacing w:before="100" w:beforeAutospacing="1" w:after="100" w:afterAutospacing="1"/>
      <w:jc w:val="left"/>
      <w:textAlignment w:val="center"/>
    </w:pPr>
    <w:rPr>
      <w:rFonts w:ascii="宋体" w:hAnsi="宋体" w:cs="宋体"/>
      <w:kern w:val="0"/>
      <w:szCs w:val="21"/>
    </w:rPr>
  </w:style>
  <w:style w:type="paragraph" w:customStyle="1" w:styleId="170">
    <w:name w:val="修订2"/>
    <w:link w:val="216"/>
    <w:qFormat/>
    <w:uiPriority w:val="99"/>
    <w:rPr>
      <w:rFonts w:ascii="Times New Roman" w:hAnsi="Times New Roman" w:eastAsia="宋体" w:cs="Times New Roman"/>
      <w:kern w:val="2"/>
      <w:sz w:val="21"/>
      <w:szCs w:val="21"/>
      <w:lang w:val="en-US" w:eastAsia="zh-CN" w:bidi="ar-SA"/>
    </w:rPr>
  </w:style>
  <w:style w:type="character" w:customStyle="1" w:styleId="171">
    <w:name w:val="正文缩进 Char"/>
    <w:link w:val="13"/>
    <w:qFormat/>
    <w:uiPriority w:val="0"/>
    <w:rPr>
      <w:rFonts w:ascii="等线" w:hAnsi="等线" w:eastAsia="等线" w:cs="Times New Roman"/>
    </w:rPr>
  </w:style>
  <w:style w:type="character" w:customStyle="1" w:styleId="172">
    <w:name w:val="列表段落 字符"/>
    <w:qFormat/>
    <w:uiPriority w:val="0"/>
    <w:rPr>
      <w:rFonts w:ascii="Times New Roman" w:hAnsi="Times New Roman" w:eastAsia="宋体" w:cs="Times New Roman"/>
      <w:szCs w:val="21"/>
    </w:rPr>
  </w:style>
  <w:style w:type="character" w:customStyle="1" w:styleId="173">
    <w:name w:val="纯文本 Char1"/>
    <w:link w:val="24"/>
    <w:qFormat/>
    <w:locked/>
    <w:uiPriority w:val="0"/>
    <w:rPr>
      <w:rFonts w:ascii="宋体" w:hAnsi="Courier New" w:eastAsia="宋体" w:cs="Times New Roman"/>
      <w:kern w:val="0"/>
      <w:szCs w:val="21"/>
    </w:rPr>
  </w:style>
  <w:style w:type="character" w:customStyle="1" w:styleId="174">
    <w:name w:val="列出段落 Char"/>
    <w:qFormat/>
    <w:uiPriority w:val="0"/>
    <w:rPr>
      <w:rFonts w:ascii="Calibri" w:hAnsi="Calibri"/>
      <w:kern w:val="2"/>
      <w:sz w:val="21"/>
      <w:szCs w:val="22"/>
    </w:rPr>
  </w:style>
  <w:style w:type="character" w:customStyle="1" w:styleId="175">
    <w:name w:val="列出段落字符"/>
    <w:link w:val="111"/>
    <w:qFormat/>
    <w:locked/>
    <w:uiPriority w:val="0"/>
    <w:rPr>
      <w:rFonts w:ascii="Times New Roman" w:hAnsi="Times New Roman" w:eastAsia="宋体" w:cs="Times New Roman"/>
      <w:szCs w:val="21"/>
    </w:rPr>
  </w:style>
  <w:style w:type="character" w:customStyle="1" w:styleId="176">
    <w:name w:val="style1"/>
    <w:qFormat/>
    <w:uiPriority w:val="0"/>
  </w:style>
  <w:style w:type="character" w:customStyle="1" w:styleId="177">
    <w:name w:val="up"/>
    <w:qFormat/>
    <w:uiPriority w:val="0"/>
  </w:style>
  <w:style w:type="character" w:customStyle="1" w:styleId="178">
    <w:name w:val="正文文本缩进 3 Char1"/>
    <w:link w:val="35"/>
    <w:qFormat/>
    <w:locked/>
    <w:uiPriority w:val="0"/>
    <w:rPr>
      <w:rFonts w:ascii="等线" w:hAnsi="等线" w:eastAsia="等线" w:cs="Times New Roman"/>
      <w:sz w:val="28"/>
      <w:szCs w:val="24"/>
    </w:rPr>
  </w:style>
  <w:style w:type="character" w:customStyle="1" w:styleId="179">
    <w:name w:val="f101"/>
    <w:qFormat/>
    <w:uiPriority w:val="0"/>
    <w:rPr>
      <w:sz w:val="20"/>
      <w:szCs w:val="20"/>
    </w:rPr>
  </w:style>
  <w:style w:type="character" w:customStyle="1" w:styleId="180">
    <w:name w:val="style201"/>
    <w:qFormat/>
    <w:uiPriority w:val="0"/>
    <w:rPr>
      <w:sz w:val="27"/>
      <w:szCs w:val="27"/>
    </w:rPr>
  </w:style>
  <w:style w:type="character" w:customStyle="1" w:styleId="181">
    <w:name w:val="正文文本缩进 2 Char1"/>
    <w:link w:val="27"/>
    <w:qFormat/>
    <w:locked/>
    <w:uiPriority w:val="0"/>
    <w:rPr>
      <w:rFonts w:ascii="等线" w:hAnsi="等线" w:eastAsia="等线" w:cs="Times New Roman"/>
      <w:sz w:val="28"/>
      <w:szCs w:val="24"/>
    </w:rPr>
  </w:style>
  <w:style w:type="character" w:customStyle="1" w:styleId="182">
    <w:name w:val="标题 2 Char Char Char Char Char Char Char Char Char Char Char Char Char Char Char Char Char Char Char Char Char"/>
    <w:qFormat/>
    <w:uiPriority w:val="0"/>
  </w:style>
  <w:style w:type="character" w:customStyle="1" w:styleId="183">
    <w:name w:val="标题 3 Char1"/>
    <w:link w:val="4"/>
    <w:qFormat/>
    <w:uiPriority w:val="0"/>
    <w:rPr>
      <w:rFonts w:ascii="Times New Roman" w:hAnsi="Times New Roman" w:eastAsia="宋体" w:cs="Times New Roman"/>
      <w:b/>
      <w:sz w:val="32"/>
      <w:szCs w:val="20"/>
    </w:rPr>
  </w:style>
  <w:style w:type="character" w:customStyle="1" w:styleId="184">
    <w:name w:val="正文缩进 字符"/>
    <w:qFormat/>
    <w:uiPriority w:val="0"/>
  </w:style>
  <w:style w:type="character" w:customStyle="1" w:styleId="185">
    <w:name w:val="Char Char11"/>
    <w:link w:val="186"/>
    <w:qFormat/>
    <w:uiPriority w:val="0"/>
    <w:rPr>
      <w:sz w:val="24"/>
    </w:rPr>
  </w:style>
  <w:style w:type="paragraph" w:customStyle="1" w:styleId="186">
    <w:name w:val="正文文本缩进 Char Char"/>
    <w:basedOn w:val="1"/>
    <w:link w:val="185"/>
    <w:qFormat/>
    <w:uiPriority w:val="0"/>
    <w:pPr>
      <w:widowControl/>
      <w:spacing w:after="120"/>
      <w:ind w:left="420" w:leftChars="200"/>
      <w:jc w:val="left"/>
    </w:pPr>
    <w:rPr>
      <w:rFonts w:asciiTheme="minorHAnsi" w:hAnsiTheme="minorHAnsi" w:eastAsiaTheme="minorEastAsia" w:cstheme="minorBidi"/>
      <w:sz w:val="24"/>
      <w:szCs w:val="22"/>
    </w:rPr>
  </w:style>
  <w:style w:type="character" w:customStyle="1" w:styleId="187">
    <w:name w:val="标题 2 字符1"/>
    <w:qFormat/>
    <w:uiPriority w:val="0"/>
    <w:rPr>
      <w:rFonts w:ascii="Arial" w:hAnsi="Arial" w:eastAsia="黑体" w:cs="Times New Roman"/>
      <w:b/>
      <w:bCs/>
      <w:sz w:val="32"/>
      <w:szCs w:val="32"/>
    </w:rPr>
  </w:style>
  <w:style w:type="character" w:customStyle="1" w:styleId="188">
    <w:name w:val="Heading 3 Char"/>
    <w:qFormat/>
    <w:locked/>
    <w:uiPriority w:val="0"/>
    <w:rPr>
      <w:rFonts w:cs="Times New Roman"/>
      <w:b/>
      <w:kern w:val="2"/>
      <w:sz w:val="32"/>
    </w:rPr>
  </w:style>
  <w:style w:type="character" w:customStyle="1" w:styleId="189">
    <w:name w:val="style121"/>
    <w:qFormat/>
    <w:uiPriority w:val="0"/>
    <w:rPr>
      <w:b/>
      <w:bCs/>
      <w:color w:val="000000"/>
    </w:rPr>
  </w:style>
  <w:style w:type="character" w:customStyle="1" w:styleId="190">
    <w:name w:val="gray_91"/>
    <w:qFormat/>
    <w:uiPriority w:val="0"/>
    <w:rPr>
      <w:rFonts w:hint="default" w:ascii="ˎ̥" w:hAnsi="ˎ̥"/>
      <w:color w:val="666666"/>
      <w:sz w:val="18"/>
      <w:szCs w:val="18"/>
    </w:rPr>
  </w:style>
  <w:style w:type="character" w:customStyle="1" w:styleId="191">
    <w:name w:val="Char Char9"/>
    <w:qFormat/>
    <w:uiPriority w:val="0"/>
    <w:rPr>
      <w:rFonts w:eastAsia="宋体"/>
      <w:kern w:val="2"/>
      <w:sz w:val="18"/>
      <w:szCs w:val="18"/>
      <w:lang w:val="en-US" w:eastAsia="zh-CN" w:bidi="ar-SA"/>
    </w:rPr>
  </w:style>
  <w:style w:type="character" w:customStyle="1" w:styleId="192">
    <w:name w:val="e1"/>
    <w:qFormat/>
    <w:uiPriority w:val="0"/>
  </w:style>
  <w:style w:type="character" w:customStyle="1" w:styleId="193">
    <w:name w:val="标题 8 Char"/>
    <w:link w:val="9"/>
    <w:qFormat/>
    <w:locked/>
    <w:uiPriority w:val="0"/>
    <w:rPr>
      <w:rFonts w:ascii="Cambria" w:hAnsi="Cambria" w:eastAsia="宋体" w:cs="Times New Roman"/>
      <w:kern w:val="0"/>
      <w:sz w:val="24"/>
      <w:szCs w:val="24"/>
    </w:rPr>
  </w:style>
  <w:style w:type="character" w:customStyle="1" w:styleId="194">
    <w:name w:val="f10b"/>
    <w:qFormat/>
    <w:uiPriority w:val="0"/>
  </w:style>
  <w:style w:type="character" w:customStyle="1" w:styleId="195">
    <w:name w:val="Heading 1 Char"/>
    <w:qFormat/>
    <w:locked/>
    <w:uiPriority w:val="0"/>
    <w:rPr>
      <w:rFonts w:ascii="宋体" w:eastAsia="宋体" w:cs="Times New Roman"/>
      <w:b/>
      <w:kern w:val="44"/>
      <w:sz w:val="32"/>
    </w:rPr>
  </w:style>
  <w:style w:type="character" w:customStyle="1" w:styleId="196">
    <w:name w:val="批注主题 字符1"/>
    <w:qFormat/>
    <w:locked/>
    <w:uiPriority w:val="0"/>
    <w:rPr>
      <w:b/>
      <w:bCs/>
      <w:szCs w:val="24"/>
    </w:rPr>
  </w:style>
  <w:style w:type="character" w:customStyle="1" w:styleId="197">
    <w:name w:val="正文文本 字符1"/>
    <w:qFormat/>
    <w:locked/>
    <w:uiPriority w:val="0"/>
    <w:rPr>
      <w:rFonts w:ascii="宋体" w:hAnsi="宋体"/>
      <w:sz w:val="24"/>
      <w:szCs w:val="24"/>
    </w:rPr>
  </w:style>
  <w:style w:type="character" w:customStyle="1" w:styleId="198">
    <w:name w:val="条款样式 Char"/>
    <w:qFormat/>
    <w:locked/>
    <w:uiPriority w:val="0"/>
    <w:rPr>
      <w:rFonts w:ascii="Calibri" w:hAnsi="Calibri"/>
    </w:rPr>
  </w:style>
  <w:style w:type="character" w:customStyle="1" w:styleId="199">
    <w:name w:val="正文（首行缩进两字） Char"/>
    <w:qFormat/>
    <w:uiPriority w:val="0"/>
    <w:rPr>
      <w:rFonts w:eastAsia="宋体"/>
      <w:kern w:val="2"/>
      <w:sz w:val="21"/>
      <w:lang w:val="en-US" w:eastAsia="zh-CN" w:bidi="ar-SA"/>
    </w:rPr>
  </w:style>
  <w:style w:type="character" w:customStyle="1" w:styleId="200">
    <w:name w:val="ca-8"/>
    <w:qFormat/>
    <w:uiPriority w:val="0"/>
  </w:style>
  <w:style w:type="character" w:customStyle="1" w:styleId="201">
    <w:name w:val="huei12b1"/>
    <w:qFormat/>
    <w:uiPriority w:val="0"/>
    <w:rPr>
      <w:b/>
      <w:bCs/>
      <w:color w:val="333333"/>
      <w:sz w:val="18"/>
      <w:szCs w:val="18"/>
    </w:rPr>
  </w:style>
  <w:style w:type="character" w:customStyle="1" w:styleId="202">
    <w:name w:val="正文文本缩进 字符1"/>
    <w:qFormat/>
    <w:locked/>
    <w:uiPriority w:val="0"/>
    <w:rPr>
      <w:rFonts w:ascii="宋体" w:hAnsi="宋体"/>
      <w:sz w:val="28"/>
      <w:szCs w:val="24"/>
    </w:rPr>
  </w:style>
  <w:style w:type="character" w:customStyle="1" w:styleId="203">
    <w:name w:val="样式 正文首行缩进 + (符号) 宋体1 Char"/>
    <w:link w:val="204"/>
    <w:qFormat/>
    <w:uiPriority w:val="0"/>
    <w:rPr>
      <w:sz w:val="24"/>
    </w:rPr>
  </w:style>
  <w:style w:type="paragraph" w:customStyle="1" w:styleId="204">
    <w:name w:val="样式 正文首行缩进 + (符号) 宋体1"/>
    <w:basedOn w:val="44"/>
    <w:link w:val="203"/>
    <w:qFormat/>
    <w:uiPriority w:val="0"/>
    <w:pPr>
      <w:widowControl/>
      <w:spacing w:line="360" w:lineRule="auto"/>
      <w:ind w:firstLine="200" w:firstLineChars="200"/>
      <w:jc w:val="left"/>
    </w:pPr>
    <w:rPr>
      <w:rFonts w:asciiTheme="minorHAnsi" w:hAnsiTheme="minorHAnsi" w:eastAsiaTheme="minorEastAsia" w:cstheme="minorBidi"/>
      <w:sz w:val="24"/>
      <w:szCs w:val="22"/>
    </w:rPr>
  </w:style>
  <w:style w:type="character" w:customStyle="1" w:styleId="205">
    <w:name w:val="span_paramvalue"/>
    <w:qFormat/>
    <w:uiPriority w:val="0"/>
  </w:style>
  <w:style w:type="character" w:customStyle="1" w:styleId="206">
    <w:name w:val="批注文字 Char"/>
    <w:qFormat/>
    <w:locked/>
    <w:uiPriority w:val="0"/>
    <w:rPr>
      <w:kern w:val="2"/>
      <w:sz w:val="21"/>
      <w:szCs w:val="24"/>
    </w:rPr>
  </w:style>
  <w:style w:type="character" w:customStyle="1" w:styleId="207">
    <w:name w:val="页脚 Char"/>
    <w:qFormat/>
    <w:uiPriority w:val="99"/>
    <w:rPr>
      <w:kern w:val="2"/>
      <w:sz w:val="18"/>
      <w:szCs w:val="18"/>
    </w:rPr>
  </w:style>
  <w:style w:type="character" w:customStyle="1" w:styleId="208">
    <w:name w:val="dash6b63-6587--char"/>
    <w:qFormat/>
    <w:uiPriority w:val="0"/>
  </w:style>
  <w:style w:type="character" w:customStyle="1" w:styleId="209">
    <w:name w:val="普通文字 Char3"/>
    <w:qFormat/>
    <w:uiPriority w:val="0"/>
    <w:rPr>
      <w:rFonts w:ascii="宋体" w:hAnsi="Courier New" w:eastAsia="宋体"/>
      <w:kern w:val="2"/>
      <w:sz w:val="21"/>
      <w:lang w:val="en-US" w:eastAsia="zh-CN" w:bidi="ar-SA"/>
    </w:rPr>
  </w:style>
  <w:style w:type="character" w:customStyle="1" w:styleId="210">
    <w:name w:val="Normal Indent Char"/>
    <w:qFormat/>
    <w:locked/>
    <w:uiPriority w:val="0"/>
    <w:rPr>
      <w:rFonts w:ascii="Times New Roman" w:hAnsi="Times New Roman" w:eastAsia="宋体"/>
      <w:sz w:val="24"/>
    </w:rPr>
  </w:style>
  <w:style w:type="character" w:customStyle="1" w:styleId="211">
    <w:name w:val="标题 4 Char1"/>
    <w:link w:val="5"/>
    <w:qFormat/>
    <w:locked/>
    <w:uiPriority w:val="0"/>
    <w:rPr>
      <w:rFonts w:ascii="Arial" w:hAnsi="Arial" w:eastAsia="黑体" w:cs="Times New Roman"/>
      <w:b/>
      <w:sz w:val="28"/>
      <w:szCs w:val="20"/>
    </w:rPr>
  </w:style>
  <w:style w:type="character" w:customStyle="1" w:styleId="212">
    <w:name w:val="目录 1 Char"/>
    <w:link w:val="31"/>
    <w:qFormat/>
    <w:uiPriority w:val="0"/>
    <w:rPr>
      <w:rFonts w:ascii="Times New Roman" w:hAnsi="Times New Roman" w:eastAsia="宋体" w:cs="Times New Roman"/>
      <w:b/>
      <w:bCs/>
      <w:caps/>
      <w:sz w:val="28"/>
      <w:szCs w:val="28"/>
    </w:rPr>
  </w:style>
  <w:style w:type="character" w:customStyle="1" w:styleId="213">
    <w:name w:val="Heading 2 Char"/>
    <w:qFormat/>
    <w:locked/>
    <w:uiPriority w:val="0"/>
    <w:rPr>
      <w:rFonts w:ascii="华文中宋" w:eastAsia="华文中宋" w:cs="Times New Roman"/>
      <w:b/>
      <w:kern w:val="2"/>
      <w:sz w:val="32"/>
    </w:rPr>
  </w:style>
  <w:style w:type="character" w:customStyle="1" w:styleId="214">
    <w:name w:val="文档结构图 字符1"/>
    <w:qFormat/>
    <w:locked/>
    <w:uiPriority w:val="0"/>
    <w:rPr>
      <w:szCs w:val="24"/>
      <w:shd w:val="clear" w:color="auto" w:fill="000080"/>
    </w:rPr>
  </w:style>
  <w:style w:type="character" w:customStyle="1" w:styleId="215">
    <w:name w:val="普通文字 Char4"/>
    <w:qFormat/>
    <w:uiPriority w:val="0"/>
    <w:rPr>
      <w:rFonts w:ascii="宋体" w:hAnsi="Courier New" w:eastAsia="宋体"/>
      <w:kern w:val="2"/>
      <w:sz w:val="21"/>
      <w:lang w:val="en-US" w:eastAsia="zh-CN" w:bidi="ar-SA"/>
    </w:rPr>
  </w:style>
  <w:style w:type="character" w:customStyle="1" w:styleId="216">
    <w:name w:val="修订 字符"/>
    <w:link w:val="170"/>
    <w:qFormat/>
    <w:uiPriority w:val="0"/>
    <w:rPr>
      <w:rFonts w:ascii="Times New Roman" w:hAnsi="Times New Roman" w:eastAsia="宋体" w:cs="Times New Roman"/>
      <w:szCs w:val="21"/>
    </w:rPr>
  </w:style>
  <w:style w:type="character" w:customStyle="1" w:styleId="217">
    <w:name w:val="ca-11"/>
    <w:qFormat/>
    <w:uiPriority w:val="0"/>
  </w:style>
  <w:style w:type="character" w:customStyle="1" w:styleId="218">
    <w:name w:val="dw41"/>
    <w:qFormat/>
    <w:uiPriority w:val="0"/>
    <w:rPr>
      <w:color w:val="FFFFFF"/>
      <w:sz w:val="18"/>
      <w:szCs w:val="18"/>
      <w:u w:val="none"/>
    </w:rPr>
  </w:style>
  <w:style w:type="character" w:customStyle="1" w:styleId="219">
    <w:name w:val="标题 6 Char"/>
    <w:link w:val="7"/>
    <w:qFormat/>
    <w:locked/>
    <w:uiPriority w:val="0"/>
    <w:rPr>
      <w:rFonts w:ascii="Arial" w:hAnsi="Arial" w:eastAsia="宋体" w:cs="Times New Roman"/>
      <w:b/>
      <w:bCs/>
      <w:kern w:val="0"/>
      <w:sz w:val="28"/>
      <w:szCs w:val="18"/>
    </w:rPr>
  </w:style>
  <w:style w:type="character" w:customStyle="1" w:styleId="220">
    <w:name w:val="unnamed11"/>
    <w:qFormat/>
    <w:uiPriority w:val="0"/>
    <w:rPr>
      <w:sz w:val="18"/>
      <w:szCs w:val="18"/>
    </w:rPr>
  </w:style>
  <w:style w:type="character" w:customStyle="1" w:styleId="221">
    <w:name w:val="标题 5 Char"/>
    <w:link w:val="6"/>
    <w:qFormat/>
    <w:locked/>
    <w:uiPriority w:val="0"/>
    <w:rPr>
      <w:rFonts w:ascii="Times New Roman" w:hAnsi="Times New Roman" w:eastAsia="宋体" w:cs="Times New Roman"/>
      <w:b/>
      <w:bCs/>
      <w:kern w:val="0"/>
      <w:sz w:val="28"/>
      <w:szCs w:val="28"/>
    </w:rPr>
  </w:style>
  <w:style w:type="character" w:customStyle="1" w:styleId="222">
    <w:name w:val="hei12b1"/>
    <w:qFormat/>
    <w:uiPriority w:val="0"/>
    <w:rPr>
      <w:b/>
      <w:bCs/>
      <w:color w:val="000000"/>
      <w:sz w:val="18"/>
      <w:szCs w:val="18"/>
    </w:rPr>
  </w:style>
  <w:style w:type="character" w:customStyle="1" w:styleId="223">
    <w:name w:val="（符号）邀请函中一、"/>
    <w:qFormat/>
    <w:uiPriority w:val="0"/>
    <w:rPr>
      <w:rFonts w:ascii="黑体" w:hAnsi="黑体" w:eastAsia="黑体"/>
      <w:b/>
      <w:sz w:val="24"/>
    </w:rPr>
  </w:style>
  <w:style w:type="character" w:customStyle="1" w:styleId="224">
    <w:name w:val="标题 7 Char"/>
    <w:link w:val="8"/>
    <w:qFormat/>
    <w:locked/>
    <w:uiPriority w:val="0"/>
    <w:rPr>
      <w:rFonts w:ascii="Times New Roman" w:hAnsi="Times New Roman" w:eastAsia="宋体" w:cs="Times New Roman"/>
      <w:b/>
      <w:bCs/>
      <w:kern w:val="0"/>
      <w:sz w:val="24"/>
      <w:szCs w:val="24"/>
    </w:rPr>
  </w:style>
  <w:style w:type="character" w:customStyle="1" w:styleId="225">
    <w:name w:val="Table Text Char"/>
    <w:link w:val="226"/>
    <w:qFormat/>
    <w:uiPriority w:val="0"/>
    <w:rPr>
      <w:snapToGrid w:val="0"/>
      <w:szCs w:val="21"/>
    </w:rPr>
  </w:style>
  <w:style w:type="paragraph" w:customStyle="1" w:styleId="226">
    <w:name w:val="Table Text"/>
    <w:basedOn w:val="1"/>
    <w:link w:val="225"/>
    <w:qFormat/>
    <w:uiPriority w:val="0"/>
    <w:pPr>
      <w:topLinePunct/>
      <w:adjustRightInd w:val="0"/>
      <w:snapToGrid w:val="0"/>
      <w:spacing w:before="80" w:after="80" w:line="240" w:lineRule="atLeast"/>
      <w:jc w:val="left"/>
    </w:pPr>
    <w:rPr>
      <w:rFonts w:asciiTheme="minorHAnsi" w:hAnsiTheme="minorHAnsi" w:eastAsiaTheme="minorEastAsia" w:cstheme="minorBidi"/>
      <w:snapToGrid w:val="0"/>
      <w:szCs w:val="21"/>
    </w:rPr>
  </w:style>
  <w:style w:type="character" w:customStyle="1" w:styleId="227">
    <w:name w:val="Item List Char"/>
    <w:link w:val="228"/>
    <w:qFormat/>
    <w:uiPriority w:val="0"/>
    <w:rPr>
      <w:rFonts w:cs="Arial"/>
      <w:szCs w:val="21"/>
    </w:rPr>
  </w:style>
  <w:style w:type="paragraph" w:customStyle="1" w:styleId="228">
    <w:name w:val="Item List"/>
    <w:basedOn w:val="1"/>
    <w:link w:val="227"/>
    <w:qFormat/>
    <w:uiPriority w:val="0"/>
    <w:pPr>
      <w:widowControl/>
      <w:adjustRightInd w:val="0"/>
      <w:snapToGrid w:val="0"/>
      <w:spacing w:before="80" w:after="80" w:line="240" w:lineRule="atLeast"/>
      <w:ind w:left="2126" w:hanging="425"/>
      <w:jc w:val="left"/>
    </w:pPr>
    <w:rPr>
      <w:rFonts w:cs="Arial" w:asciiTheme="minorHAnsi" w:hAnsiTheme="minorHAnsi" w:eastAsiaTheme="minorEastAsia"/>
      <w:szCs w:val="21"/>
    </w:rPr>
  </w:style>
  <w:style w:type="character" w:customStyle="1" w:styleId="229">
    <w:name w:val="批注框文本 字符1"/>
    <w:qFormat/>
    <w:uiPriority w:val="0"/>
    <w:rPr>
      <w:rFonts w:ascii="Times New Roman" w:hAnsi="Times New Roman" w:eastAsia="宋体" w:cs="Times New Roman"/>
      <w:sz w:val="18"/>
      <w:szCs w:val="18"/>
    </w:rPr>
  </w:style>
  <w:style w:type="character" w:customStyle="1" w:styleId="230">
    <w:name w:val="页眉 Char"/>
    <w:qFormat/>
    <w:uiPriority w:val="0"/>
    <w:rPr>
      <w:kern w:val="2"/>
      <w:sz w:val="18"/>
      <w:szCs w:val="18"/>
    </w:rPr>
  </w:style>
  <w:style w:type="paragraph" w:customStyle="1" w:styleId="231">
    <w:name w:val="表格"/>
    <w:basedOn w:val="1"/>
    <w:qFormat/>
    <w:uiPriority w:val="0"/>
    <w:pPr>
      <w:spacing w:line="400" w:lineRule="exact"/>
    </w:pPr>
    <w:rPr>
      <w:sz w:val="24"/>
    </w:rPr>
  </w:style>
  <w:style w:type="paragraph" w:customStyle="1" w:styleId="232">
    <w:name w:val="p0"/>
    <w:basedOn w:val="1"/>
    <w:qFormat/>
    <w:uiPriority w:val="0"/>
    <w:pPr>
      <w:widowControl/>
      <w:spacing w:before="100" w:beforeAutospacing="1" w:after="100" w:afterAutospacing="1"/>
      <w:jc w:val="left"/>
    </w:pPr>
    <w:rPr>
      <w:rFonts w:ascii="宋体" w:hAnsi="宋体" w:cs="宋体"/>
      <w:kern w:val="0"/>
      <w:sz w:val="24"/>
    </w:rPr>
  </w:style>
  <w:style w:type="paragraph" w:customStyle="1" w:styleId="233">
    <w:name w:val="10-sinobest-标注（3）"/>
    <w:basedOn w:val="1"/>
    <w:qFormat/>
    <w:uiPriority w:val="0"/>
    <w:pPr>
      <w:tabs>
        <w:tab w:val="left" w:pos="840"/>
      </w:tabs>
      <w:spacing w:line="360" w:lineRule="auto"/>
      <w:ind w:left="501" w:hanging="360"/>
    </w:pPr>
    <w:rPr>
      <w:sz w:val="24"/>
    </w:rPr>
  </w:style>
  <w:style w:type="paragraph" w:customStyle="1" w:styleId="234">
    <w:name w:val="MM Topic 8"/>
    <w:basedOn w:val="9"/>
    <w:next w:val="235"/>
    <w:qFormat/>
    <w:uiPriority w:val="0"/>
    <w:pPr>
      <w:tabs>
        <w:tab w:val="left" w:pos="4394"/>
      </w:tabs>
    </w:pPr>
    <w:rPr>
      <w:rFonts w:ascii="Arial" w:hAnsi="Arial" w:eastAsia="黑体"/>
    </w:rPr>
  </w:style>
  <w:style w:type="paragraph" w:customStyle="1" w:styleId="235">
    <w:name w:val="文章正文"/>
    <w:basedOn w:val="1"/>
    <w:qFormat/>
    <w:uiPriority w:val="0"/>
    <w:pPr>
      <w:spacing w:line="360" w:lineRule="auto"/>
      <w:ind w:firstLine="420"/>
    </w:pPr>
    <w:rPr>
      <w:sz w:val="24"/>
    </w:rPr>
  </w:style>
  <w:style w:type="paragraph" w:customStyle="1" w:styleId="236">
    <w:name w:val="标题 11"/>
    <w:basedOn w:val="1"/>
    <w:next w:val="1"/>
    <w:qFormat/>
    <w:uiPriority w:val="0"/>
    <w:pPr>
      <w:keepNext/>
      <w:keepLines/>
      <w:spacing w:before="340" w:after="330" w:line="578" w:lineRule="auto"/>
      <w:outlineLvl w:val="0"/>
    </w:pPr>
    <w:rPr>
      <w:b/>
      <w:bCs/>
      <w:kern w:val="44"/>
      <w:sz w:val="44"/>
      <w:szCs w:val="44"/>
    </w:rPr>
  </w:style>
  <w:style w:type="paragraph" w:customStyle="1" w:styleId="237">
    <w:name w:val="样式 样式 样式 标题 2 + 宋体 五号 非加粗 黑色 + 段前: 6 磅 段后: 0 磅 行距: 单倍行距 + 段前: 12..."/>
    <w:basedOn w:val="1"/>
    <w:qFormat/>
    <w:uiPriority w:val="0"/>
    <w:pPr>
      <w:keepNext/>
      <w:keepLines/>
      <w:numPr>
        <w:ilvl w:val="0"/>
        <w:numId w:val="1"/>
      </w:numPr>
      <w:tabs>
        <w:tab w:val="left" w:pos="1680"/>
        <w:tab w:val="left" w:pos="2100"/>
      </w:tabs>
      <w:adjustRightInd w:val="0"/>
      <w:spacing w:before="240"/>
      <w:jc w:val="left"/>
      <w:textAlignment w:val="baseline"/>
      <w:outlineLvl w:val="1"/>
    </w:pPr>
    <w:rPr>
      <w:rFonts w:ascii="宋体" w:hAnsi="宋体" w:cs="宋体"/>
      <w:color w:val="000000"/>
      <w:kern w:val="0"/>
      <w:szCs w:val="20"/>
    </w:rPr>
  </w:style>
  <w:style w:type="paragraph" w:customStyle="1" w:styleId="238">
    <w:name w:val="正文(首行缩进)"/>
    <w:basedOn w:val="1"/>
    <w:qFormat/>
    <w:uiPriority w:val="0"/>
    <w:pPr>
      <w:ind w:firstLine="200" w:firstLineChars="200"/>
    </w:pPr>
    <w:rPr>
      <w:rFonts w:ascii="Arial Narrow" w:hAnsi="Arial Narrow"/>
      <w:szCs w:val="20"/>
    </w:rPr>
  </w:style>
  <w:style w:type="paragraph" w:customStyle="1" w:styleId="239">
    <w:name w:val="默认段落字体 Para Char Char Char Char Char Char Char Char Char Char Char Char Char Char Char1 Char Char Char Char"/>
    <w:basedOn w:val="127"/>
    <w:qFormat/>
    <w:uiPriority w:val="0"/>
    <w:pPr>
      <w:adjustRightInd w:val="0"/>
      <w:spacing w:line="436" w:lineRule="exact"/>
      <w:ind w:left="357"/>
      <w:outlineLvl w:val="3"/>
    </w:pPr>
    <w:rPr>
      <w:rFonts w:ascii="Tahoma" w:hAnsi="Tahoma"/>
      <w:b/>
    </w:rPr>
  </w:style>
  <w:style w:type="paragraph" w:customStyle="1" w:styleId="240">
    <w:name w:val="正文1"/>
    <w:qFormat/>
    <w:uiPriority w:val="0"/>
    <w:pPr>
      <w:widowControl w:val="0"/>
      <w:adjustRightInd w:val="0"/>
      <w:spacing w:line="312" w:lineRule="atLeast"/>
      <w:jc w:val="both"/>
      <w:textAlignment w:val="baseline"/>
    </w:pPr>
    <w:rPr>
      <w:rFonts w:ascii="宋体" w:hAnsi="Times New Roman" w:eastAsia="宋体" w:cs="Times New Roman"/>
      <w:sz w:val="34"/>
      <w:lang w:val="en-US" w:eastAsia="zh-CN" w:bidi="ar-SA"/>
    </w:rPr>
  </w:style>
  <w:style w:type="character" w:customStyle="1" w:styleId="241">
    <w:name w:val="HTML 预设格式 Char"/>
    <w:basedOn w:val="49"/>
    <w:link w:val="39"/>
    <w:qFormat/>
    <w:uiPriority w:val="0"/>
    <w:rPr>
      <w:rFonts w:ascii="宋体" w:hAnsi="宋体" w:eastAsia="宋体" w:cs="宋体"/>
      <w:kern w:val="0"/>
      <w:sz w:val="24"/>
      <w:szCs w:val="24"/>
    </w:rPr>
  </w:style>
  <w:style w:type="character" w:customStyle="1" w:styleId="242">
    <w:name w:val="正文文本 2 Char"/>
    <w:basedOn w:val="49"/>
    <w:link w:val="38"/>
    <w:qFormat/>
    <w:uiPriority w:val="0"/>
    <w:rPr>
      <w:rFonts w:ascii="宋体" w:hAnsi="宋体" w:eastAsia="宋体" w:cs="Times New Roman"/>
      <w:color w:val="000000"/>
      <w:sz w:val="18"/>
      <w:szCs w:val="18"/>
    </w:rPr>
  </w:style>
  <w:style w:type="paragraph" w:customStyle="1" w:styleId="243">
    <w:name w:val="正文空两格"/>
    <w:basedOn w:val="1"/>
    <w:qFormat/>
    <w:uiPriority w:val="0"/>
    <w:pPr>
      <w:widowControl/>
      <w:spacing w:before="120" w:line="300" w:lineRule="auto"/>
      <w:ind w:left="1440" w:hanging="480"/>
    </w:pPr>
    <w:rPr>
      <w:rFonts w:ascii="宋体"/>
      <w:sz w:val="24"/>
      <w:szCs w:val="21"/>
    </w:rPr>
  </w:style>
  <w:style w:type="paragraph" w:customStyle="1" w:styleId="244">
    <w:name w:val="pit正文"/>
    <w:basedOn w:val="1"/>
    <w:qFormat/>
    <w:uiPriority w:val="0"/>
    <w:pPr>
      <w:spacing w:line="400" w:lineRule="exact"/>
    </w:pPr>
    <w:rPr>
      <w:spacing w:val="20"/>
      <w:sz w:val="24"/>
      <w:szCs w:val="20"/>
    </w:rPr>
  </w:style>
  <w:style w:type="paragraph" w:customStyle="1" w:styleId="245">
    <w:name w:val="Char1"/>
    <w:basedOn w:val="1"/>
    <w:qFormat/>
    <w:uiPriority w:val="0"/>
    <w:rPr>
      <w:rFonts w:ascii="Tahoma" w:hAnsi="Tahoma"/>
      <w:sz w:val="24"/>
      <w:szCs w:val="20"/>
    </w:rPr>
  </w:style>
  <w:style w:type="paragraph" w:customStyle="1" w:styleId="246">
    <w:name w:val="tabletext"/>
    <w:basedOn w:val="1"/>
    <w:qFormat/>
    <w:uiPriority w:val="0"/>
    <w:pPr>
      <w:widowControl/>
      <w:spacing w:before="100" w:beforeAutospacing="1" w:after="100" w:afterAutospacing="1"/>
      <w:jc w:val="left"/>
    </w:pPr>
    <w:rPr>
      <w:rFonts w:ascii="宋体" w:hAnsi="宋体" w:cs="宋体"/>
      <w:kern w:val="0"/>
      <w:sz w:val="24"/>
    </w:rPr>
  </w:style>
  <w:style w:type="paragraph" w:customStyle="1" w:styleId="247">
    <w:name w:val="段落正文"/>
    <w:basedOn w:val="1"/>
    <w:link w:val="353"/>
    <w:qFormat/>
    <w:uiPriority w:val="0"/>
    <w:pPr>
      <w:ind w:firstLine="480" w:firstLineChars="200"/>
    </w:pPr>
    <w:rPr>
      <w:rFonts w:ascii="宋体" w:hAnsi="Cambria" w:eastAsia="等线"/>
      <w:szCs w:val="22"/>
    </w:rPr>
  </w:style>
  <w:style w:type="paragraph" w:customStyle="1" w:styleId="248">
    <w:name w:val="标准正文"/>
    <w:basedOn w:val="1"/>
    <w:next w:val="35"/>
    <w:qFormat/>
    <w:uiPriority w:val="0"/>
    <w:pPr>
      <w:spacing w:before="60" w:after="60" w:line="360" w:lineRule="auto"/>
      <w:ind w:firstLine="482"/>
    </w:pPr>
    <w:rPr>
      <w:rFonts w:ascii="宋体" w:hAnsi="宋体" w:cs="宋体"/>
      <w:sz w:val="24"/>
    </w:rPr>
  </w:style>
  <w:style w:type="paragraph" w:customStyle="1" w:styleId="249">
    <w:name w:val="Default"/>
    <w:qFormat/>
    <w:uiPriority w:val="0"/>
    <w:pPr>
      <w:widowControl w:val="0"/>
      <w:autoSpaceDE w:val="0"/>
      <w:autoSpaceDN w:val="0"/>
      <w:adjustRightInd w:val="0"/>
    </w:pPr>
    <w:rPr>
      <w:rFonts w:ascii="楷体_GB2312" w:hAnsi="Calibri" w:eastAsia="楷体_GB2312" w:cs="楷体_GB2312"/>
      <w:color w:val="000000"/>
      <w:sz w:val="24"/>
      <w:szCs w:val="24"/>
      <w:lang w:val="en-US" w:eastAsia="zh-CN" w:bidi="ar-SA"/>
    </w:rPr>
  </w:style>
  <w:style w:type="paragraph" w:customStyle="1" w:styleId="250">
    <w:name w:val="Char Char2"/>
    <w:basedOn w:val="127"/>
    <w:qFormat/>
    <w:uiPriority w:val="0"/>
  </w:style>
  <w:style w:type="paragraph" w:customStyle="1" w:styleId="251">
    <w:name w:val="方案文档"/>
    <w:basedOn w:val="1"/>
    <w:qFormat/>
    <w:uiPriority w:val="0"/>
    <w:pPr>
      <w:spacing w:before="120" w:after="120" w:line="360" w:lineRule="auto"/>
      <w:ind w:firstLine="567"/>
    </w:pPr>
    <w:rPr>
      <w:rFonts w:ascii="Arial" w:hAnsi="Arial"/>
      <w:sz w:val="24"/>
      <w:szCs w:val="20"/>
    </w:rPr>
  </w:style>
  <w:style w:type="paragraph" w:customStyle="1" w:styleId="252">
    <w:name w:val="09正文_wh"/>
    <w:qFormat/>
    <w:uiPriority w:val="0"/>
    <w:pPr>
      <w:spacing w:line="300" w:lineRule="auto"/>
      <w:ind w:firstLine="200" w:firstLineChars="200"/>
      <w:jc w:val="both"/>
    </w:pPr>
    <w:rPr>
      <w:rFonts w:ascii="Times New Roman" w:hAnsi="Times New Roman" w:eastAsia="宋体" w:cs="Times New Roman"/>
      <w:kern w:val="2"/>
      <w:sz w:val="28"/>
      <w:szCs w:val="24"/>
      <w:lang w:val="en-US" w:eastAsia="zh-CN" w:bidi="ar-SA"/>
    </w:rPr>
  </w:style>
  <w:style w:type="paragraph" w:customStyle="1" w:styleId="253">
    <w:name w:val="列项——（一级）"/>
    <w:qFormat/>
    <w:uiPriority w:val="0"/>
    <w:pPr>
      <w:widowControl w:val="0"/>
      <w:tabs>
        <w:tab w:val="left" w:pos="854"/>
      </w:tabs>
      <w:ind w:left="200" w:leftChars="200" w:hanging="200" w:hangingChars="200"/>
      <w:jc w:val="both"/>
    </w:pPr>
    <w:rPr>
      <w:rFonts w:ascii="宋体" w:hAnsi="Times New Roman" w:eastAsia="宋体" w:cs="Times New Roman"/>
      <w:sz w:val="21"/>
      <w:lang w:val="en-US" w:eastAsia="zh-CN" w:bidi="ar-SA"/>
    </w:rPr>
  </w:style>
  <w:style w:type="paragraph" w:customStyle="1" w:styleId="254">
    <w:name w:val="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255">
    <w:name w:val="样式 小四 首行缩进:  0.85 厘米 行距: 1.5 倍行距"/>
    <w:basedOn w:val="1"/>
    <w:qFormat/>
    <w:uiPriority w:val="0"/>
    <w:pPr>
      <w:adjustRightInd w:val="0"/>
      <w:spacing w:before="12" w:after="12" w:line="360" w:lineRule="auto"/>
      <w:ind w:firstLine="480" w:firstLineChars="200"/>
      <w:textAlignment w:val="baseline"/>
    </w:pPr>
    <w:rPr>
      <w:rFonts w:ascii="宋体" w:hAnsi="宋体" w:cs="宋体"/>
      <w:kern w:val="0"/>
      <w:sz w:val="24"/>
      <w:szCs w:val="20"/>
    </w:rPr>
  </w:style>
  <w:style w:type="paragraph" w:customStyle="1" w:styleId="256">
    <w:name w:val="表格列样式"/>
    <w:basedOn w:val="1"/>
    <w:qFormat/>
    <w:uiPriority w:val="0"/>
    <w:pPr>
      <w:spacing w:line="360" w:lineRule="auto"/>
      <w:jc w:val="left"/>
    </w:pPr>
    <w:rPr>
      <w:rFonts w:ascii="宋体" w:hAnsi="宋体"/>
      <w:color w:val="000000"/>
      <w:sz w:val="24"/>
      <w:szCs w:val="21"/>
    </w:rPr>
  </w:style>
  <w:style w:type="paragraph" w:customStyle="1" w:styleId="257">
    <w:name w:val="样式 首行缩进:  2 字符"/>
    <w:basedOn w:val="1"/>
    <w:qFormat/>
    <w:uiPriority w:val="0"/>
    <w:pPr>
      <w:spacing w:line="400" w:lineRule="exact"/>
      <w:ind w:firstLine="200" w:firstLineChars="200"/>
    </w:pPr>
    <w:rPr>
      <w:rFonts w:cs="宋体"/>
      <w:sz w:val="24"/>
    </w:rPr>
  </w:style>
  <w:style w:type="paragraph" w:customStyle="1" w:styleId="258">
    <w:name w:val="论文正文"/>
    <w:basedOn w:val="1"/>
    <w:qFormat/>
    <w:uiPriority w:val="0"/>
    <w:pPr>
      <w:spacing w:line="360" w:lineRule="auto"/>
      <w:ind w:firstLine="540" w:firstLineChars="192"/>
    </w:pPr>
    <w:rPr>
      <w:rFonts w:ascii="宋体" w:hAnsi="宋体"/>
      <w:b/>
      <w:bCs/>
      <w:color w:val="000000"/>
      <w:sz w:val="28"/>
      <w:szCs w:val="28"/>
    </w:rPr>
  </w:style>
  <w:style w:type="paragraph" w:customStyle="1" w:styleId="259">
    <w:name w:val="4端"/>
    <w:basedOn w:val="5"/>
    <w:qFormat/>
    <w:uiPriority w:val="0"/>
    <w:pPr>
      <w:tabs>
        <w:tab w:val="left" w:pos="360"/>
      </w:tabs>
      <w:spacing w:before="60" w:after="60" w:line="360" w:lineRule="auto"/>
      <w:ind w:left="630" w:leftChars="300" w:hanging="113"/>
      <w:jc w:val="left"/>
    </w:pPr>
    <w:rPr>
      <w:rFonts w:ascii="宋体" w:hAnsi="宋体" w:eastAsia="仿宋_GB2312" w:cs="宋体"/>
      <w:bCs/>
      <w:szCs w:val="28"/>
    </w:rPr>
  </w:style>
  <w:style w:type="paragraph" w:customStyle="1" w:styleId="260">
    <w:name w:val="样式"/>
    <w:qFormat/>
    <w:uiPriority w:val="0"/>
    <w:pPr>
      <w:widowControl w:val="0"/>
      <w:autoSpaceDE w:val="0"/>
      <w:autoSpaceDN w:val="0"/>
      <w:adjustRightInd w:val="0"/>
    </w:pPr>
    <w:rPr>
      <w:rFonts w:ascii="宋体" w:hAnsi="宋体" w:eastAsia="宋体" w:cs="宋体"/>
      <w:sz w:val="24"/>
      <w:szCs w:val="24"/>
      <w:lang w:val="en-US" w:eastAsia="zh-CN" w:bidi="ar-SA"/>
    </w:rPr>
  </w:style>
  <w:style w:type="paragraph" w:customStyle="1" w:styleId="261">
    <w:name w:val="标准段落"/>
    <w:basedOn w:val="1"/>
    <w:qFormat/>
    <w:uiPriority w:val="0"/>
    <w:pPr>
      <w:topLinePunct/>
      <w:autoSpaceDE w:val="0"/>
      <w:autoSpaceDN w:val="0"/>
      <w:spacing w:line="360" w:lineRule="auto"/>
      <w:ind w:firstLine="560" w:firstLineChars="200"/>
    </w:pPr>
    <w:rPr>
      <w:rFonts w:eastAsia="仿宋_GB2312"/>
      <w:sz w:val="28"/>
      <w:lang w:bidi="th-TH"/>
    </w:rPr>
  </w:style>
  <w:style w:type="paragraph" w:customStyle="1" w:styleId="262">
    <w:name w:val="dash6b63-6587"/>
    <w:basedOn w:val="1"/>
    <w:qFormat/>
    <w:uiPriority w:val="0"/>
    <w:pPr>
      <w:widowControl/>
      <w:spacing w:before="100" w:beforeAutospacing="1" w:after="100" w:afterAutospacing="1"/>
      <w:jc w:val="left"/>
    </w:pPr>
    <w:rPr>
      <w:rFonts w:ascii="宋体" w:hAnsi="宋体"/>
      <w:kern w:val="0"/>
      <w:sz w:val="24"/>
    </w:rPr>
  </w:style>
  <w:style w:type="paragraph" w:customStyle="1" w:styleId="263">
    <w:name w:val="_Style 16"/>
    <w:basedOn w:val="1"/>
    <w:qFormat/>
    <w:uiPriority w:val="0"/>
    <w:pPr>
      <w:spacing w:line="360" w:lineRule="auto"/>
      <w:ind w:firstLine="200" w:firstLineChars="200"/>
    </w:pPr>
    <w:rPr>
      <w:rFonts w:ascii="宋体" w:hAnsi="宋体" w:cs="宋体"/>
      <w:sz w:val="24"/>
    </w:rPr>
  </w:style>
  <w:style w:type="paragraph" w:customStyle="1" w:styleId="264">
    <w:name w:val="正文首行缩进两字符"/>
    <w:basedOn w:val="1"/>
    <w:qFormat/>
    <w:uiPriority w:val="0"/>
    <w:pPr>
      <w:spacing w:line="360" w:lineRule="auto"/>
      <w:ind w:firstLine="200" w:firstLineChars="200"/>
    </w:pPr>
  </w:style>
  <w:style w:type="paragraph" w:customStyle="1" w:styleId="265">
    <w:name w:val="本文正文"/>
    <w:basedOn w:val="1"/>
    <w:qFormat/>
    <w:uiPriority w:val="0"/>
    <w:pPr>
      <w:spacing w:line="360" w:lineRule="auto"/>
      <w:ind w:firstLine="480" w:firstLineChars="200"/>
    </w:pPr>
    <w:rPr>
      <w:rFonts w:ascii="宋体"/>
      <w:bCs/>
      <w:sz w:val="24"/>
    </w:rPr>
  </w:style>
  <w:style w:type="paragraph" w:customStyle="1" w:styleId="266">
    <w:name w:val="pa-11"/>
    <w:basedOn w:val="1"/>
    <w:qFormat/>
    <w:uiPriority w:val="0"/>
    <w:pPr>
      <w:widowControl/>
      <w:spacing w:before="100" w:beforeAutospacing="1" w:after="100" w:afterAutospacing="1"/>
      <w:jc w:val="left"/>
    </w:pPr>
    <w:rPr>
      <w:rFonts w:ascii="宋体" w:hAnsi="宋体" w:cs="宋体"/>
      <w:kern w:val="0"/>
      <w:sz w:val="24"/>
    </w:rPr>
  </w:style>
  <w:style w:type="paragraph" w:customStyle="1" w:styleId="267">
    <w:name w:val="Char Char Char"/>
    <w:basedOn w:val="1"/>
    <w:qFormat/>
    <w:uiPriority w:val="0"/>
    <w:rPr>
      <w:rFonts w:ascii="Tahoma" w:hAnsi="Tahoma"/>
      <w:sz w:val="24"/>
      <w:szCs w:val="20"/>
    </w:rPr>
  </w:style>
  <w:style w:type="paragraph" w:customStyle="1" w:styleId="268">
    <w:name w:val="Char Char Char Char"/>
    <w:basedOn w:val="1"/>
    <w:qFormat/>
    <w:uiPriority w:val="0"/>
    <w:rPr>
      <w:rFonts w:ascii="Tahoma" w:hAnsi="Tahoma"/>
      <w:sz w:val="24"/>
      <w:szCs w:val="20"/>
    </w:rPr>
  </w:style>
  <w:style w:type="paragraph" w:customStyle="1" w:styleId="269">
    <w:name w:val="样式 正文首行缩进 + 宋体 首行缩进:  2 字符"/>
    <w:basedOn w:val="44"/>
    <w:qFormat/>
    <w:uiPriority w:val="0"/>
    <w:pPr>
      <w:widowControl/>
      <w:spacing w:line="360" w:lineRule="auto"/>
      <w:ind w:firstLine="200" w:firstLineChars="200"/>
      <w:jc w:val="left"/>
    </w:pPr>
    <w:rPr>
      <w:rFonts w:ascii="宋体" w:hAnsi="宋体" w:cs="宋体"/>
      <w:kern w:val="0"/>
      <w:sz w:val="24"/>
      <w:szCs w:val="20"/>
    </w:rPr>
  </w:style>
  <w:style w:type="paragraph" w:customStyle="1" w:styleId="270">
    <w:name w:val="样式 正文首行缩进 + 首行缩进:  2 字符1"/>
    <w:basedOn w:val="44"/>
    <w:qFormat/>
    <w:uiPriority w:val="0"/>
    <w:pPr>
      <w:widowControl/>
      <w:spacing w:line="360" w:lineRule="auto"/>
      <w:ind w:firstLine="200" w:firstLineChars="200"/>
      <w:jc w:val="left"/>
    </w:pPr>
    <w:rPr>
      <w:rFonts w:cs="宋体"/>
      <w:kern w:val="0"/>
      <w:sz w:val="24"/>
      <w:szCs w:val="20"/>
    </w:rPr>
  </w:style>
  <w:style w:type="paragraph" w:customStyle="1" w:styleId="271">
    <w:name w:val="Aufzählung"/>
    <w:basedOn w:val="1"/>
    <w:next w:val="1"/>
    <w:qFormat/>
    <w:uiPriority w:val="0"/>
    <w:pPr>
      <w:keepLines/>
      <w:widowControl/>
      <w:tabs>
        <w:tab w:val="left" w:pos="113"/>
      </w:tabs>
      <w:spacing w:line="228" w:lineRule="exact"/>
      <w:ind w:left="113" w:hanging="113"/>
      <w:jc w:val="left"/>
    </w:pPr>
    <w:rPr>
      <w:rFonts w:ascii="MetaPlusLF" w:hAnsi="MetaPlusLF"/>
      <w:kern w:val="0"/>
      <w:sz w:val="15"/>
      <w:szCs w:val="20"/>
      <w:lang w:val="de-DE" w:eastAsia="de-DE"/>
    </w:rPr>
  </w:style>
  <w:style w:type="paragraph" w:customStyle="1" w:styleId="272">
    <w:name w:val="ZJ Paragraph"/>
    <w:basedOn w:val="1"/>
    <w:qFormat/>
    <w:uiPriority w:val="0"/>
    <w:pPr>
      <w:spacing w:before="120" w:after="120"/>
      <w:ind w:firstLine="420"/>
    </w:pPr>
    <w:rPr>
      <w:rFonts w:ascii="华文仿宋" w:hAnsi="华文仿宋" w:eastAsia="华文仿宋"/>
      <w:sz w:val="28"/>
    </w:rPr>
  </w:style>
  <w:style w:type="paragraph" w:customStyle="1" w:styleId="273">
    <w:name w:val="条款样式"/>
    <w:basedOn w:val="1"/>
    <w:qFormat/>
    <w:uiPriority w:val="0"/>
    <w:pPr>
      <w:tabs>
        <w:tab w:val="left" w:pos="770"/>
      </w:tabs>
      <w:spacing w:line="440" w:lineRule="exact"/>
      <w:ind w:left="770" w:hanging="770"/>
      <w:jc w:val="left"/>
    </w:pPr>
    <w:rPr>
      <w:rFonts w:ascii="Calibri" w:hAnsi="Calibri" w:eastAsia="等线"/>
      <w:szCs w:val="22"/>
    </w:rPr>
  </w:style>
  <w:style w:type="paragraph" w:customStyle="1" w:styleId="274">
    <w:name w:val="xl24"/>
    <w:basedOn w:val="1"/>
    <w:qFormat/>
    <w:uiPriority w:val="0"/>
    <w:pPr>
      <w:widowControl/>
      <w:spacing w:before="100" w:beforeAutospacing="1" w:after="100" w:afterAutospacing="1"/>
      <w:jc w:val="center"/>
      <w:textAlignment w:val="center"/>
    </w:pPr>
    <w:rPr>
      <w:rFonts w:ascii="宋体" w:hAnsi="宋体"/>
      <w:kern w:val="0"/>
      <w:sz w:val="24"/>
    </w:rPr>
  </w:style>
  <w:style w:type="paragraph" w:customStyle="1" w:styleId="275">
    <w:name w:val="pa-8"/>
    <w:basedOn w:val="1"/>
    <w:qFormat/>
    <w:uiPriority w:val="0"/>
    <w:pPr>
      <w:widowControl/>
      <w:spacing w:before="100" w:beforeAutospacing="1" w:after="100" w:afterAutospacing="1"/>
      <w:jc w:val="left"/>
    </w:pPr>
    <w:rPr>
      <w:rFonts w:ascii="宋体" w:hAnsi="宋体" w:cs="宋体"/>
      <w:kern w:val="0"/>
      <w:sz w:val="24"/>
    </w:rPr>
  </w:style>
  <w:style w:type="paragraph" w:customStyle="1" w:styleId="276">
    <w:name w:val="pa-13"/>
    <w:basedOn w:val="1"/>
    <w:qFormat/>
    <w:uiPriority w:val="0"/>
    <w:pPr>
      <w:widowControl/>
      <w:spacing w:before="100" w:beforeAutospacing="1" w:after="100" w:afterAutospacing="1"/>
      <w:jc w:val="left"/>
    </w:pPr>
    <w:rPr>
      <w:rFonts w:ascii="宋体" w:hAnsi="宋体" w:cs="宋体"/>
      <w:kern w:val="0"/>
      <w:sz w:val="24"/>
    </w:rPr>
  </w:style>
  <w:style w:type="paragraph" w:customStyle="1" w:styleId="277">
    <w:name w:val="普通"/>
    <w:qFormat/>
    <w:uiPriority w:val="0"/>
    <w:rPr>
      <w:rFonts w:ascii="Arial" w:hAnsi="Arial" w:eastAsia="仿宋_GB2312" w:cs="Times New Roman"/>
      <w:bCs/>
      <w:kern w:val="2"/>
      <w:sz w:val="28"/>
      <w:szCs w:val="28"/>
      <w:lang w:val="en-US" w:eastAsia="zh-CN" w:bidi="ar-SA"/>
    </w:rPr>
  </w:style>
  <w:style w:type="paragraph" w:customStyle="1" w:styleId="278">
    <w:name w:val="pa-6"/>
    <w:basedOn w:val="1"/>
    <w:qFormat/>
    <w:uiPriority w:val="0"/>
    <w:pPr>
      <w:widowControl/>
      <w:spacing w:before="100" w:beforeAutospacing="1" w:after="100" w:afterAutospacing="1"/>
      <w:jc w:val="left"/>
    </w:pPr>
    <w:rPr>
      <w:rFonts w:ascii="宋体" w:hAnsi="宋体" w:cs="宋体"/>
      <w:kern w:val="0"/>
      <w:sz w:val="24"/>
    </w:rPr>
  </w:style>
  <w:style w:type="character" w:customStyle="1" w:styleId="279">
    <w:name w:val="font81"/>
    <w:qFormat/>
    <w:uiPriority w:val="0"/>
    <w:rPr>
      <w:rFonts w:ascii="Arial" w:hAnsi="Arial" w:cs="Arial"/>
      <w:color w:val="000000"/>
      <w:sz w:val="24"/>
      <w:szCs w:val="24"/>
      <w:u w:val="none"/>
      <w:lang w:bidi="ar-SA"/>
    </w:rPr>
  </w:style>
  <w:style w:type="character" w:customStyle="1" w:styleId="280">
    <w:name w:val="font61"/>
    <w:qFormat/>
    <w:uiPriority w:val="0"/>
    <w:rPr>
      <w:rFonts w:ascii="宋体" w:eastAsia="宋体"/>
      <w:color w:val="000000"/>
      <w:sz w:val="24"/>
      <w:szCs w:val="24"/>
      <w:u w:val="none"/>
    </w:rPr>
  </w:style>
  <w:style w:type="character" w:customStyle="1" w:styleId="281">
    <w:name w:val="font31"/>
    <w:basedOn w:val="49"/>
    <w:qFormat/>
    <w:uiPriority w:val="0"/>
    <w:rPr>
      <w:rFonts w:ascii="宋体" w:eastAsia="宋体" w:cs="宋体"/>
      <w:color w:val="000000"/>
      <w:sz w:val="24"/>
      <w:szCs w:val="24"/>
      <w:u w:val="none"/>
      <w:lang w:bidi="ar-SA"/>
    </w:rPr>
  </w:style>
  <w:style w:type="character" w:customStyle="1" w:styleId="282">
    <w:name w:val="Texte Helvética 9"/>
    <w:qFormat/>
    <w:uiPriority w:val="0"/>
    <w:rPr>
      <w:rFonts w:ascii="Helvetica" w:hAnsi="Helvetica" w:cs="Helvetica"/>
      <w:sz w:val="18"/>
      <w:szCs w:val="18"/>
      <w:lang w:bidi="ar-SA"/>
    </w:rPr>
  </w:style>
  <w:style w:type="character" w:customStyle="1" w:styleId="283">
    <w:name w:val="a14baihang201"/>
    <w:qFormat/>
    <w:uiPriority w:val="0"/>
    <w:rPr>
      <w:color w:val="000000"/>
      <w:sz w:val="23"/>
      <w:szCs w:val="23"/>
    </w:rPr>
  </w:style>
  <w:style w:type="character" w:customStyle="1" w:styleId="284">
    <w:name w:val="font11"/>
    <w:basedOn w:val="49"/>
    <w:qFormat/>
    <w:uiPriority w:val="0"/>
    <w:rPr>
      <w:rFonts w:ascii="宋体" w:eastAsia="宋体"/>
      <w:color w:val="000000"/>
      <w:sz w:val="22"/>
      <w:szCs w:val="22"/>
      <w:u w:val="none"/>
    </w:rPr>
  </w:style>
  <w:style w:type="character" w:customStyle="1" w:styleId="285">
    <w:name w:val="tpc_content1"/>
    <w:qFormat/>
    <w:uiPriority w:val="0"/>
    <w:rPr>
      <w:sz w:val="20"/>
      <w:szCs w:val="20"/>
    </w:rPr>
  </w:style>
  <w:style w:type="character" w:customStyle="1" w:styleId="286">
    <w:name w:val="font41"/>
    <w:basedOn w:val="49"/>
    <w:qFormat/>
    <w:uiPriority w:val="0"/>
    <w:rPr>
      <w:rFonts w:ascii="宋体" w:eastAsia="宋体"/>
      <w:color w:val="000000"/>
      <w:sz w:val="22"/>
      <w:szCs w:val="22"/>
      <w:u w:val="none"/>
      <w:vertAlign w:val="superscript"/>
    </w:rPr>
  </w:style>
  <w:style w:type="character" w:customStyle="1" w:styleId="287">
    <w:name w:val="font21"/>
    <w:basedOn w:val="49"/>
    <w:qFormat/>
    <w:uiPriority w:val="0"/>
    <w:rPr>
      <w:rFonts w:ascii="宋体" w:eastAsia="宋体"/>
      <w:color w:val="000000"/>
      <w:sz w:val="24"/>
      <w:szCs w:val="24"/>
      <w:u w:val="none"/>
      <w:vertAlign w:val="superscript"/>
    </w:rPr>
  </w:style>
  <w:style w:type="character" w:customStyle="1" w:styleId="288">
    <w:name w:val="font51"/>
    <w:basedOn w:val="49"/>
    <w:qFormat/>
    <w:uiPriority w:val="0"/>
    <w:rPr>
      <w:rFonts w:ascii="宋体" w:eastAsia="宋体"/>
      <w:color w:val="000000"/>
      <w:sz w:val="24"/>
      <w:szCs w:val="24"/>
      <w:u w:val="none"/>
    </w:rPr>
  </w:style>
  <w:style w:type="character" w:customStyle="1" w:styleId="289">
    <w:name w:val="font71"/>
    <w:qFormat/>
    <w:uiPriority w:val="0"/>
    <w:rPr>
      <w:rFonts w:ascii="宋体" w:eastAsia="宋体"/>
      <w:color w:val="000000"/>
      <w:sz w:val="24"/>
      <w:szCs w:val="24"/>
      <w:u w:val="none"/>
      <w:vertAlign w:val="superscript"/>
    </w:rPr>
  </w:style>
  <w:style w:type="paragraph" w:customStyle="1" w:styleId="290">
    <w:name w:val="titre page niveau 1"/>
    <w:qFormat/>
    <w:uiPriority w:val="0"/>
    <w:pPr>
      <w:widowControl w:val="0"/>
      <w:spacing w:before="1" w:after="1"/>
      <w:ind w:left="1" w:right="1" w:firstLine="1"/>
    </w:pPr>
    <w:rPr>
      <w:rFonts w:ascii="Helvetica" w:hAnsi="Helvetica" w:eastAsia="宋体" w:cs="Helvetica"/>
      <w:b/>
      <w:bCs/>
      <w:color w:val="000000"/>
      <w:sz w:val="24"/>
      <w:szCs w:val="24"/>
      <w:lang w:val="en-US" w:eastAsia="zh-CN" w:bidi="ar-SA"/>
    </w:rPr>
  </w:style>
  <w:style w:type="paragraph" w:customStyle="1" w:styleId="291">
    <w:name w:val="Char Char Char Char Char Char Char Char Char Char Char Char Char Char Char Char Char Char Char"/>
    <w:basedOn w:val="1"/>
    <w:qFormat/>
    <w:uiPriority w:val="0"/>
    <w:pPr>
      <w:widowControl/>
      <w:spacing w:after="160" w:line="240" w:lineRule="exact"/>
      <w:jc w:val="left"/>
    </w:pPr>
  </w:style>
  <w:style w:type="paragraph" w:customStyle="1" w:styleId="292">
    <w:name w:val="Text"/>
    <w:basedOn w:val="1"/>
    <w:qFormat/>
    <w:uiPriority w:val="0"/>
    <w:pPr>
      <w:widowControl/>
      <w:spacing w:before="120"/>
    </w:pPr>
    <w:rPr>
      <w:kern w:val="0"/>
      <w:sz w:val="24"/>
      <w:szCs w:val="20"/>
      <w:lang w:eastAsia="en-US"/>
    </w:rPr>
  </w:style>
  <w:style w:type="paragraph" w:customStyle="1" w:styleId="293">
    <w:name w:val="texte"/>
    <w:qFormat/>
    <w:uiPriority w:val="0"/>
    <w:pPr>
      <w:spacing w:before="1" w:after="1"/>
      <w:ind w:left="1" w:right="1" w:firstLine="1"/>
    </w:pPr>
    <w:rPr>
      <w:rFonts w:ascii="Helvetica" w:hAnsi="Helvetica" w:eastAsia="宋体" w:cs="Helvetica"/>
      <w:color w:val="000000"/>
      <w:sz w:val="18"/>
      <w:szCs w:val="18"/>
      <w:lang w:val="en-US" w:eastAsia="zh-CN" w:bidi="ar-SA"/>
    </w:rPr>
  </w:style>
  <w:style w:type="paragraph" w:customStyle="1" w:styleId="294">
    <w:name w:val="A2-texte"/>
    <w:basedOn w:val="1"/>
    <w:qFormat/>
    <w:uiPriority w:val="0"/>
    <w:pPr>
      <w:spacing w:before="1" w:after="1"/>
      <w:ind w:left="1134"/>
    </w:pPr>
    <w:rPr>
      <w:rFonts w:ascii="Arial" w:hAnsi="Arial" w:cs="Arial"/>
      <w:color w:val="000000"/>
      <w:sz w:val="18"/>
      <w:szCs w:val="18"/>
      <w:lang w:val="fr-FR" w:eastAsia="fr-FR"/>
    </w:rPr>
  </w:style>
  <w:style w:type="paragraph" w:customStyle="1" w:styleId="295">
    <w:name w:val="条2"/>
    <w:basedOn w:val="1"/>
    <w:next w:val="1"/>
    <w:qFormat/>
    <w:uiPriority w:val="0"/>
    <w:pPr>
      <w:ind w:left="1040"/>
      <w:outlineLvl w:val="1"/>
    </w:pPr>
    <w:rPr>
      <w:rFonts w:ascii="黑体" w:eastAsia="黑体"/>
      <w:kern w:val="21"/>
      <w:szCs w:val="20"/>
    </w:rPr>
  </w:style>
  <w:style w:type="paragraph" w:customStyle="1" w:styleId="296">
    <w:name w:val="Arial 9"/>
    <w:basedOn w:val="1"/>
    <w:qFormat/>
    <w:uiPriority w:val="0"/>
    <w:rPr>
      <w:rFonts w:ascii="Arial" w:hAnsi="Arial" w:cs="Arial"/>
      <w:sz w:val="18"/>
      <w:szCs w:val="18"/>
      <w:lang w:val="fr-FR" w:eastAsia="fr-FR"/>
    </w:rPr>
  </w:style>
  <w:style w:type="paragraph" w:customStyle="1" w:styleId="297">
    <w:name w:val="样式 Arial 9 + 两端对齐 段前: 2 磅 行距: 1.5 倍行距"/>
    <w:basedOn w:val="296"/>
    <w:qFormat/>
    <w:uiPriority w:val="0"/>
    <w:pPr>
      <w:autoSpaceDE w:val="0"/>
      <w:autoSpaceDN w:val="0"/>
      <w:spacing w:before="40" w:line="360" w:lineRule="auto"/>
      <w:ind w:left="1133" w:leftChars="1133"/>
    </w:pPr>
    <w:rPr>
      <w:rFonts w:cs="宋体"/>
      <w:szCs w:val="20"/>
    </w:rPr>
  </w:style>
  <w:style w:type="paragraph" w:customStyle="1" w:styleId="298">
    <w:name w:val="List Paragraph2"/>
    <w:basedOn w:val="1"/>
    <w:qFormat/>
    <w:uiPriority w:val="0"/>
    <w:pPr>
      <w:widowControl/>
      <w:ind w:firstLine="420" w:firstLineChars="200"/>
      <w:jc w:val="left"/>
    </w:pPr>
    <w:rPr>
      <w:kern w:val="0"/>
      <w:sz w:val="20"/>
      <w:szCs w:val="20"/>
    </w:rPr>
  </w:style>
  <w:style w:type="paragraph" w:customStyle="1" w:styleId="299">
    <w:name w:val="Arial 9 texte"/>
    <w:basedOn w:val="1"/>
    <w:qFormat/>
    <w:uiPriority w:val="0"/>
    <w:rPr>
      <w:rFonts w:ascii="Arial" w:hAnsi="Arial" w:cs="Arial"/>
      <w:sz w:val="18"/>
      <w:szCs w:val="18"/>
      <w:lang w:val="fr-FR" w:eastAsia="fr-FR"/>
    </w:rPr>
  </w:style>
  <w:style w:type="paragraph" w:customStyle="1" w:styleId="300">
    <w:name w:val="style9"/>
    <w:basedOn w:val="1"/>
    <w:qFormat/>
    <w:uiPriority w:val="0"/>
    <w:pPr>
      <w:widowControl/>
      <w:spacing w:before="100" w:beforeAutospacing="1" w:after="100" w:afterAutospacing="1"/>
      <w:jc w:val="left"/>
    </w:pPr>
    <w:rPr>
      <w:rFonts w:ascii="宋体"/>
      <w:color w:val="666666"/>
      <w:kern w:val="0"/>
      <w:sz w:val="24"/>
    </w:rPr>
  </w:style>
  <w:style w:type="paragraph" w:customStyle="1" w:styleId="301">
    <w:name w:val="样式 A2-texte + 左侧:  4 厘米 段前: 0 磅 段后: 0 磅 行距: 1.5 倍行距"/>
    <w:basedOn w:val="294"/>
    <w:qFormat/>
    <w:uiPriority w:val="0"/>
    <w:pPr>
      <w:autoSpaceDE w:val="0"/>
      <w:autoSpaceDN w:val="0"/>
      <w:spacing w:before="0" w:after="0" w:line="360" w:lineRule="auto"/>
      <w:ind w:left="2268"/>
    </w:pPr>
    <w:rPr>
      <w:rFonts w:cs="宋体"/>
      <w:szCs w:val="20"/>
    </w:rPr>
  </w:style>
  <w:style w:type="paragraph" w:customStyle="1" w:styleId="302">
    <w:name w:val="UP正文"/>
    <w:basedOn w:val="1"/>
    <w:qFormat/>
    <w:uiPriority w:val="0"/>
    <w:pPr>
      <w:spacing w:line="360" w:lineRule="auto"/>
      <w:ind w:left="200" w:leftChars="200" w:firstLine="200" w:firstLineChars="200"/>
    </w:pPr>
    <w:rPr>
      <w:rFonts w:ascii="Tahoma" w:hAnsi="Tahoma" w:cs="宋体"/>
      <w:szCs w:val="20"/>
    </w:rPr>
  </w:style>
  <w:style w:type="paragraph" w:customStyle="1" w:styleId="303">
    <w:name w:val="Arial corps 9"/>
    <w:basedOn w:val="293"/>
    <w:qFormat/>
    <w:uiPriority w:val="0"/>
    <w:pPr>
      <w:widowControl w:val="0"/>
      <w:ind w:left="0" w:right="0" w:firstLine="0"/>
    </w:pPr>
    <w:rPr>
      <w:rFonts w:ascii="Arial" w:hAnsi="Arial" w:cs="Arial"/>
    </w:rPr>
  </w:style>
  <w:style w:type="paragraph" w:customStyle="1" w:styleId="304">
    <w:name w:val="Heading Left"/>
    <w:basedOn w:val="1"/>
    <w:qFormat/>
    <w:uiPriority w:val="0"/>
    <w:pPr>
      <w:widowControl/>
      <w:tabs>
        <w:tab w:val="center" w:pos="4820"/>
        <w:tab w:val="right" w:pos="9639"/>
      </w:tabs>
      <w:spacing w:before="120" w:after="120"/>
      <w:jc w:val="left"/>
    </w:pPr>
    <w:rPr>
      <w:rFonts w:ascii="Arial" w:hAnsi="Arial"/>
      <w:b/>
      <w:caps/>
      <w:kern w:val="0"/>
      <w:sz w:val="24"/>
      <w:szCs w:val="20"/>
      <w:lang w:val="en-GB" w:eastAsia="en-US"/>
    </w:rPr>
  </w:style>
  <w:style w:type="paragraph" w:customStyle="1" w:styleId="305">
    <w:name w:val="样式 A2-texte + 加粗"/>
    <w:basedOn w:val="294"/>
    <w:qFormat/>
    <w:uiPriority w:val="0"/>
    <w:pPr>
      <w:autoSpaceDE w:val="0"/>
      <w:autoSpaceDN w:val="0"/>
    </w:pPr>
    <w:rPr>
      <w:rFonts w:ascii="黑体" w:eastAsia="黑体"/>
      <w:bCs/>
      <w:lang w:val="zh-CN" w:eastAsia="zh-CN"/>
    </w:rPr>
  </w:style>
  <w:style w:type="paragraph" w:customStyle="1" w:styleId="306">
    <w:name w:val="style10"/>
    <w:basedOn w:val="1"/>
    <w:qFormat/>
    <w:uiPriority w:val="0"/>
    <w:pPr>
      <w:widowControl/>
      <w:spacing w:before="100" w:beforeAutospacing="1" w:after="100" w:afterAutospacing="1"/>
      <w:jc w:val="left"/>
    </w:pPr>
    <w:rPr>
      <w:rFonts w:ascii="宋体"/>
      <w:b/>
      <w:bCs/>
      <w:color w:val="339966"/>
      <w:kern w:val="0"/>
      <w:sz w:val="24"/>
    </w:rPr>
  </w:style>
  <w:style w:type="paragraph" w:customStyle="1" w:styleId="307">
    <w:name w:val="xl6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cs="宋体"/>
      <w:b/>
      <w:bCs/>
      <w:color w:val="000000"/>
      <w:kern w:val="0"/>
      <w:sz w:val="24"/>
    </w:rPr>
  </w:style>
  <w:style w:type="paragraph" w:customStyle="1" w:styleId="308">
    <w:name w:val="ZB8"/>
    <w:next w:val="17"/>
    <w:qFormat/>
    <w:uiPriority w:val="0"/>
    <w:pPr>
      <w:widowControl w:val="0"/>
      <w:spacing w:line="340" w:lineRule="atLeast"/>
      <w:jc w:val="both"/>
    </w:pPr>
    <w:rPr>
      <w:rFonts w:ascii="Consolas" w:hAnsi="Consolas" w:eastAsia="方正中等线简体" w:cs="Times New Roman"/>
      <w:sz w:val="21"/>
      <w:lang w:val="en-US" w:eastAsia="zh-CN" w:bidi="ar-SA"/>
    </w:rPr>
  </w:style>
  <w:style w:type="character" w:customStyle="1" w:styleId="309">
    <w:name w:val="正文文本 3 字符"/>
    <w:basedOn w:val="49"/>
    <w:qFormat/>
    <w:uiPriority w:val="0"/>
    <w:rPr>
      <w:rFonts w:ascii="Times New Roman" w:hAnsi="Times New Roman" w:eastAsia="宋体" w:cs="Times New Roman"/>
      <w:sz w:val="16"/>
      <w:szCs w:val="16"/>
    </w:rPr>
  </w:style>
  <w:style w:type="character" w:customStyle="1" w:styleId="310">
    <w:name w:val="正文文本 3 Char"/>
    <w:link w:val="17"/>
    <w:qFormat/>
    <w:uiPriority w:val="0"/>
    <w:rPr>
      <w:rFonts w:ascii="Times New Roman" w:hAnsi="Times New Roman" w:eastAsia="宋体" w:cs="Times New Roman"/>
      <w:sz w:val="16"/>
      <w:szCs w:val="16"/>
    </w:rPr>
  </w:style>
  <w:style w:type="paragraph" w:customStyle="1" w:styleId="311">
    <w:name w:val="列表段落1"/>
    <w:basedOn w:val="1"/>
    <w:qFormat/>
    <w:uiPriority w:val="34"/>
    <w:pPr>
      <w:ind w:firstLine="420" w:firstLineChars="200"/>
    </w:pPr>
    <w:rPr>
      <w:rFonts w:ascii="Calibri" w:hAnsi="Calibri"/>
      <w:szCs w:val="22"/>
    </w:rPr>
  </w:style>
  <w:style w:type="character" w:customStyle="1" w:styleId="312">
    <w:name w:val="op-map-singlepoint-info-right1"/>
    <w:qFormat/>
    <w:uiPriority w:val="0"/>
  </w:style>
  <w:style w:type="character" w:customStyle="1" w:styleId="313">
    <w:name w:val="apple-converted-space"/>
    <w:qFormat/>
    <w:uiPriority w:val="0"/>
  </w:style>
  <w:style w:type="paragraph" w:customStyle="1" w:styleId="314">
    <w:name w:val="_Style 1"/>
    <w:basedOn w:val="1"/>
    <w:qFormat/>
    <w:uiPriority w:val="0"/>
    <w:pPr>
      <w:ind w:firstLine="420" w:firstLineChars="200"/>
    </w:pPr>
    <w:rPr>
      <w:rFonts w:ascii="Calibri" w:hAnsi="Calibri"/>
      <w:szCs w:val="22"/>
    </w:rPr>
  </w:style>
  <w:style w:type="paragraph" w:customStyle="1" w:styleId="315">
    <w:name w:val="Char Char"/>
    <w:basedOn w:val="1"/>
    <w:qFormat/>
    <w:uiPriority w:val="0"/>
    <w:pPr>
      <w:widowControl/>
      <w:spacing w:after="160" w:line="240" w:lineRule="exact"/>
      <w:jc w:val="left"/>
    </w:pPr>
    <w:rPr>
      <w:rFonts w:ascii="Verdana" w:hAnsi="Verdana" w:eastAsia="仿宋_GB2312"/>
      <w:kern w:val="0"/>
      <w:sz w:val="24"/>
      <w:szCs w:val="20"/>
      <w:lang w:eastAsia="en-US"/>
    </w:rPr>
  </w:style>
  <w:style w:type="paragraph" w:customStyle="1" w:styleId="316">
    <w:name w:val="z-窗体底端1"/>
    <w:basedOn w:val="1"/>
    <w:next w:val="1"/>
    <w:link w:val="317"/>
    <w:qFormat/>
    <w:uiPriority w:val="0"/>
    <w:pPr>
      <w:widowControl/>
      <w:pBdr>
        <w:top w:val="single" w:color="auto" w:sz="6" w:space="1"/>
      </w:pBdr>
      <w:jc w:val="center"/>
    </w:pPr>
    <w:rPr>
      <w:rFonts w:ascii="Arial" w:hAnsi="Arial" w:cs="Arial"/>
      <w:vanish/>
      <w:kern w:val="0"/>
      <w:sz w:val="16"/>
      <w:szCs w:val="16"/>
    </w:rPr>
  </w:style>
  <w:style w:type="character" w:customStyle="1" w:styleId="317">
    <w:name w:val="z-窗体底端 字符"/>
    <w:basedOn w:val="49"/>
    <w:link w:val="316"/>
    <w:qFormat/>
    <w:uiPriority w:val="0"/>
    <w:rPr>
      <w:rFonts w:ascii="Arial" w:hAnsi="Arial" w:eastAsia="宋体" w:cs="Arial"/>
      <w:vanish/>
      <w:kern w:val="0"/>
      <w:sz w:val="16"/>
      <w:szCs w:val="16"/>
    </w:rPr>
  </w:style>
  <w:style w:type="character" w:customStyle="1" w:styleId="318">
    <w:name w:val="无间隔 Char1"/>
    <w:link w:val="125"/>
    <w:qFormat/>
    <w:uiPriority w:val="0"/>
    <w:rPr>
      <w:rFonts w:ascii="Calibri" w:hAnsi="Calibri" w:eastAsia="宋体" w:cs="Times New Roman"/>
      <w:kern w:val="0"/>
      <w:sz w:val="22"/>
      <w:lang w:eastAsia="en-US" w:bidi="en-US"/>
    </w:rPr>
  </w:style>
  <w:style w:type="paragraph" w:customStyle="1" w:styleId="319">
    <w:name w:val="Char Char1 Char Char Char Char Char Char"/>
    <w:basedOn w:val="1"/>
    <w:qFormat/>
    <w:uiPriority w:val="0"/>
    <w:pPr>
      <w:widowControl/>
      <w:adjustRightInd w:val="0"/>
      <w:snapToGrid w:val="0"/>
      <w:spacing w:beforeLines="25" w:afterLines="25" w:line="240" w:lineRule="exact"/>
      <w:ind w:firstLine="560" w:firstLineChars="192"/>
      <w:jc w:val="left"/>
    </w:pPr>
    <w:rPr>
      <w:rFonts w:ascii="宋体" w:hAnsi="宋体"/>
      <w:kern w:val="0"/>
      <w:sz w:val="28"/>
      <w:szCs w:val="28"/>
      <w:lang w:eastAsia="en-US"/>
    </w:rPr>
  </w:style>
  <w:style w:type="paragraph" w:customStyle="1" w:styleId="320">
    <w:name w:val="默认段落字体 Para Char Char Char Char Char Char Char"/>
    <w:basedOn w:val="1"/>
    <w:next w:val="1"/>
    <w:qFormat/>
    <w:uiPriority w:val="0"/>
    <w:rPr>
      <w:rFonts w:ascii="Tahoma" w:hAnsi="Tahoma"/>
      <w:sz w:val="24"/>
      <w:szCs w:val="20"/>
    </w:rPr>
  </w:style>
  <w:style w:type="paragraph" w:customStyle="1" w:styleId="321">
    <w:name w:val="midtext"/>
    <w:basedOn w:val="1"/>
    <w:qFormat/>
    <w:uiPriority w:val="0"/>
    <w:pPr>
      <w:widowControl/>
      <w:spacing w:before="100" w:beforeAutospacing="1" w:after="100" w:afterAutospacing="1"/>
      <w:jc w:val="left"/>
    </w:pPr>
    <w:rPr>
      <w:rFonts w:ascii="宋体" w:hAnsi="宋体" w:cs="宋体"/>
      <w:kern w:val="0"/>
      <w:sz w:val="24"/>
    </w:rPr>
  </w:style>
  <w:style w:type="character" w:customStyle="1" w:styleId="322">
    <w:name w:val="jason.dong"/>
    <w:qFormat/>
    <w:uiPriority w:val="0"/>
    <w:rPr>
      <w:rFonts w:hint="default" w:ascii="Arial" w:hAnsi="Arial" w:cs="Arial"/>
      <w:color w:val="0000FF"/>
      <w:sz w:val="20"/>
      <w:szCs w:val="20"/>
    </w:rPr>
  </w:style>
  <w:style w:type="paragraph" w:customStyle="1" w:styleId="323">
    <w:name w:val="RD Bullet1"/>
    <w:basedOn w:val="1"/>
    <w:qFormat/>
    <w:uiPriority w:val="0"/>
    <w:pPr>
      <w:widowControl/>
      <w:numPr>
        <w:ilvl w:val="0"/>
        <w:numId w:val="2"/>
      </w:numPr>
      <w:jc w:val="left"/>
    </w:pPr>
    <w:rPr>
      <w:rFonts w:ascii="Calibri" w:hAnsi="Calibri" w:cs="Calibri"/>
      <w:color w:val="000000"/>
      <w:kern w:val="0"/>
      <w:sz w:val="24"/>
      <w:lang w:eastAsia="en-US"/>
    </w:rPr>
  </w:style>
  <w:style w:type="paragraph" w:customStyle="1" w:styleId="324">
    <w:name w:val="_Style 7"/>
    <w:basedOn w:val="1"/>
    <w:qFormat/>
    <w:uiPriority w:val="0"/>
    <w:pPr>
      <w:widowControl/>
      <w:jc w:val="left"/>
    </w:pPr>
    <w:rPr>
      <w:rFonts w:ascii="Calibri" w:hAnsi="Calibri" w:cs="Calibri"/>
      <w:kern w:val="0"/>
      <w:sz w:val="24"/>
      <w:lang w:eastAsia="en-US"/>
    </w:rPr>
  </w:style>
  <w:style w:type="character" w:customStyle="1" w:styleId="325">
    <w:name w:val="title1"/>
    <w:qFormat/>
    <w:uiPriority w:val="0"/>
    <w:rPr>
      <w:b/>
      <w:bCs/>
      <w:color w:val="FFFFFF"/>
      <w:sz w:val="24"/>
      <w:szCs w:val="24"/>
    </w:rPr>
  </w:style>
  <w:style w:type="character" w:customStyle="1" w:styleId="326">
    <w:name w:val="en1"/>
    <w:qFormat/>
    <w:uiPriority w:val="0"/>
    <w:rPr>
      <w:rFonts w:hint="default" w:ascii="Arial" w:hAnsi="Arial" w:cs="Arial"/>
      <w:sz w:val="20"/>
      <w:szCs w:val="20"/>
    </w:rPr>
  </w:style>
  <w:style w:type="character" w:customStyle="1" w:styleId="327">
    <w:name w:val="fontstyle01"/>
    <w:qFormat/>
    <w:uiPriority w:val="0"/>
    <w:rPr>
      <w:rFonts w:hint="eastAsia" w:ascii="华文中宋" w:hAnsi="华文中宋" w:eastAsia="华文中宋"/>
      <w:color w:val="000000"/>
      <w:sz w:val="24"/>
      <w:szCs w:val="24"/>
    </w:rPr>
  </w:style>
  <w:style w:type="paragraph" w:customStyle="1" w:styleId="328">
    <w:name w:val="列出段落2"/>
    <w:basedOn w:val="1"/>
    <w:qFormat/>
    <w:uiPriority w:val="0"/>
    <w:pPr>
      <w:ind w:firstLine="420" w:firstLineChars="200"/>
    </w:pPr>
    <w:rPr>
      <w:rFonts w:ascii="Calibri" w:hAnsi="Calibri"/>
      <w:szCs w:val="22"/>
    </w:rPr>
  </w:style>
  <w:style w:type="paragraph" w:customStyle="1" w:styleId="329">
    <w:name w:val="_Style 0"/>
    <w:qFormat/>
    <w:uiPriority w:val="0"/>
    <w:pPr>
      <w:widowControl w:val="0"/>
      <w:jc w:val="both"/>
    </w:pPr>
    <w:rPr>
      <w:rFonts w:ascii="Calibri" w:hAnsi="Calibri" w:eastAsia="宋体" w:cs="Times New Roman"/>
      <w:kern w:val="2"/>
      <w:sz w:val="21"/>
      <w:szCs w:val="24"/>
      <w:lang w:val="en-US" w:eastAsia="zh-CN" w:bidi="ar-SA"/>
    </w:rPr>
  </w:style>
  <w:style w:type="character" w:customStyle="1" w:styleId="330">
    <w:name w:val="正文文本 (18)1"/>
    <w:qFormat/>
    <w:uiPriority w:val="0"/>
    <w:rPr>
      <w:rFonts w:ascii="MingLiU" w:hAnsi="MingLiU" w:eastAsia="MingLiU" w:cs="Times New Roman"/>
      <w:sz w:val="26"/>
    </w:rPr>
  </w:style>
  <w:style w:type="paragraph" w:customStyle="1" w:styleId="331">
    <w:name w:val="_Style 2"/>
    <w:qFormat/>
    <w:uiPriority w:val="0"/>
    <w:pPr>
      <w:widowControl w:val="0"/>
      <w:jc w:val="both"/>
    </w:pPr>
    <w:rPr>
      <w:rFonts w:ascii="Calibri" w:hAnsi="Calibri" w:eastAsia="宋体" w:cs="Times New Roman"/>
      <w:kern w:val="2"/>
      <w:sz w:val="21"/>
      <w:szCs w:val="24"/>
      <w:lang w:val="en-US" w:eastAsia="zh-CN" w:bidi="ar-SA"/>
    </w:rPr>
  </w:style>
  <w:style w:type="paragraph" w:customStyle="1" w:styleId="332">
    <w:name w:val="表 靠左"/>
    <w:basedOn w:val="1"/>
    <w:qFormat/>
    <w:uiPriority w:val="0"/>
    <w:pPr>
      <w:jc w:val="left"/>
    </w:pPr>
    <w:rPr>
      <w:rFonts w:ascii="宋体" w:hAnsi="宋体"/>
    </w:rPr>
  </w:style>
  <w:style w:type="character" w:customStyle="1" w:styleId="333">
    <w:name w:val="纯文本 字符1"/>
    <w:qFormat/>
    <w:locked/>
    <w:uiPriority w:val="0"/>
    <w:rPr>
      <w:rFonts w:ascii="宋体" w:hAnsi="Courier New"/>
      <w:kern w:val="2"/>
      <w:sz w:val="21"/>
    </w:rPr>
  </w:style>
  <w:style w:type="paragraph" w:customStyle="1" w:styleId="334">
    <w:name w:val="List Paragraph1"/>
    <w:basedOn w:val="1"/>
    <w:qFormat/>
    <w:uiPriority w:val="0"/>
    <w:pPr>
      <w:widowControl/>
      <w:ind w:firstLine="420" w:firstLineChars="200"/>
    </w:pPr>
    <w:rPr>
      <w:rFonts w:ascii="Verdana" w:hAnsi="Verdana"/>
      <w:kern w:val="0"/>
      <w:sz w:val="18"/>
      <w:szCs w:val="20"/>
      <w:lang w:eastAsia="en-US"/>
    </w:rPr>
  </w:style>
  <w:style w:type="character" w:customStyle="1" w:styleId="335">
    <w:name w:val="列表段落 字符1"/>
    <w:qFormat/>
    <w:uiPriority w:val="0"/>
  </w:style>
  <w:style w:type="paragraph" w:customStyle="1" w:styleId="336">
    <w:name w:val="_Style 6"/>
    <w:basedOn w:val="1"/>
    <w:next w:val="13"/>
    <w:qFormat/>
    <w:uiPriority w:val="0"/>
    <w:pPr>
      <w:ind w:firstLine="420" w:firstLineChars="200"/>
    </w:pPr>
    <w:rPr>
      <w:szCs w:val="22"/>
    </w:rPr>
  </w:style>
  <w:style w:type="character" w:customStyle="1" w:styleId="337">
    <w:name w:val="NormalCharacter"/>
    <w:qFormat/>
    <w:uiPriority w:val="0"/>
  </w:style>
  <w:style w:type="paragraph" w:customStyle="1" w:styleId="338">
    <w:name w:val="UserStyle_1"/>
    <w:basedOn w:val="1"/>
    <w:qFormat/>
    <w:uiPriority w:val="0"/>
    <w:pPr>
      <w:widowControl/>
      <w:ind w:firstLine="420" w:firstLineChars="200"/>
    </w:pPr>
    <w:rPr>
      <w:rFonts w:ascii="Verdana" w:hAnsi="Verdana"/>
      <w:kern w:val="0"/>
      <w:sz w:val="18"/>
      <w:szCs w:val="20"/>
      <w:lang w:eastAsia="en-US"/>
    </w:rPr>
  </w:style>
  <w:style w:type="character" w:customStyle="1" w:styleId="339">
    <w:name w:val="font121"/>
    <w:qFormat/>
    <w:uiPriority w:val="0"/>
    <w:rPr>
      <w:rFonts w:hint="eastAsia" w:ascii="宋体" w:hAnsi="宋体" w:eastAsia="宋体" w:cs="宋体"/>
      <w:color w:val="000000"/>
      <w:sz w:val="36"/>
      <w:szCs w:val="36"/>
      <w:u w:val="none"/>
    </w:rPr>
  </w:style>
  <w:style w:type="character" w:customStyle="1" w:styleId="340">
    <w:name w:val="font101"/>
    <w:qFormat/>
    <w:uiPriority w:val="0"/>
    <w:rPr>
      <w:rFonts w:hint="eastAsia" w:ascii="宋体" w:hAnsi="宋体" w:eastAsia="宋体" w:cs="宋体"/>
      <w:color w:val="000000"/>
      <w:sz w:val="22"/>
      <w:szCs w:val="22"/>
      <w:u w:val="none"/>
    </w:rPr>
  </w:style>
  <w:style w:type="paragraph" w:customStyle="1" w:styleId="341">
    <w:name w:val="1级"/>
    <w:basedOn w:val="13"/>
    <w:link w:val="343"/>
    <w:qFormat/>
    <w:uiPriority w:val="0"/>
    <w:pPr>
      <w:numPr>
        <w:ilvl w:val="0"/>
        <w:numId w:val="3"/>
      </w:numPr>
      <w:outlineLvl w:val="0"/>
    </w:pPr>
    <w:rPr>
      <w:rFonts w:ascii="Calibri" w:hAnsi="Calibri"/>
    </w:rPr>
  </w:style>
  <w:style w:type="paragraph" w:customStyle="1" w:styleId="342">
    <w:name w:val="2级"/>
    <w:basedOn w:val="13"/>
    <w:qFormat/>
    <w:uiPriority w:val="0"/>
    <w:pPr>
      <w:tabs>
        <w:tab w:val="left" w:pos="720"/>
      </w:tabs>
      <w:ind w:left="422" w:hanging="422" w:hangingChars="200"/>
      <w:outlineLvl w:val="1"/>
    </w:pPr>
    <w:rPr>
      <w:rFonts w:ascii="Calibri" w:hAnsi="Calibri"/>
      <w:b/>
    </w:rPr>
  </w:style>
  <w:style w:type="character" w:customStyle="1" w:styleId="343">
    <w:name w:val="1级 Char"/>
    <w:link w:val="341"/>
    <w:qFormat/>
    <w:uiPriority w:val="0"/>
    <w:rPr>
      <w:rFonts w:ascii="Calibri" w:hAnsi="Calibri" w:eastAsia="等线" w:cs="Times New Roman"/>
    </w:rPr>
  </w:style>
  <w:style w:type="character" w:customStyle="1" w:styleId="344">
    <w:name w:val="2级 Char"/>
    <w:qFormat/>
    <w:uiPriority w:val="0"/>
    <w:rPr>
      <w:rFonts w:ascii="Calibri" w:hAnsi="Calibri" w:eastAsia="宋体" w:cs="Times New Roman"/>
      <w:b/>
      <w:szCs w:val="21"/>
    </w:rPr>
  </w:style>
  <w:style w:type="paragraph" w:customStyle="1" w:styleId="345">
    <w:name w:val="3级"/>
    <w:basedOn w:val="13"/>
    <w:qFormat/>
    <w:uiPriority w:val="0"/>
    <w:pPr>
      <w:tabs>
        <w:tab w:val="left" w:pos="720"/>
      </w:tabs>
      <w:ind w:left="720" w:hanging="720"/>
      <w:outlineLvl w:val="2"/>
    </w:pPr>
    <w:rPr>
      <w:rFonts w:ascii="宋体" w:hAnsi="宋体"/>
      <w:color w:val="000000"/>
    </w:rPr>
  </w:style>
  <w:style w:type="character" w:customStyle="1" w:styleId="346">
    <w:name w:val="3级 Char"/>
    <w:qFormat/>
    <w:uiPriority w:val="0"/>
    <w:rPr>
      <w:rFonts w:ascii="宋体" w:hAnsi="宋体" w:eastAsia="宋体" w:cs="Times New Roman"/>
      <w:color w:val="000000"/>
      <w:szCs w:val="21"/>
    </w:rPr>
  </w:style>
  <w:style w:type="character" w:customStyle="1" w:styleId="347">
    <w:name w:val="正文首行缩进 Char"/>
    <w:basedOn w:val="77"/>
    <w:link w:val="44"/>
    <w:qFormat/>
    <w:uiPriority w:val="0"/>
    <w:rPr>
      <w:rFonts w:ascii="Times New Roman" w:hAnsi="Times New Roman" w:eastAsia="宋体" w:cs="Times New Roman"/>
      <w:szCs w:val="21"/>
    </w:rPr>
  </w:style>
  <w:style w:type="paragraph" w:customStyle="1" w:styleId="348">
    <w:name w:val="msonormal"/>
    <w:basedOn w:val="1"/>
    <w:qFormat/>
    <w:uiPriority w:val="0"/>
    <w:pPr>
      <w:widowControl/>
      <w:spacing w:before="100" w:beforeAutospacing="1" w:after="100" w:afterAutospacing="1"/>
      <w:jc w:val="left"/>
    </w:pPr>
    <w:rPr>
      <w:rFonts w:ascii="宋体" w:hAnsi="宋体" w:cs="宋体"/>
      <w:kern w:val="0"/>
      <w:sz w:val="24"/>
    </w:rPr>
  </w:style>
  <w:style w:type="paragraph" w:customStyle="1" w:styleId="349">
    <w:name w:val="xl65"/>
    <w:basedOn w:val="1"/>
    <w:qFormat/>
    <w:uiPriority w:val="0"/>
    <w:pPr>
      <w:widowControl/>
      <w:spacing w:before="100" w:beforeAutospacing="1" w:after="100" w:afterAutospacing="1"/>
      <w:jc w:val="center"/>
    </w:pPr>
    <w:rPr>
      <w:rFonts w:ascii="宋体" w:hAnsi="宋体" w:cs="宋体"/>
      <w:color w:val="000000"/>
      <w:kern w:val="0"/>
      <w:sz w:val="24"/>
    </w:rPr>
  </w:style>
  <w:style w:type="paragraph" w:customStyle="1" w:styleId="350">
    <w:name w:val="正文格式"/>
    <w:basedOn w:val="1"/>
    <w:qFormat/>
    <w:uiPriority w:val="0"/>
    <w:pPr>
      <w:widowControl/>
      <w:adjustRightInd w:val="0"/>
      <w:snapToGrid w:val="0"/>
      <w:spacing w:line="400" w:lineRule="atLeast"/>
      <w:ind w:firstLine="482"/>
      <w:textAlignment w:val="baseline"/>
    </w:pPr>
    <w:rPr>
      <w:kern w:val="0"/>
      <w:sz w:val="24"/>
    </w:rPr>
  </w:style>
  <w:style w:type="character" w:customStyle="1" w:styleId="351">
    <w:name w:val="name"/>
    <w:basedOn w:val="49"/>
    <w:qFormat/>
    <w:uiPriority w:val="0"/>
  </w:style>
  <w:style w:type="character" w:customStyle="1" w:styleId="352">
    <w:name w:val="页码1"/>
    <w:qFormat/>
    <w:uiPriority w:val="0"/>
    <w:rPr>
      <w:rFonts w:cs="Times New Roman"/>
    </w:rPr>
  </w:style>
  <w:style w:type="character" w:customStyle="1" w:styleId="353">
    <w:name w:val="段落正文 Char"/>
    <w:link w:val="247"/>
    <w:qFormat/>
    <w:uiPriority w:val="0"/>
    <w:rPr>
      <w:rFonts w:ascii="宋体" w:hAnsi="Cambria" w:eastAsia="等线" w:cs="Times New Roman"/>
    </w:rPr>
  </w:style>
  <w:style w:type="character" w:customStyle="1" w:styleId="354">
    <w:name w:val="Char Char91"/>
    <w:qFormat/>
    <w:uiPriority w:val="0"/>
    <w:rPr>
      <w:rFonts w:eastAsia="宋体"/>
      <w:kern w:val="2"/>
      <w:sz w:val="18"/>
      <w:szCs w:val="18"/>
      <w:lang w:val="en-US" w:eastAsia="zh-CN" w:bidi="ar-SA"/>
    </w:rPr>
  </w:style>
  <w:style w:type="character" w:customStyle="1" w:styleId="355">
    <w:name w:val="Char Char111"/>
    <w:qFormat/>
    <w:uiPriority w:val="0"/>
    <w:rPr>
      <w:rFonts w:eastAsia="宋体"/>
      <w:kern w:val="2"/>
      <w:sz w:val="24"/>
      <w:lang w:bidi="ar-SA"/>
    </w:rPr>
  </w:style>
  <w:style w:type="paragraph" w:customStyle="1" w:styleId="356">
    <w:name w:val="xl278"/>
    <w:basedOn w:val="1"/>
    <w:qFormat/>
    <w:uiPriority w:val="0"/>
    <w:pPr>
      <w:widowControl/>
      <w:pBdr>
        <w:left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宋体" w:hAnsi="宋体" w:cs="宋体"/>
      <w:color w:val="000000"/>
      <w:kern w:val="0"/>
      <w:sz w:val="24"/>
    </w:rPr>
  </w:style>
  <w:style w:type="paragraph" w:customStyle="1" w:styleId="357">
    <w:name w:val="页脚1"/>
    <w:basedOn w:val="1"/>
    <w:next w:val="29"/>
    <w:qFormat/>
    <w:uiPriority w:val="99"/>
    <w:pPr>
      <w:tabs>
        <w:tab w:val="center" w:pos="4153"/>
        <w:tab w:val="right" w:pos="8306"/>
      </w:tabs>
      <w:snapToGrid w:val="0"/>
      <w:jc w:val="left"/>
    </w:pPr>
    <w:rPr>
      <w:sz w:val="18"/>
      <w:szCs w:val="18"/>
    </w:rPr>
  </w:style>
  <w:style w:type="paragraph" w:customStyle="1" w:styleId="358">
    <w:name w:val="xl27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cs="宋体"/>
      <w:kern w:val="0"/>
      <w:sz w:val="24"/>
    </w:rPr>
  </w:style>
  <w:style w:type="paragraph" w:customStyle="1" w:styleId="359">
    <w:name w:val="xl277"/>
    <w:basedOn w:val="1"/>
    <w:qFormat/>
    <w:uiPriority w:val="0"/>
    <w:pPr>
      <w:widowControl/>
      <w:pBdr>
        <w:top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宋体" w:hAnsi="宋体" w:cs="宋体"/>
      <w:color w:val="000000"/>
      <w:kern w:val="0"/>
      <w:sz w:val="24"/>
    </w:rPr>
  </w:style>
  <w:style w:type="paragraph" w:customStyle="1" w:styleId="360">
    <w:name w:val="xl2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4"/>
    </w:rPr>
  </w:style>
  <w:style w:type="paragraph" w:customStyle="1" w:styleId="361">
    <w:name w:val="xl276"/>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4"/>
    </w:rPr>
  </w:style>
  <w:style w:type="paragraph" w:customStyle="1" w:styleId="362">
    <w:name w:val="xl27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FF0000"/>
      <w:kern w:val="0"/>
      <w:sz w:val="24"/>
    </w:rPr>
  </w:style>
  <w:style w:type="paragraph" w:customStyle="1" w:styleId="363">
    <w:name w:val="xl27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4"/>
    </w:rPr>
  </w:style>
  <w:style w:type="paragraph" w:customStyle="1" w:styleId="364">
    <w:name w:val="xl268"/>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宋体" w:hAnsi="宋体" w:cs="宋体"/>
      <w:color w:val="000000"/>
      <w:kern w:val="0"/>
      <w:sz w:val="24"/>
    </w:rPr>
  </w:style>
  <w:style w:type="paragraph" w:customStyle="1" w:styleId="365">
    <w:name w:val="xl27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4"/>
    </w:rPr>
  </w:style>
  <w:style w:type="paragraph" w:customStyle="1" w:styleId="366">
    <w:name w:val="xl27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4"/>
    </w:rPr>
  </w:style>
  <w:style w:type="paragraph" w:customStyle="1" w:styleId="367">
    <w:name w:val="Char Char Char1"/>
    <w:basedOn w:val="1"/>
    <w:qFormat/>
    <w:uiPriority w:val="0"/>
    <w:rPr>
      <w:rFonts w:ascii="Tahoma" w:hAnsi="Tahoma"/>
      <w:sz w:val="24"/>
      <w:szCs w:val="20"/>
    </w:rPr>
  </w:style>
  <w:style w:type="paragraph" w:customStyle="1" w:styleId="368">
    <w:name w:val="xl26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8"/>
      <w:szCs w:val="28"/>
    </w:rPr>
  </w:style>
  <w:style w:type="paragraph" w:customStyle="1" w:styleId="369">
    <w:name w:val="Char11"/>
    <w:basedOn w:val="1"/>
    <w:qFormat/>
    <w:uiPriority w:val="0"/>
    <w:rPr>
      <w:rFonts w:ascii="Tahoma" w:hAnsi="Tahoma"/>
      <w:sz w:val="24"/>
      <w:szCs w:val="20"/>
    </w:rPr>
  </w:style>
  <w:style w:type="paragraph" w:customStyle="1" w:styleId="370">
    <w:name w:val="Char2"/>
    <w:basedOn w:val="14"/>
    <w:qFormat/>
    <w:uiPriority w:val="0"/>
    <w:pPr>
      <w:widowControl/>
    </w:pPr>
    <w:rPr>
      <w:rFonts w:ascii="Tahoma" w:hAnsi="Tahoma" w:eastAsia="宋体"/>
      <w:sz w:val="24"/>
    </w:rPr>
  </w:style>
  <w:style w:type="paragraph" w:customStyle="1" w:styleId="371">
    <w:name w:val="Char Char1"/>
    <w:basedOn w:val="1"/>
    <w:qFormat/>
    <w:uiPriority w:val="0"/>
    <w:pPr>
      <w:widowControl/>
      <w:spacing w:after="160" w:line="240" w:lineRule="exact"/>
      <w:jc w:val="left"/>
    </w:pPr>
    <w:rPr>
      <w:rFonts w:ascii="Verdana" w:hAnsi="Verdana" w:eastAsia="仿宋_GB2312"/>
      <w:kern w:val="0"/>
      <w:sz w:val="24"/>
      <w:szCs w:val="20"/>
      <w:lang w:eastAsia="en-US"/>
    </w:rPr>
  </w:style>
  <w:style w:type="paragraph" w:customStyle="1" w:styleId="372">
    <w:name w:val="Table Paragraph"/>
    <w:basedOn w:val="1"/>
    <w:qFormat/>
    <w:uiPriority w:val="1"/>
    <w:rPr>
      <w:rFonts w:ascii="仿宋" w:hAnsi="仿宋" w:eastAsia="仿宋" w:cs="仿宋"/>
      <w:lang w:val="zh-CN" w:bidi="zh-CN"/>
    </w:rPr>
  </w:style>
  <w:style w:type="paragraph" w:customStyle="1" w:styleId="373">
    <w:name w:val="xl283"/>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8"/>
      <w:szCs w:val="28"/>
    </w:rPr>
  </w:style>
  <w:style w:type="paragraph" w:customStyle="1" w:styleId="374">
    <w:name w:val="xl2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4"/>
    </w:rPr>
  </w:style>
  <w:style w:type="paragraph" w:customStyle="1" w:styleId="375">
    <w:name w:val="xl258"/>
    <w:basedOn w:val="1"/>
    <w:qFormat/>
    <w:uiPriority w:val="0"/>
    <w:pPr>
      <w:widowControl/>
      <w:spacing w:before="100" w:beforeAutospacing="1" w:after="100" w:afterAutospacing="1"/>
      <w:jc w:val="left"/>
    </w:pPr>
    <w:rPr>
      <w:rFonts w:ascii="宋体" w:hAnsi="宋体" w:cs="宋体"/>
      <w:color w:val="FF0000"/>
      <w:kern w:val="0"/>
      <w:sz w:val="28"/>
      <w:szCs w:val="28"/>
    </w:rPr>
  </w:style>
  <w:style w:type="paragraph" w:customStyle="1" w:styleId="376">
    <w:name w:val="xl28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cs="宋体"/>
      <w:color w:val="000000"/>
      <w:kern w:val="0"/>
      <w:sz w:val="24"/>
    </w:rPr>
  </w:style>
  <w:style w:type="paragraph" w:customStyle="1" w:styleId="377">
    <w:name w:val="列表段落2"/>
    <w:basedOn w:val="1"/>
    <w:qFormat/>
    <w:uiPriority w:val="0"/>
    <w:pPr>
      <w:widowControl/>
      <w:ind w:left="720"/>
      <w:contextualSpacing/>
      <w:jc w:val="left"/>
    </w:pPr>
    <w:rPr>
      <w:rFonts w:eastAsia="Times New Roman"/>
      <w:kern w:val="0"/>
      <w:sz w:val="24"/>
    </w:rPr>
  </w:style>
  <w:style w:type="paragraph" w:customStyle="1" w:styleId="378">
    <w:name w:val="Char1 Char Char Char1"/>
    <w:basedOn w:val="1"/>
    <w:qFormat/>
    <w:uiPriority w:val="0"/>
    <w:pPr>
      <w:spacing w:line="360" w:lineRule="auto"/>
    </w:pPr>
    <w:rPr>
      <w:rFonts w:ascii="Tahoma" w:hAnsi="Tahoma"/>
      <w:sz w:val="24"/>
      <w:szCs w:val="20"/>
    </w:rPr>
  </w:style>
  <w:style w:type="paragraph" w:customStyle="1" w:styleId="379">
    <w:name w:val="xl260"/>
    <w:basedOn w:val="1"/>
    <w:qFormat/>
    <w:uiPriority w:val="0"/>
    <w:pPr>
      <w:widowControl/>
      <w:spacing w:before="100" w:beforeAutospacing="1" w:after="100" w:afterAutospacing="1"/>
      <w:jc w:val="left"/>
    </w:pPr>
    <w:rPr>
      <w:rFonts w:ascii="宋体" w:hAnsi="宋体" w:cs="宋体"/>
      <w:kern w:val="0"/>
      <w:sz w:val="24"/>
    </w:rPr>
  </w:style>
  <w:style w:type="paragraph" w:customStyle="1" w:styleId="380">
    <w:name w:val="普通(网站)1"/>
    <w:basedOn w:val="1"/>
    <w:qFormat/>
    <w:uiPriority w:val="0"/>
    <w:pPr>
      <w:widowControl/>
      <w:spacing w:before="240" w:after="240"/>
      <w:jc w:val="left"/>
    </w:pPr>
    <w:rPr>
      <w:rFonts w:ascii="宋体" w:hAnsi="宋体" w:cs="宋体"/>
      <w:kern w:val="0"/>
      <w:sz w:val="24"/>
    </w:rPr>
  </w:style>
  <w:style w:type="paragraph" w:customStyle="1" w:styleId="381">
    <w:name w:val="unnamed1"/>
    <w:basedOn w:val="1"/>
    <w:qFormat/>
    <w:uiPriority w:val="0"/>
    <w:pPr>
      <w:widowControl/>
      <w:spacing w:beforeAutospacing="1" w:afterAutospacing="1" w:line="288" w:lineRule="auto"/>
      <w:jc w:val="left"/>
    </w:pPr>
    <w:rPr>
      <w:rFonts w:hint="eastAsia" w:ascii="宋体" w:hAnsi="宋体"/>
      <w:kern w:val="0"/>
      <w:szCs w:val="21"/>
    </w:rPr>
  </w:style>
  <w:style w:type="paragraph" w:customStyle="1" w:styleId="382">
    <w:name w:val="Char Char Char Char Char Char Char Char Char Char Char Char Char Char Char Char Char Char Char1"/>
    <w:basedOn w:val="1"/>
    <w:qFormat/>
    <w:uiPriority w:val="0"/>
    <w:pPr>
      <w:widowControl/>
      <w:spacing w:after="160" w:line="240" w:lineRule="exact"/>
      <w:jc w:val="left"/>
    </w:pPr>
  </w:style>
  <w:style w:type="paragraph" w:customStyle="1" w:styleId="383">
    <w:name w:val="xl259"/>
    <w:basedOn w:val="1"/>
    <w:qFormat/>
    <w:uiPriority w:val="0"/>
    <w:pPr>
      <w:widowControl/>
      <w:spacing w:before="100" w:beforeAutospacing="1" w:after="100" w:afterAutospacing="1"/>
      <w:jc w:val="left"/>
    </w:pPr>
    <w:rPr>
      <w:rFonts w:ascii="宋体" w:hAnsi="宋体" w:cs="宋体"/>
      <w:kern w:val="0"/>
      <w:sz w:val="28"/>
      <w:szCs w:val="28"/>
    </w:rPr>
  </w:style>
  <w:style w:type="paragraph" w:customStyle="1" w:styleId="384">
    <w:name w:val="xl28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cs="宋体"/>
      <w:color w:val="000000"/>
      <w:kern w:val="0"/>
      <w:sz w:val="24"/>
    </w:rPr>
  </w:style>
  <w:style w:type="paragraph" w:customStyle="1" w:styleId="385">
    <w:name w:val="xl26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4"/>
    </w:rPr>
  </w:style>
  <w:style w:type="paragraph" w:customStyle="1" w:styleId="386">
    <w:name w:val="Char Char Char Char1"/>
    <w:basedOn w:val="1"/>
    <w:qFormat/>
    <w:uiPriority w:val="0"/>
    <w:rPr>
      <w:rFonts w:ascii="Tahoma" w:hAnsi="Tahoma"/>
      <w:sz w:val="24"/>
      <w:szCs w:val="20"/>
    </w:rPr>
  </w:style>
  <w:style w:type="paragraph" w:customStyle="1" w:styleId="387">
    <w:name w:val="xl261"/>
    <w:basedOn w:val="1"/>
    <w:qFormat/>
    <w:uiPriority w:val="0"/>
    <w:pPr>
      <w:widowControl/>
      <w:spacing w:before="100" w:beforeAutospacing="1" w:after="100" w:afterAutospacing="1"/>
      <w:jc w:val="center"/>
    </w:pPr>
    <w:rPr>
      <w:rFonts w:ascii="宋体" w:hAnsi="宋体" w:cs="宋体"/>
      <w:kern w:val="0"/>
      <w:sz w:val="24"/>
    </w:rPr>
  </w:style>
  <w:style w:type="paragraph" w:customStyle="1" w:styleId="388">
    <w:name w:val="xl26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4"/>
    </w:rPr>
  </w:style>
  <w:style w:type="paragraph" w:customStyle="1" w:styleId="389">
    <w:name w:val="xl257"/>
    <w:basedOn w:val="1"/>
    <w:qFormat/>
    <w:uiPriority w:val="0"/>
    <w:pPr>
      <w:widowControl/>
      <w:spacing w:before="100" w:beforeAutospacing="1" w:after="100" w:afterAutospacing="1"/>
      <w:jc w:val="left"/>
    </w:pPr>
    <w:rPr>
      <w:rFonts w:ascii="宋体" w:hAnsi="宋体" w:cs="宋体"/>
      <w:kern w:val="0"/>
      <w:sz w:val="28"/>
      <w:szCs w:val="28"/>
    </w:rPr>
  </w:style>
  <w:style w:type="paragraph" w:customStyle="1" w:styleId="390">
    <w:name w:val="xl263"/>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ascii="宋体" w:hAnsi="宋体" w:cs="宋体"/>
      <w:kern w:val="0"/>
      <w:sz w:val="24"/>
    </w:rPr>
  </w:style>
  <w:style w:type="paragraph" w:customStyle="1" w:styleId="391">
    <w:name w:val="xl2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color w:val="000000"/>
      <w:kern w:val="0"/>
      <w:sz w:val="28"/>
      <w:szCs w:val="28"/>
    </w:rPr>
  </w:style>
  <w:style w:type="paragraph" w:customStyle="1" w:styleId="392">
    <w:name w:val="xl2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4"/>
    </w:rPr>
  </w:style>
  <w:style w:type="paragraph" w:customStyle="1" w:styleId="393">
    <w:name w:val="xl279"/>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4"/>
    </w:rPr>
  </w:style>
  <w:style w:type="paragraph" w:customStyle="1" w:styleId="394">
    <w:name w:val="xl282"/>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ascii="宋体" w:hAnsi="宋体" w:cs="宋体"/>
      <w:b/>
      <w:bCs/>
      <w:kern w:val="0"/>
      <w:sz w:val="28"/>
      <w:szCs w:val="28"/>
    </w:rPr>
  </w:style>
  <w:style w:type="character" w:customStyle="1" w:styleId="395">
    <w:name w:val="纯文本 Char2"/>
    <w:qFormat/>
    <w:uiPriority w:val="0"/>
    <w:rPr>
      <w:rFonts w:ascii="宋体" w:hAnsi="Courier New" w:eastAsia="宋体" w:cs="Times New Roman"/>
      <w:kern w:val="0"/>
      <w:sz w:val="20"/>
      <w:szCs w:val="20"/>
    </w:rPr>
  </w:style>
  <w:style w:type="paragraph" w:customStyle="1" w:styleId="396">
    <w:name w:val="mybody"/>
    <w:basedOn w:val="1"/>
    <w:link w:val="397"/>
    <w:qFormat/>
    <w:uiPriority w:val="0"/>
    <w:pPr>
      <w:widowControl/>
      <w:spacing w:beforeLines="100" w:afterLines="100" w:line="288" w:lineRule="auto"/>
      <w:ind w:firstLine="200" w:firstLineChars="200"/>
      <w:jc w:val="left"/>
    </w:pPr>
    <w:rPr>
      <w:rFonts w:ascii="Calibri" w:hAnsi="Calibri"/>
      <w:color w:val="000000"/>
      <w:kern w:val="0"/>
      <w:sz w:val="28"/>
      <w:szCs w:val="22"/>
      <w:lang w:eastAsia="en-US"/>
    </w:rPr>
  </w:style>
  <w:style w:type="character" w:customStyle="1" w:styleId="397">
    <w:name w:val="mybody Char"/>
    <w:link w:val="396"/>
    <w:qFormat/>
    <w:uiPriority w:val="0"/>
    <w:rPr>
      <w:rFonts w:ascii="Calibri" w:hAnsi="Calibri"/>
      <w:color w:val="000000"/>
      <w:sz w:val="28"/>
      <w:szCs w:val="22"/>
      <w:lang w:eastAsia="en-US"/>
    </w:rPr>
  </w:style>
  <w:style w:type="paragraph" w:customStyle="1" w:styleId="398">
    <w:name w:val="Normal (Web) Char"/>
    <w:basedOn w:val="1"/>
    <w:qFormat/>
    <w:uiPriority w:val="0"/>
    <w:pPr>
      <w:widowControl/>
      <w:spacing w:before="100" w:beforeAutospacing="1" w:after="100" w:afterAutospacing="1"/>
      <w:jc w:val="left"/>
    </w:pPr>
    <w:rPr>
      <w:rFonts w:ascii="宋体" w:hAnsi="宋体" w:cs="宋体"/>
      <w:kern w:val="0"/>
      <w:sz w:val="24"/>
      <w:szCs w:val="22"/>
    </w:rPr>
  </w:style>
  <w:style w:type="character" w:customStyle="1" w:styleId="399">
    <w:name w:val="xdrichtextbox"/>
    <w:qFormat/>
    <w:uiPriority w:val="0"/>
  </w:style>
  <w:style w:type="character" w:customStyle="1" w:styleId="400">
    <w:name w:val="批注框文本 Char1"/>
    <w:basedOn w:val="49"/>
    <w:semiHidden/>
    <w:qFormat/>
    <w:uiPriority w:val="99"/>
    <w:rPr>
      <w:rFonts w:ascii="Times New Roman" w:hAnsi="Times New Roman" w:eastAsia="宋体" w:cs="Times New Roman"/>
      <w:sz w:val="18"/>
      <w:szCs w:val="18"/>
    </w:rPr>
  </w:style>
  <w:style w:type="character" w:customStyle="1" w:styleId="401">
    <w:name w:val="批注主题 Char1"/>
    <w:basedOn w:val="74"/>
    <w:semiHidden/>
    <w:qFormat/>
    <w:uiPriority w:val="99"/>
    <w:rPr>
      <w:rFonts w:ascii="Times New Roman" w:hAnsi="Times New Roman" w:eastAsia="宋体" w:cs="Times New Roman"/>
      <w:b/>
      <w:bCs/>
      <w:szCs w:val="24"/>
    </w:rPr>
  </w:style>
  <w:style w:type="character" w:customStyle="1" w:styleId="402">
    <w:name w:val="文档结构图 Char1"/>
    <w:basedOn w:val="49"/>
    <w:semiHidden/>
    <w:qFormat/>
    <w:uiPriority w:val="99"/>
    <w:rPr>
      <w:rFonts w:ascii="宋体" w:hAnsi="Times New Roman" w:eastAsia="宋体" w:cs="Times New Roman"/>
      <w:sz w:val="18"/>
      <w:szCs w:val="18"/>
    </w:rPr>
  </w:style>
  <w:style w:type="paragraph" w:customStyle="1" w:styleId="403">
    <w:name w:val="[基本段落]"/>
    <w:basedOn w:val="1"/>
    <w:qFormat/>
    <w:uiPriority w:val="99"/>
    <w:pPr>
      <w:autoSpaceDE w:val="0"/>
      <w:autoSpaceDN w:val="0"/>
      <w:adjustRightInd w:val="0"/>
      <w:spacing w:line="288" w:lineRule="auto"/>
    </w:pPr>
    <w:rPr>
      <w:rFonts w:ascii="宋体" w:hAnsi="Calibri" w:cs="宋体"/>
      <w:color w:val="000000"/>
      <w:kern w:val="0"/>
      <w:sz w:val="24"/>
      <w:lang w:val="zh-CN"/>
    </w:rPr>
  </w:style>
  <w:style w:type="paragraph" w:customStyle="1" w:styleId="404">
    <w:name w:val="PlainText"/>
    <w:basedOn w:val="1"/>
    <w:link w:val="406"/>
    <w:qFormat/>
    <w:uiPriority w:val="0"/>
    <w:pPr>
      <w:widowControl/>
      <w:textAlignment w:val="baseline"/>
    </w:pPr>
    <w:rPr>
      <w:rFonts w:ascii="宋体" w:hAnsi="Courier New"/>
      <w:kern w:val="0"/>
      <w:szCs w:val="21"/>
    </w:rPr>
  </w:style>
  <w:style w:type="character" w:customStyle="1" w:styleId="405">
    <w:name w:val="UserStyle_0"/>
    <w:qFormat/>
    <w:uiPriority w:val="0"/>
  </w:style>
  <w:style w:type="character" w:customStyle="1" w:styleId="406">
    <w:name w:val="UserStyle_18"/>
    <w:link w:val="404"/>
    <w:qFormat/>
    <w:uiPriority w:val="0"/>
    <w:rPr>
      <w:rFonts w:ascii="宋体" w:hAnsi="Courier New"/>
      <w:sz w:val="21"/>
      <w:szCs w:val="21"/>
    </w:rPr>
  </w:style>
  <w:style w:type="character" w:customStyle="1" w:styleId="407">
    <w:name w:val="可研正文 字符"/>
    <w:autoRedefine/>
    <w:qFormat/>
    <w:uiPriority w:val="0"/>
    <w:rPr>
      <w:rFonts w:cs="宋体"/>
    </w:rPr>
  </w:style>
  <w:style w:type="paragraph" w:customStyle="1" w:styleId="408">
    <w:name w:val="可研正文"/>
    <w:basedOn w:val="1"/>
    <w:autoRedefine/>
    <w:qFormat/>
    <w:uiPriority w:val="0"/>
    <w:pPr>
      <w:spacing w:before="72" w:beforeLines="30" w:after="72" w:afterLines="30" w:line="360" w:lineRule="auto"/>
      <w:ind w:firstLine="480" w:firstLineChars="200"/>
    </w:pPr>
    <w:rPr>
      <w:bCs/>
      <w:sz w:val="24"/>
      <w:szCs w:val="28"/>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header" Target="header3.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1.xml"/><Relationship Id="rId17" Type="http://schemas.openxmlformats.org/officeDocument/2006/relationships/numbering" Target="numbering.xml"/><Relationship Id="rId16" Type="http://schemas.openxmlformats.org/officeDocument/2006/relationships/theme" Target="theme/theme1.xml"/><Relationship Id="rId15" Type="http://schemas.openxmlformats.org/officeDocument/2006/relationships/footer" Target="footer7.xml"/><Relationship Id="rId14" Type="http://schemas.openxmlformats.org/officeDocument/2006/relationships/footer" Target="footer6.xml"/><Relationship Id="rId13" Type="http://schemas.openxmlformats.org/officeDocument/2006/relationships/header" Target="header6.xml"/><Relationship Id="rId12" Type="http://schemas.openxmlformats.org/officeDocument/2006/relationships/footer" Target="footer5.xml"/><Relationship Id="rId11" Type="http://schemas.openxmlformats.org/officeDocument/2006/relationships/header" Target="head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DB2ABC-40B4-4CD8-B9C3-853338C822EA}">
  <ds:schemaRefs/>
</ds:datastoreItem>
</file>

<file path=docProps/app.xml><?xml version="1.0" encoding="utf-8"?>
<Properties xmlns="http://schemas.openxmlformats.org/officeDocument/2006/extended-properties" xmlns:vt="http://schemas.openxmlformats.org/officeDocument/2006/docPropsVTypes">
  <Template>Normal.dotm</Template>
  <Company>WRGHO.COM</Company>
  <Pages>98</Pages>
  <Words>21403</Words>
  <Characters>22817</Characters>
  <Lines>471</Lines>
  <Paragraphs>132</Paragraphs>
  <TotalTime>81</TotalTime>
  <ScaleCrop>false</ScaleCrop>
  <LinksUpToDate>false</LinksUpToDate>
  <CharactersWithSpaces>22975</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2026-03-24T06:43:00Z</dcterms:created>
  <dc:creator>Administrator</dc:creator>
  <cp:lastModifiedBy>皮皮夏</cp:lastModifiedBy>
  <cp:lastPrinted>2022-08-25T06:57:00Z</cp:lastPrinted>
  <dcterms:modified xsi:type="dcterms:W3CDTF">2026-07-06T01:25:18Z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CE57350C35FB4D00A7AC3841DF7C65C9_13</vt:lpwstr>
  </property>
  <property fmtid="{D5CDD505-2E9C-101B-9397-08002B2CF9AE}" pid="4" name="KSOTemplateDocerSaveRecord">
    <vt:lpwstr>eyJoZGlkIjoiOWUxOGU0MjIzNzc3ZDUxMGM5Mzk3YWYyNDc2MTZjMTUiLCJ1c2VySWQiOiI4NDA2MjczNjIifQ==</vt:lpwstr>
  </property>
</Properties>
</file>