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3DE6AD">
      <w:pPr>
        <w:pStyle w:val="77"/>
        <w:rPr>
          <w:rFonts w:hint="eastAsia" w:ascii="Calibri" w:hAnsi="Calibri" w:eastAsia="仿宋" w:cs="仿宋"/>
          <w:color w:val="auto"/>
          <w:highlight w:val="none"/>
        </w:rPr>
      </w:pPr>
      <w:bookmarkStart w:id="0" w:name="_Toc2218"/>
    </w:p>
    <w:p w14:paraId="13157ED8">
      <w:pPr>
        <w:pStyle w:val="77"/>
        <w:rPr>
          <w:rFonts w:hint="eastAsia" w:ascii="Calibri" w:hAnsi="Calibri" w:eastAsia="仿宋" w:cs="仿宋"/>
          <w:color w:val="auto"/>
          <w:highlight w:val="none"/>
        </w:rPr>
      </w:pPr>
    </w:p>
    <w:p w14:paraId="69D028E6">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546DB4A1">
      <w:pPr>
        <w:pStyle w:val="30"/>
        <w:rPr>
          <w:color w:val="auto"/>
          <w:sz w:val="72"/>
          <w:szCs w:val="72"/>
          <w:highlight w:val="none"/>
        </w:rPr>
      </w:pPr>
    </w:p>
    <w:p w14:paraId="74B4188F">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61C30B5B">
      <w:pPr>
        <w:spacing w:line="360" w:lineRule="auto"/>
        <w:jc w:val="left"/>
        <w:rPr>
          <w:rFonts w:ascii="仿宋" w:hAnsi="仿宋" w:eastAsia="仿宋" w:cs="仿宋"/>
          <w:color w:val="auto"/>
          <w:sz w:val="28"/>
          <w:szCs w:val="28"/>
          <w:highlight w:val="none"/>
        </w:rPr>
      </w:pPr>
    </w:p>
    <w:p w14:paraId="309CF0F3">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WHSW2026-024</w:t>
      </w:r>
    </w:p>
    <w:p w14:paraId="0D4049ED">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val="en-US"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威海市水务集团有限公司选定聚氯化铝年度</w:t>
      </w:r>
    </w:p>
    <w:p w14:paraId="7FF23D35">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34" w:leftChars="1064" w:firstLine="0" w:firstLineChars="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val="en-US" w:eastAsia="zh-CN"/>
        </w:rPr>
        <w:t>供应商</w:t>
      </w:r>
    </w:p>
    <w:p w14:paraId="718394D3">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36F011C7">
      <w:pPr>
        <w:spacing w:line="360" w:lineRule="auto"/>
        <w:rPr>
          <w:rFonts w:ascii="仿宋" w:hAnsi="仿宋" w:eastAsia="仿宋" w:cs="仿宋"/>
          <w:b/>
          <w:color w:val="auto"/>
          <w:sz w:val="32"/>
          <w:szCs w:val="32"/>
          <w:highlight w:val="none"/>
        </w:rPr>
      </w:pPr>
    </w:p>
    <w:p w14:paraId="67636BF1">
      <w:pPr>
        <w:spacing w:line="360" w:lineRule="auto"/>
        <w:rPr>
          <w:rFonts w:ascii="仿宋" w:hAnsi="仿宋" w:eastAsia="仿宋" w:cs="仿宋"/>
          <w:b/>
          <w:color w:val="auto"/>
          <w:sz w:val="32"/>
          <w:szCs w:val="32"/>
          <w:highlight w:val="none"/>
        </w:rPr>
      </w:pPr>
    </w:p>
    <w:p w14:paraId="6650C01B">
      <w:pPr>
        <w:spacing w:line="360" w:lineRule="auto"/>
        <w:rPr>
          <w:rFonts w:ascii="仿宋" w:hAnsi="仿宋" w:eastAsia="仿宋" w:cs="仿宋"/>
          <w:b/>
          <w:color w:val="auto"/>
          <w:sz w:val="32"/>
          <w:szCs w:val="32"/>
          <w:highlight w:val="none"/>
        </w:rPr>
      </w:pPr>
    </w:p>
    <w:p w14:paraId="743C6F99">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6483A350">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2026年10月19日</w:t>
      </w:r>
    </w:p>
    <w:p w14:paraId="45CD8B1F">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556E4420">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53C15F2E">
      <w:pPr>
        <w:jc w:val="center"/>
        <w:rPr>
          <w:rFonts w:hint="eastAsia" w:ascii="仿宋" w:hAnsi="仿宋" w:eastAsia="仿宋" w:cs="仿宋"/>
          <w:b/>
          <w:bCs/>
          <w:sz w:val="36"/>
          <w:szCs w:val="36"/>
          <w:highlight w:val="none"/>
        </w:rPr>
      </w:pPr>
    </w:p>
    <w:p w14:paraId="12AE2700">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6DC17519">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424A7167">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_Toc10256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34</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1843856F">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37</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099B9FB6">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_Toc5498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42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6B6E7FF9">
      <w:pPr>
        <w:pStyle w:val="30"/>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66</w:t>
      </w:r>
    </w:p>
    <w:p w14:paraId="7A22C536">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19F2A771">
      <w:pPr>
        <w:pStyle w:val="2"/>
        <w:bidi w:val="0"/>
        <w:rPr>
          <w:rFonts w:hint="eastAsia"/>
          <w:highlight w:val="none"/>
        </w:rPr>
      </w:pPr>
      <w:bookmarkStart w:id="1" w:name="_Toc1540"/>
      <w:r>
        <w:rPr>
          <w:rFonts w:hint="eastAsia"/>
          <w:highlight w:val="none"/>
        </w:rPr>
        <w:t>第一部分  招标公告</w:t>
      </w:r>
      <w:bookmarkEnd w:id="1"/>
    </w:p>
    <w:p w14:paraId="3B2738E3">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威海市水务集团有限公司选定聚氯化铝年度供应商</w:t>
      </w:r>
      <w:r>
        <w:rPr>
          <w:rFonts w:hint="eastAsia" w:ascii="仿宋" w:hAnsi="仿宋" w:eastAsia="仿宋" w:cs="仿宋"/>
          <w:b/>
          <w:bCs/>
          <w:spacing w:val="8"/>
          <w:sz w:val="28"/>
          <w:szCs w:val="28"/>
          <w:highlight w:val="none"/>
          <w:lang w:val="en-US" w:eastAsia="zh-CN"/>
        </w:rPr>
        <w:t>招标公告</w:t>
      </w:r>
    </w:p>
    <w:p w14:paraId="2FF1EBED">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b/>
          <w:bCs/>
          <w:spacing w:val="8"/>
          <w:sz w:val="28"/>
          <w:szCs w:val="28"/>
          <w:highlight w:val="none"/>
          <w:lang w:val="en-US" w:eastAsia="zh-CN"/>
        </w:rPr>
      </w:pPr>
      <w:r>
        <w:rPr>
          <w:rFonts w:hint="eastAsia" w:ascii="仿宋" w:hAnsi="仿宋" w:eastAsia="仿宋" w:cs="仿宋"/>
          <w:b/>
          <w:bCs/>
          <w:spacing w:val="8"/>
          <w:sz w:val="28"/>
          <w:szCs w:val="28"/>
          <w:highlight w:val="none"/>
          <w:lang w:val="en-US" w:eastAsia="zh-CN"/>
        </w:rPr>
        <w:t>（第二轮）</w:t>
      </w:r>
    </w:p>
    <w:p w14:paraId="1BD055F1">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招标编号：WHSW2026-024</w:t>
      </w:r>
      <w:r>
        <w:rPr>
          <w:rFonts w:hint="eastAsia" w:ascii="仿宋" w:hAnsi="仿宋" w:eastAsia="仿宋" w:cs="仿宋"/>
          <w:b/>
          <w:bCs/>
          <w:spacing w:val="8"/>
          <w:sz w:val="28"/>
          <w:szCs w:val="28"/>
          <w:highlight w:val="none"/>
          <w:lang w:eastAsia="zh-CN"/>
        </w:rPr>
        <w:t>）</w:t>
      </w:r>
    </w:p>
    <w:p w14:paraId="36B7788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威海市水务集团有限公司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威海市水务集团有限公司选定聚氯化铝年度供应商</w:t>
      </w:r>
      <w:r>
        <w:rPr>
          <w:rFonts w:hint="eastAsia" w:ascii="仿宋" w:hAnsi="仿宋" w:eastAsia="仿宋" w:cs="仿宋"/>
          <w:spacing w:val="8"/>
          <w:sz w:val="24"/>
          <w:szCs w:val="24"/>
          <w:highlight w:val="none"/>
        </w:rPr>
        <w:t>以公开招标方式确定中标单位。</w:t>
      </w:r>
    </w:p>
    <w:p w14:paraId="23EE10FA">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威海市水务集团有限公司选定聚氯化铝年度供应商</w:t>
      </w:r>
    </w:p>
    <w:p w14:paraId="34CADFEB">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45AC3914">
      <w:pPr>
        <w:pStyle w:val="16"/>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威海市水务集团有限公司选定聚氯化铝年度供应商</w:t>
      </w:r>
    </w:p>
    <w:p w14:paraId="3AEB9964">
      <w:pPr>
        <w:pStyle w:val="16"/>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w:t>
      </w:r>
      <w:r>
        <w:rPr>
          <w:rFonts w:hint="eastAsia" w:ascii="仿宋" w:hAnsi="仿宋" w:eastAsia="仿宋"/>
          <w:color w:val="000000"/>
          <w:sz w:val="24"/>
          <w:highlight w:val="none"/>
          <w:lang w:val="en-US" w:eastAsia="zh-CN"/>
        </w:rPr>
        <w:t>威海市水务集团有限公司选定聚氯化铝年度供应商。该项目本轮采购一个标包，具体内容详见下表</w:t>
      </w:r>
      <w:r>
        <w:rPr>
          <w:rFonts w:hint="eastAsia" w:ascii="仿宋" w:hAnsi="仿宋" w:eastAsia="仿宋" w:cs="仿宋"/>
          <w:spacing w:val="8"/>
          <w:kern w:val="2"/>
          <w:sz w:val="24"/>
          <w:szCs w:val="24"/>
          <w:highlight w:val="none"/>
          <w:lang w:val="en-US" w:eastAsia="zh-CN" w:bidi="ar-SA"/>
        </w:rPr>
        <w:t>，年用量只作为投标参考使用，实际采购数量可适时调整，并据实结算，实际采购量多于或少于年用量均不视为违约。</w:t>
      </w:r>
    </w:p>
    <w:tbl>
      <w:tblPr>
        <w:tblStyle w:val="42"/>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9"/>
        <w:gridCol w:w="2164"/>
        <w:gridCol w:w="1781"/>
        <w:gridCol w:w="2417"/>
        <w:gridCol w:w="777"/>
      </w:tblGrid>
      <w:tr w14:paraId="69A8C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79" w:type="dxa"/>
            <w:noWrap w:val="0"/>
            <w:vAlign w:val="center"/>
          </w:tcPr>
          <w:p w14:paraId="66AD461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标包号</w:t>
            </w:r>
          </w:p>
        </w:tc>
        <w:tc>
          <w:tcPr>
            <w:tcW w:w="2164" w:type="dxa"/>
            <w:noWrap w:val="0"/>
            <w:vAlign w:val="center"/>
          </w:tcPr>
          <w:p w14:paraId="36565764">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名称</w:t>
            </w:r>
          </w:p>
        </w:tc>
        <w:tc>
          <w:tcPr>
            <w:tcW w:w="1781" w:type="dxa"/>
            <w:noWrap w:val="0"/>
            <w:vAlign w:val="center"/>
          </w:tcPr>
          <w:p w14:paraId="0C4911A3">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年计划采购量</w:t>
            </w:r>
          </w:p>
          <w:p w14:paraId="7B46B533">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（吨）</w:t>
            </w:r>
          </w:p>
        </w:tc>
        <w:tc>
          <w:tcPr>
            <w:tcW w:w="2417" w:type="dxa"/>
            <w:noWrap w:val="0"/>
            <w:vAlign w:val="center"/>
          </w:tcPr>
          <w:p w14:paraId="77BE97DB">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控制单价（元/吨）</w:t>
            </w:r>
          </w:p>
          <w:p w14:paraId="79304351">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（含税）</w:t>
            </w:r>
          </w:p>
        </w:tc>
        <w:tc>
          <w:tcPr>
            <w:tcW w:w="777" w:type="dxa"/>
            <w:noWrap w:val="0"/>
            <w:vAlign w:val="center"/>
          </w:tcPr>
          <w:p w14:paraId="5C977609">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选定家数</w:t>
            </w:r>
          </w:p>
        </w:tc>
      </w:tr>
      <w:tr w14:paraId="48F7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479" w:type="dxa"/>
            <w:noWrap w:val="0"/>
            <w:vAlign w:val="center"/>
          </w:tcPr>
          <w:p w14:paraId="1C9FA78E">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标包二</w:t>
            </w:r>
          </w:p>
        </w:tc>
        <w:tc>
          <w:tcPr>
            <w:tcW w:w="2164" w:type="dxa"/>
            <w:noWrap w:val="0"/>
            <w:vAlign w:val="center"/>
          </w:tcPr>
          <w:p w14:paraId="3BC77E1C">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固态聚氯化铝</w:t>
            </w:r>
          </w:p>
        </w:tc>
        <w:tc>
          <w:tcPr>
            <w:tcW w:w="1781" w:type="dxa"/>
            <w:noWrap w:val="0"/>
            <w:vAlign w:val="center"/>
          </w:tcPr>
          <w:p w14:paraId="2376E881">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120</w:t>
            </w:r>
          </w:p>
        </w:tc>
        <w:tc>
          <w:tcPr>
            <w:tcW w:w="2417" w:type="dxa"/>
            <w:noWrap w:val="0"/>
            <w:vAlign w:val="center"/>
          </w:tcPr>
          <w:p w14:paraId="40C47691">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2232</w:t>
            </w:r>
          </w:p>
        </w:tc>
        <w:tc>
          <w:tcPr>
            <w:tcW w:w="777" w:type="dxa"/>
            <w:noWrap w:val="0"/>
            <w:vAlign w:val="center"/>
          </w:tcPr>
          <w:p w14:paraId="5A540A0E">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4"/>
                <w:szCs w:val="24"/>
                <w:highlight w:val="none"/>
                <w:vertAlign w:val="baseline"/>
                <w:lang w:val="en-US" w:eastAsia="zh-CN" w:bidi="ar-SA"/>
              </w:rPr>
            </w:pPr>
            <w:r>
              <w:rPr>
                <w:rFonts w:hint="eastAsia" w:ascii="仿宋" w:hAnsi="仿宋" w:eastAsia="仿宋" w:cs="仿宋"/>
                <w:spacing w:val="8"/>
                <w:kern w:val="2"/>
                <w:sz w:val="24"/>
                <w:szCs w:val="24"/>
                <w:highlight w:val="none"/>
                <w:vertAlign w:val="baseline"/>
                <w:lang w:val="en-US" w:eastAsia="zh-CN" w:bidi="ar-SA"/>
              </w:rPr>
              <w:t>1家</w:t>
            </w:r>
          </w:p>
        </w:tc>
      </w:tr>
    </w:tbl>
    <w:p w14:paraId="4C6D9A87">
      <w:pPr>
        <w:ind w:firstLine="514" w:firstLineChars="200"/>
        <w:rPr>
          <w:rFonts w:hint="eastAsia"/>
          <w:highlight w:val="none"/>
          <w:lang w:val="en-US" w:eastAsia="zh-CN"/>
        </w:rPr>
      </w:pPr>
      <w:r>
        <w:rPr>
          <w:rFonts w:hint="eastAsia" w:ascii="仿宋" w:hAnsi="仿宋" w:eastAsia="仿宋" w:cs="仿宋"/>
          <w:b/>
          <w:bCs/>
          <w:spacing w:val="8"/>
          <w:kern w:val="2"/>
          <w:sz w:val="24"/>
          <w:szCs w:val="24"/>
          <w:highlight w:val="none"/>
          <w:lang w:val="en-US" w:eastAsia="zh-CN" w:bidi="ar-SA"/>
        </w:rPr>
        <w:t>注：本项目第一轮招标文件约定本项目为兼投不兼中，标包一的中标单位可以参与本次标包二的投标，若标包一的中标单位为本轮评审排名第一，则取消其标包二的中标候选人资格，由后续排序合格的投标人依次递补。</w:t>
      </w:r>
    </w:p>
    <w:p w14:paraId="39FE9991">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3.服务期：合同期限为1年。合同期满后，招标人对中标人履行情况进行考核，合格则可续签合同，续签不超过2次。</w:t>
      </w:r>
    </w:p>
    <w:p w14:paraId="2201C061">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4.供货期：自招标人通知之日起3日内，按照通知的要求将产品运抵指定地点，招标人不再另行支付其他任何费用。</w:t>
      </w:r>
    </w:p>
    <w:p w14:paraId="53BD07B2">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5.质保期：标包二：自验收合格之日起12个月。</w:t>
      </w:r>
    </w:p>
    <w:p w14:paraId="4CCDE283">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6.质量标准：</w:t>
      </w:r>
      <w:r>
        <w:rPr>
          <w:rFonts w:hint="eastAsia" w:ascii="仿宋" w:hAnsi="仿宋" w:eastAsia="仿宋"/>
          <w:color w:val="000000"/>
          <w:sz w:val="24"/>
          <w:highlight w:val="none"/>
          <w:lang w:eastAsia="zh-CN"/>
        </w:rPr>
        <w:t>达到国家验收规范合格标准</w:t>
      </w:r>
      <w:r>
        <w:rPr>
          <w:rFonts w:hint="eastAsia" w:ascii="仿宋" w:hAnsi="仿宋" w:eastAsia="仿宋" w:cs="仿宋"/>
          <w:spacing w:val="8"/>
          <w:kern w:val="2"/>
          <w:sz w:val="24"/>
          <w:szCs w:val="24"/>
          <w:highlight w:val="none"/>
          <w:lang w:val="en-US" w:eastAsia="zh-CN" w:bidi="ar-SA"/>
        </w:rPr>
        <w:t>。</w:t>
      </w:r>
    </w:p>
    <w:p w14:paraId="1D683F5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7.采购范围：包括但不限于聚氯化铝采购、加工、包装、运输、保管、装卸、检测、验收、售后服务及其他服务，以及在质量保证期内发生的任何缺陷的维修和更换工作等与合同有关的所有内容。</w:t>
      </w:r>
    </w:p>
    <w:p w14:paraId="212B382F">
      <w:pPr>
        <w:pStyle w:val="16"/>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40CF1AC7">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1.具有独立承担民事责任能力的生产商或经销商，投标人若为经销商需提供生产厂家的授权书（授权书须注明药剂状态，授权时间需满足项目服务期要求）</w:t>
      </w:r>
      <w:r>
        <w:rPr>
          <w:rFonts w:hint="eastAsia" w:ascii="仿宋" w:hAnsi="仿宋" w:eastAsia="仿宋" w:cs="仿宋"/>
          <w:spacing w:val="8"/>
          <w:sz w:val="24"/>
          <w:szCs w:val="24"/>
          <w:highlight w:val="none"/>
        </w:rPr>
        <w:t>；</w:t>
      </w:r>
    </w:p>
    <w:p w14:paraId="709F47C9">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rPr>
        <w:t>具有良好的商业信誉和健全的财务会计制度及履约能力；</w:t>
      </w:r>
    </w:p>
    <w:p w14:paraId="12078C5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14:paraId="6E37517B">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具有依法缴纳税收和社会保障资金的记录；</w:t>
      </w:r>
    </w:p>
    <w:p w14:paraId="1DEEFDB3">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参加本次招标活动前三年内，在经营活动中没有重大违法记录（若成立时间不足三年，则承诺自成立时间至今，在经营活动中没有重大违法记录）；</w:t>
      </w:r>
    </w:p>
    <w:p w14:paraId="4FC316C9">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投标人及其法定代表人、委托代理人未被最高法院（查询网址为：http://zxgk.court.gov.cn/shixin/）列入失信被执行人；</w:t>
      </w:r>
    </w:p>
    <w:p w14:paraId="5BAE5BB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投标人近一年在“信用中国”或“信用中国（山东）”无严重失信记录（个体工商户可提供通过“信用中国”各省级分站网站下载的无“严重失信主体名单”记录或无“失信惩戒信息”记录的公共信用信息报告）；</w:t>
      </w:r>
    </w:p>
    <w:p w14:paraId="23181183">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投标人近三年内无行贿犯罪行为记录（若成立时间不足三年，则承诺自成立时间至今，无行贿犯罪行为记录）；</w:t>
      </w:r>
    </w:p>
    <w:p w14:paraId="1B7B578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本项目不接受联合体投标。</w:t>
      </w:r>
    </w:p>
    <w:p w14:paraId="672E292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5DFE04C4">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26</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分（北京时间）</w:t>
      </w:r>
    </w:p>
    <w:p w14:paraId="22312775">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1DDB6D5E">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2D2FB320">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24D748BF">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54D41753">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7714C48D">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1433CDFB">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49147AD1">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781B1C20">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:00:00（北京时间）</w:t>
      </w:r>
    </w:p>
    <w:p w14:paraId="39A392CF">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十厅</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p>
    <w:p w14:paraId="5D4FF18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bookmarkStart w:id="26" w:name="_GoBack"/>
      <w:bookmarkEnd w:id="26"/>
    </w:p>
    <w:p w14:paraId="1993B253">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提交投标文件截止时间前，随时关注威海市公共资源交易网（变更公告栏）内变更提醒。</w:t>
      </w:r>
    </w:p>
    <w:p w14:paraId="5A80FC4D">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7160AD3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5618C4D7">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5AD37610">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威海市水务集团有限公司</w:t>
      </w:r>
    </w:p>
    <w:p w14:paraId="55D804E3">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威海市上海路58号</w:t>
      </w:r>
    </w:p>
    <w:p w14:paraId="4B492A0E">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张莹</w:t>
      </w:r>
    </w:p>
    <w:p w14:paraId="57739846">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联系方式：0631-5978699</w:t>
      </w:r>
    </w:p>
    <w:p w14:paraId="1E974617">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350D36A3">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6F613E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58CC7E35">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李中元、杨晓青</w:t>
      </w:r>
    </w:p>
    <w:p w14:paraId="492D5150">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706935E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2"/>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5A04905A">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56311AB7">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8213886"/>
      <w:bookmarkStart w:id="7" w:name="_Toc39827101"/>
      <w:bookmarkStart w:id="8" w:name="_Toc39827471"/>
      <w:bookmarkStart w:id="9" w:name="_Toc39827536"/>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中国招标投标公共服务平台（www.cebpubservice.com）、山东省公共资源交易网（https://ggzyjy.shandong.gov.cn/）、威海市公共资源交易网（http://ggzyjy.weihai.cn/）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14:paraId="6B559968">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22A5B806">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2026年10</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19</w:t>
      </w:r>
      <w:r>
        <w:rPr>
          <w:rFonts w:hint="eastAsia" w:ascii="仿宋" w:hAnsi="仿宋" w:eastAsia="仿宋" w:cs="仿宋"/>
          <w:sz w:val="24"/>
          <w:szCs w:val="24"/>
          <w:highlight w:val="none"/>
        </w:rPr>
        <w:t>日</w:t>
      </w:r>
      <w:bookmarkEnd w:id="2"/>
    </w:p>
    <w:p w14:paraId="6B7746BD">
      <w:pPr>
        <w:pStyle w:val="2"/>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3C0E6CE2">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1"/>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7746FB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032E1C9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F40867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09654704">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429122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67E44CA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69F0B1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082E1E4E">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威海市水务集团有限公司选定聚氯化铝年度供应商</w:t>
            </w:r>
          </w:p>
        </w:tc>
      </w:tr>
      <w:tr w14:paraId="5A1712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6905FF7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D5635B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14A4D9DE">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WHSW2026-024</w:t>
            </w:r>
          </w:p>
        </w:tc>
      </w:tr>
      <w:tr w14:paraId="68921B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6EBF05E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8F36E58">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63E85F28">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威海市水务集团有限公司</w:t>
            </w:r>
          </w:p>
          <w:p w14:paraId="6B221C40">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威海市上海路58号</w:t>
            </w:r>
          </w:p>
          <w:p w14:paraId="56ECFEE9">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张莹</w:t>
            </w:r>
          </w:p>
          <w:p w14:paraId="209B6DC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联系电话：0631-5978699</w:t>
            </w:r>
          </w:p>
        </w:tc>
      </w:tr>
      <w:tr w14:paraId="5D854E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45ACB50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D387ED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7EDF43C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7729B40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596F474D">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李中元、杨晓青</w:t>
            </w:r>
          </w:p>
          <w:p w14:paraId="6C7EA80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162CF9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1E2CEF9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651371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E826B9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24F68C8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17F96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7EFA78D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AB7D30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779A605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3CC44E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7B67E0F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D59823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148B3A2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4437955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7BA60F9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7C9C5B1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04B9893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40865DA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568E2CE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1C34088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5EB6977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294FA64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683610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6E68528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2B9A2D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41D98D3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2E6D031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3AD8B7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5D16503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0F803D7">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3D55E803">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网上按时递交电子投标文件1份以及纸质投标文件2份</w:t>
            </w:r>
          </w:p>
        </w:tc>
      </w:tr>
      <w:tr w14:paraId="5796CB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6DBC662B">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DC003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5BAEA2B0">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18E4EC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79D9FA2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46CF08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745EB465">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688675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2773952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0F142B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72FE740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05282C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688FB7E">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636F73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7C1DE1CB">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380A3B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5BA839E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061FD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17A81105">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0B6FC0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3CAEDBC1">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59E5A2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37464B13">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E9E9E1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1D153C97">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b w:val="0"/>
                <w:bCs w:val="0"/>
                <w:sz w:val="24"/>
                <w:szCs w:val="24"/>
                <w:highlight w:val="none"/>
                <w:lang w:val="en-US" w:eastAsia="zh-CN"/>
              </w:rPr>
              <w:t>2、</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7E0CAEC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纸质投标文件份数：两份，胶装成册。</w:t>
            </w:r>
          </w:p>
        </w:tc>
      </w:tr>
      <w:tr w14:paraId="0A810E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09A2660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835537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25992A47">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6ED609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62553011">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DD8D77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106F16CF">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4443AE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205EB1F3">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87A63A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16C6AF2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25445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7E703A60">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F39C41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702940F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0422CFF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11EB5D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2F232E4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88270A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7924592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26FCD7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4F98F76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65F9C5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7A85D66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3677D4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752831E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28FB25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5DF9FEE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132EAC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ED00FE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033A06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702F052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47A282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586879A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7AF3AA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2874C3BC">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2000.00</w:t>
            </w:r>
            <w:r>
              <w:rPr>
                <w:rFonts w:hint="eastAsia" w:ascii="仿宋" w:hAnsi="仿宋" w:eastAsia="仿宋" w:cs="仿宋"/>
                <w:sz w:val="24"/>
                <w:szCs w:val="24"/>
                <w:highlight w:val="none"/>
              </w:rPr>
              <w:t>元</w:t>
            </w:r>
            <w:r>
              <w:rPr>
                <w:rFonts w:hint="eastAsia" w:ascii="仿宋" w:hAnsi="仿宋" w:eastAsia="仿宋" w:cs="仿宋"/>
                <w:sz w:val="24"/>
                <w:szCs w:val="24"/>
                <w:highlight w:val="none"/>
                <w:lang w:eastAsia="zh-CN"/>
              </w:rPr>
              <w:t>。</w:t>
            </w:r>
          </w:p>
          <w:p w14:paraId="142E60A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bookmarkEnd w:id="11"/>
          <w:p w14:paraId="3036185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68B4FD3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7A2FB005">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r>
              <w:rPr>
                <w:rFonts w:hint="eastAsia" w:ascii="仿宋" w:hAnsi="仿宋" w:eastAsia="仿宋" w:cs="仿宋"/>
                <w:sz w:val="24"/>
                <w:szCs w:val="24"/>
                <w:highlight w:val="none"/>
                <w:lang w:eastAsia="zh-CN"/>
              </w:rPr>
              <w:t>。</w:t>
            </w:r>
          </w:p>
          <w:p w14:paraId="514EF16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FBADE1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26482E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2A45567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5A986C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3220473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711CEA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605ECAB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B7B446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2BE27038">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17381C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14:paraId="20758500">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4848ED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0F87B878">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招标代理服务费由中标单位支付，此费用包含在投标报价中，招标人不再另行考虑。代理服务费执行国家发改委规定的标准（详见《招标代理服务收费管理暂行办法》计价格［2002］1980号)。</w:t>
            </w:r>
          </w:p>
          <w:p w14:paraId="6E8B9833">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（1）按标准取费计算在3万以下的（含3万），按标准取费下浮20%。</w:t>
            </w:r>
          </w:p>
          <w:p w14:paraId="0E6BBA0E">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（2）按标准取费计算在3-6万元之间的（含6万），按标准取费下浮40%。</w:t>
            </w:r>
          </w:p>
          <w:p w14:paraId="6B13DCA7">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（3）按标准取费计算在6万元以上的，按标准取费下浮50%。不足3000元按3000元计，发放中标通知书时由中标单位向代理公司全额缴纳。</w:t>
            </w:r>
          </w:p>
          <w:p w14:paraId="7F8DF139">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开户名称：山东富尔工程咨询管理有限公司</w:t>
            </w:r>
          </w:p>
          <w:p w14:paraId="7EBEF57F">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开户银行：中国建设银行威海文化支行</w:t>
            </w:r>
          </w:p>
          <w:p w14:paraId="671B2A51">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银行账号：37001707101050000572</w:t>
            </w:r>
          </w:p>
        </w:tc>
      </w:tr>
      <w:tr w14:paraId="0F9FBD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14:paraId="4E828AC2">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7001AC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5045335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793719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69B4CB6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95D185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0256108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是</w:t>
            </w:r>
          </w:p>
        </w:tc>
      </w:tr>
      <w:tr w14:paraId="637ECE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0" w:hRule="atLeast"/>
          <w:jc w:val="center"/>
        </w:trPr>
        <w:tc>
          <w:tcPr>
            <w:tcW w:w="932" w:type="dxa"/>
            <w:tcBorders>
              <w:top w:val="single" w:color="auto" w:sz="4" w:space="0"/>
              <w:bottom w:val="single" w:color="auto" w:sz="4" w:space="0"/>
              <w:right w:val="single" w:color="auto" w:sz="4" w:space="0"/>
            </w:tcBorders>
            <w:noWrap w:val="0"/>
            <w:vAlign w:val="center"/>
          </w:tcPr>
          <w:p w14:paraId="5D57FF26">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B36B9F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74BFEDB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按货物类</w:t>
            </w:r>
            <w:r>
              <w:rPr>
                <w:rFonts w:hint="eastAsia" w:ascii="仿宋" w:hAnsi="仿宋" w:eastAsia="仿宋" w:cs="仿宋"/>
                <w:sz w:val="24"/>
                <w:szCs w:val="24"/>
                <w:highlight w:val="none"/>
              </w:rPr>
              <w:t>以公开招标方式实施采购。</w:t>
            </w:r>
          </w:p>
          <w:p w14:paraId="3BC9F41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2189B11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64F18727">
            <w:pPr>
              <w:snapToGrid w:val="0"/>
              <w:spacing w:line="40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p w14:paraId="4D0D829A">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投标单位参与本项目需接受的风险：投标单位在中标后及合同期限内由招标人根据项目及中标单位的实际情况安排后续供货情况，中标单位的供货量有可能会出现数量少，不排除在服务期限内无供货情况的风险，以上风险不视为招标人违约。</w:t>
            </w:r>
          </w:p>
        </w:tc>
      </w:tr>
    </w:tbl>
    <w:p w14:paraId="2687EABD">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63F25ED2">
      <w:pPr>
        <w:snapToGrid w:val="0"/>
        <w:spacing w:line="400" w:lineRule="exact"/>
        <w:jc w:val="left"/>
        <w:rPr>
          <w:rFonts w:ascii="仿宋" w:hAnsi="仿宋" w:eastAsia="仿宋" w:cs="仿宋"/>
          <w:sz w:val="24"/>
          <w:szCs w:val="24"/>
          <w:highlight w:val="none"/>
        </w:rPr>
      </w:pPr>
    </w:p>
    <w:p w14:paraId="0E672008">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1"/>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580CC9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59B5F59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73DF42D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76FDC666">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6415F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jc w:val="center"/>
        </w:trPr>
        <w:tc>
          <w:tcPr>
            <w:tcW w:w="942" w:type="dxa"/>
            <w:tcBorders>
              <w:top w:val="single" w:color="auto" w:sz="4" w:space="0"/>
              <w:bottom w:val="single" w:color="auto" w:sz="4" w:space="0"/>
              <w:right w:val="single" w:color="auto" w:sz="4" w:space="0"/>
            </w:tcBorders>
            <w:noWrap w:val="0"/>
            <w:vAlign w:val="center"/>
          </w:tcPr>
          <w:p w14:paraId="4C50955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6033CA2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3168CD8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有效的营业执照副本扫描件，若投标人为经销商，还需提供生产厂</w:t>
            </w:r>
            <w:r>
              <w:rPr>
                <w:rFonts w:hint="eastAsia" w:ascii="仿宋" w:hAnsi="仿宋" w:eastAsia="仿宋" w:cs="仿宋"/>
                <w:color w:val="auto"/>
                <w:sz w:val="24"/>
                <w:szCs w:val="24"/>
                <w:highlight w:val="none"/>
                <w:lang w:eastAsia="zh-CN"/>
              </w:rPr>
              <w:t>商的授权书</w:t>
            </w:r>
            <w:r>
              <w:rPr>
                <w:rFonts w:hint="eastAsia" w:ascii="仿宋" w:hAnsi="仿宋" w:eastAsia="仿宋" w:cs="仿宋"/>
                <w:spacing w:val="8"/>
                <w:sz w:val="24"/>
                <w:szCs w:val="24"/>
                <w:highlight w:val="none"/>
                <w:lang w:val="en-US" w:eastAsia="zh-CN"/>
              </w:rPr>
              <w:t>（授权书须注明药剂状态，授权时间需满足项目服务期要求）</w:t>
            </w:r>
            <w:r>
              <w:rPr>
                <w:rFonts w:hint="eastAsia" w:ascii="仿宋" w:hAnsi="仿宋" w:eastAsia="仿宋" w:cs="仿宋"/>
                <w:color w:val="auto"/>
                <w:sz w:val="24"/>
                <w:szCs w:val="24"/>
                <w:highlight w:val="none"/>
                <w:lang w:eastAsia="zh-CN"/>
              </w:rPr>
              <w:t>扫描件</w:t>
            </w:r>
            <w:r>
              <w:rPr>
                <w:rFonts w:hint="eastAsia" w:ascii="仿宋" w:hAnsi="仿宋" w:eastAsia="仿宋" w:cs="仿宋"/>
                <w:color w:val="auto"/>
                <w:sz w:val="24"/>
                <w:szCs w:val="24"/>
                <w:highlight w:val="none"/>
              </w:rPr>
              <w:t xml:space="preserve">； </w:t>
            </w:r>
          </w:p>
          <w:p w14:paraId="47C5C082">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法定代表人身份证明或授权委托书:</w:t>
            </w:r>
          </w:p>
          <w:p w14:paraId="19922F55">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若法定代表人参加投标，投标文件附法定代表人身份证明及法定代表人身份证</w:t>
            </w:r>
            <w:r>
              <w:rPr>
                <w:rFonts w:hint="eastAsia" w:ascii="仿宋" w:hAnsi="仿宋" w:eastAsia="仿宋" w:cs="仿宋"/>
                <w:sz w:val="24"/>
                <w:szCs w:val="24"/>
                <w:highlight w:val="none"/>
              </w:rPr>
              <w:t>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rPr>
              <w:t>授权委托书及被授权人身份证扫描件；</w:t>
            </w:r>
          </w:p>
          <w:p w14:paraId="7381DC66">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3.投标承诺函；</w:t>
            </w:r>
          </w:p>
          <w:p w14:paraId="13B17FE3">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投标人参与投标的声明函；</w:t>
            </w:r>
          </w:p>
          <w:p w14:paraId="2B9C700C">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4A2E6417">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投标人、法定代表人、委托代理人未被最高法院（查询网址为：http://zxgk.court.gov.cn/shixin/）列入失信被执行人。投标文件附通过网站查询信息记录（省份为全部）；</w:t>
            </w:r>
          </w:p>
          <w:p w14:paraId="2CA25200">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2"/>
                <w:rFonts w:hint="eastAsia" w:ascii="仿宋" w:hAnsi="仿宋" w:eastAsia="仿宋" w:cs="仿宋"/>
                <w:color w:val="auto"/>
                <w:sz w:val="24"/>
                <w:szCs w:val="24"/>
                <w:highlight w:val="none"/>
              </w:rPr>
              <w:t>https://www.creditchina.gov.cn）或信用中国（山东）（https://credit.shandong.gov.cn）查询的信用报告（个体工商户可提供通过“信用中国”各省级分站网站下载的无“严重失信主体名单”记录或无“失信惩戒信息”记录的公共信用信息报告）</w:t>
            </w:r>
            <w:r>
              <w:rPr>
                <w:rStyle w:val="52"/>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zh-CN"/>
              </w:rPr>
              <w:t>近一年是指2025年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月1日至查询日止，查询日期不早于招标文件开始获取日期</w:t>
            </w:r>
            <w:r>
              <w:rPr>
                <w:rFonts w:hint="eastAsia" w:ascii="仿宋" w:hAnsi="仿宋" w:eastAsia="仿宋" w:cs="仿宋"/>
                <w:color w:val="auto"/>
                <w:sz w:val="24"/>
                <w:szCs w:val="24"/>
                <w:highlight w:val="none"/>
              </w:rPr>
              <w:fldChar w:fldCharType="end"/>
            </w:r>
            <w:r>
              <w:rPr>
                <w:rFonts w:hint="eastAsia" w:ascii="仿宋" w:hAnsi="仿宋" w:eastAsia="仿宋" w:cs="仿宋"/>
                <w:sz w:val="24"/>
                <w:szCs w:val="24"/>
                <w:highlight w:val="none"/>
                <w:lang w:eastAsia="zh-CN"/>
              </w:rPr>
              <w:t>；</w:t>
            </w:r>
          </w:p>
          <w:p w14:paraId="19EC395B">
            <w:pPr>
              <w:snapToGrid w:val="0"/>
              <w:spacing w:line="400" w:lineRule="exact"/>
              <w:jc w:val="left"/>
              <w:rPr>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.投标保证金：按招标文件要求交纳（</w:t>
            </w: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），交纳投标保证金的证明材料两者缺一不可：（1）企业银行基本账户开户证明（如开户许可证或银行开户证明等）、（2）电汇凭证或电子汇款截图扫描件。</w:t>
            </w:r>
          </w:p>
        </w:tc>
      </w:tr>
      <w:tr w14:paraId="184C08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1875B10A">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036332B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08966A7C">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1.报价低于（或等于）</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lang w:eastAsia="zh-CN"/>
              </w:rPr>
              <w:t>控制价</w:t>
            </w:r>
            <w:r>
              <w:rPr>
                <w:rFonts w:hint="eastAsia" w:ascii="仿宋" w:hAnsi="仿宋" w:eastAsia="仿宋" w:cs="仿宋"/>
                <w:sz w:val="24"/>
                <w:szCs w:val="24"/>
                <w:highlight w:val="none"/>
              </w:rPr>
              <w:t>；</w:t>
            </w:r>
          </w:p>
          <w:p w14:paraId="24954E2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rPr>
              <w:t>合同期限为1年。</w:t>
            </w:r>
            <w:r>
              <w:rPr>
                <w:rFonts w:hint="eastAsia" w:ascii="仿宋" w:hAnsi="仿宋" w:eastAsia="仿宋" w:cs="Times New Roman"/>
                <w:color w:val="000000"/>
                <w:sz w:val="24"/>
                <w:highlight w:val="none"/>
                <w:lang w:val="en-US" w:eastAsia="zh-CN"/>
              </w:rPr>
              <w:t>合同期满后，招标人对中标人履行情况进行考核，合格则可续签合同，续签不超过2次。</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供货期</w:t>
            </w:r>
            <w:r>
              <w:rPr>
                <w:rFonts w:hint="eastAsia" w:ascii="仿宋" w:hAnsi="仿宋" w:eastAsia="仿宋" w:cs="Times New Roman"/>
                <w:color w:val="000000"/>
                <w:sz w:val="24"/>
                <w:highlight w:val="none"/>
                <w:lang w:eastAsia="zh-CN"/>
              </w:rPr>
              <w:t>（</w:t>
            </w:r>
            <w:r>
              <w:rPr>
                <w:rFonts w:hint="eastAsia" w:ascii="仿宋" w:hAnsi="仿宋" w:eastAsia="仿宋" w:cs="仿宋"/>
                <w:spacing w:val="8"/>
                <w:kern w:val="2"/>
                <w:sz w:val="24"/>
                <w:szCs w:val="24"/>
                <w:highlight w:val="none"/>
                <w:lang w:val="en-US" w:eastAsia="zh-CN" w:bidi="ar-SA"/>
              </w:rPr>
              <w:t>自招标人通知之日起3日内，按照通知的要求将产品运抵指定地点，招标人不再另行支付其他任何费用。</w:t>
            </w:r>
            <w:r>
              <w:rPr>
                <w:rFonts w:hint="eastAsia" w:ascii="仿宋" w:hAnsi="仿宋" w:eastAsia="仿宋" w:cs="Times New Roman"/>
                <w:color w:val="000000"/>
                <w:sz w:val="24"/>
                <w:highlight w:val="none"/>
                <w:lang w:eastAsia="zh-CN"/>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质保期（标包二：自验收合格之日起12个月）、</w:t>
            </w:r>
            <w:r>
              <w:rPr>
                <w:rFonts w:hint="eastAsia" w:ascii="仿宋" w:hAnsi="仿宋" w:eastAsia="仿宋" w:cs="仿宋"/>
                <w:sz w:val="24"/>
                <w:szCs w:val="24"/>
                <w:highlight w:val="none"/>
              </w:rPr>
              <w:t>质量标准</w:t>
            </w:r>
            <w:r>
              <w:rPr>
                <w:rFonts w:hint="eastAsia" w:ascii="仿宋" w:hAnsi="仿宋" w:eastAsia="仿宋" w:cs="仿宋"/>
                <w:sz w:val="24"/>
                <w:szCs w:val="24"/>
                <w:highlight w:val="none"/>
                <w:lang w:eastAsia="zh-CN"/>
              </w:rPr>
              <w:t>（</w:t>
            </w:r>
            <w:r>
              <w:rPr>
                <w:rFonts w:hint="eastAsia" w:ascii="仿宋" w:hAnsi="仿宋" w:eastAsia="仿宋" w:cs="Times New Roman"/>
                <w:color w:val="000000"/>
                <w:sz w:val="24"/>
                <w:highlight w:val="none"/>
                <w:lang w:val="en-US" w:eastAsia="zh-CN"/>
              </w:rPr>
              <w:t>达到国家验收规范合格标准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09073872">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3.不存在招标文件规定的关于投标人串通投标的情形及其他投标无效的情形。</w:t>
            </w:r>
          </w:p>
        </w:tc>
      </w:tr>
    </w:tbl>
    <w:p w14:paraId="5CBBE797">
      <w:pPr>
        <w:rPr>
          <w:rFonts w:ascii="仿宋" w:hAnsi="仿宋" w:eastAsia="仿宋" w:cs="仿宋"/>
          <w:b/>
          <w:sz w:val="24"/>
          <w:szCs w:val="24"/>
          <w:highlight w:val="none"/>
        </w:rPr>
      </w:pPr>
      <w:r>
        <w:rPr>
          <w:rFonts w:hint="eastAsia" w:ascii="仿宋" w:hAnsi="仿宋" w:eastAsia="仿宋" w:cs="仿宋"/>
          <w:b/>
          <w:sz w:val="24"/>
          <w:szCs w:val="24"/>
          <w:highlight w:val="none"/>
        </w:rPr>
        <w:br w:type="page"/>
      </w:r>
      <w:r>
        <w:rPr>
          <w:rFonts w:hint="eastAsia" w:ascii="仿宋" w:hAnsi="仿宋" w:eastAsia="仿宋" w:cs="仿宋"/>
          <w:b/>
          <w:sz w:val="24"/>
          <w:szCs w:val="24"/>
          <w:highlight w:val="none"/>
        </w:rPr>
        <w:t>一、说明</w:t>
      </w:r>
    </w:p>
    <w:p w14:paraId="7507C9B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1DDACDC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6959607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6210450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45C92F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5B70B73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2D4036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0D3C0D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63B12BD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3A77A8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1560A8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6A32245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50C1A894">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201F2035">
      <w:pPr>
        <w:snapToGrid w:val="0"/>
        <w:spacing w:line="360" w:lineRule="auto"/>
        <w:ind w:firstLine="482" w:firstLineChars="200"/>
        <w:jc w:val="left"/>
        <w:rPr>
          <w:rFonts w:hint="eastAsia" w:ascii="仿宋" w:hAnsi="仿宋" w:eastAsia="仿宋" w:cs="仿宋"/>
          <w:b/>
          <w:bCs/>
          <w:sz w:val="24"/>
          <w:szCs w:val="24"/>
          <w:highlight w:val="none"/>
        </w:rPr>
      </w:pPr>
    </w:p>
    <w:p w14:paraId="035DAD6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14DF2BE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0C0ABA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536EE81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229304B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2ED3C5A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3671EC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0DECB9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232FFF1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5D7D72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51A936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010F73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4607E9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7C7765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2DFB98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6E2446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2F017FF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5321B9C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53A06AD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5AC667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77B7D3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5C876A83">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374527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57068E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686E74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47EFC45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15B4B9E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247E1F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36B1D3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4B31BA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31C4B6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2393C7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2E2F04D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50122E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71AB42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2602C1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72BED6C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2992E2F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62901A7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0217B5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36C288A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1E5AB0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150FCEA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6E731CCF">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2567B8D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29FA05E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77C41F4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72CFB6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60F9FF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6D4F6B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0C63F49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56311F27">
      <w:pPr>
        <w:snapToGrid w:val="0"/>
        <w:spacing w:line="360" w:lineRule="auto"/>
        <w:ind w:firstLine="482" w:firstLineChars="200"/>
        <w:jc w:val="lef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注：数据文件—投标报价表（含明细）中的价格均为含税价格。</w:t>
      </w:r>
    </w:p>
    <w:p w14:paraId="3ED486E3">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03B906C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043E542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71B803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075E0B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36EEE74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392FDF0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543F130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67DFBC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7A763CA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53492732">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6E1691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10EAE2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6F2DFA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0E1B7E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64AF8296">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r>
        <w:rPr>
          <w:rFonts w:hint="eastAsia" w:ascii="仿宋" w:hAnsi="仿宋" w:eastAsia="仿宋" w:cs="仿宋"/>
          <w:sz w:val="24"/>
          <w:szCs w:val="24"/>
          <w:highlight w:val="none"/>
          <w:lang w:eastAsia="zh-CN"/>
        </w:rPr>
        <w:t>；</w:t>
      </w:r>
    </w:p>
    <w:p w14:paraId="1985D71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4B7F3FC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7AD936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1B26565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19250E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13CE86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591457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7118B73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454F50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70EA40E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312B95A1">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3C9412A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60AA9D6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2A115DE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25A7F3C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0CC02A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76BD82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3A8A9D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319BD6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3FACF28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0EEDCAD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12BB70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72A317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78D383D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0D7BCC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254155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00FF3C0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1F85EF6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4EF338F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p>
    <w:p w14:paraId="77510B9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747C1CB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41EF9BC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2795643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0428373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5E68EB8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31CFE87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5FC720D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55F4B4D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026C2772">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63DD6A3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3D4F6B2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19DEE97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760910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6848BA5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111B0C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706CB6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4C603C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5C0D64C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3C4CE5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30D343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41FDB39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7258AE1C">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186C027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3E395800">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283557C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1057744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71A864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57F5FE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286AA91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68CBDAD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3DDE3D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0CEE67E4">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339B0B6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6A1838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564EE19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0A7639F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0709645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4BF8013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5F4A99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1782177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7C569B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56C9D6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4A84150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0979F356">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1EAC16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1B9703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40DBB9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0E99098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7FFF7BF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4F4DB1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4CA58D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6BD17A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502B246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29F010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37678C7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5AFBCF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26892FB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7F88CE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725C72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484A85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78D78DC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53776A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466E62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100A29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25BED3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7A2BE9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14DF91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31E924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421638A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7CCB5F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0A4AE3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0921EB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4F4749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78F4AE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52ED1F5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66156B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0D77647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77FF87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34A5BDB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66FD003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09BC87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782798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7221CCCC">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68474BB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728FB4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62E5E3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4800B4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75CBA16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0F87351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0DC65E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135CF0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748CA0C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5BAF989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6DC05F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机构负责组织评标工作，具体评审事务由依法组建的评标委员会负责，评标委员会成员由评审专家5人以上的单数组成。情况特殊的，通过随机方式难以确定合适的评审专家的项目，经主管部门同意，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5EB955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163367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1D93DE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633014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165C1F1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0E226C2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70BF11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00B3FC2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33C50F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4A1FB1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5544EA6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E1BC5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6BCED1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37FE5B1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79532EA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150B06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448A66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783E0B6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057303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7E9040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59247C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6F04BE9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3065EE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3383F68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1C2EC8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303FF51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7ACEE4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5CA155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3F082CE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6C0592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2A99A0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477972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583AC0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39EAB6B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5E0F0E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345F21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6D11A8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610A37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5020A3D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3DD37A2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29ABD77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641EA4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69E4C5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38EAD5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7A5A5A6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34ECDA1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64B4E8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05ACB2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50AB35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635A66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6B4C92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015D996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56DB77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7F5E674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386DD0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1835F1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1216F15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4272B9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3962F42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695CC0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2610BE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49FCDD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7D10AC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082608A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56DE39A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5DC9D1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5759FF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32193ECD">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7D3E74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02ACEF3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53AC020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54D782B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7B4A228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2F84CB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043C1F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20825BC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064F789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5C135FE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5EA84B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38CC84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15C424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4CCE06B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53D076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581870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9B0D8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485A02F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1E53903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31F7FF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287F1B5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22F6DD3B">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3E06838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2DFF0C6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33765A6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74A8682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4B3F83C2">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50ACBB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6B47EB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10DBCC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48D9A7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3EDF347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02871E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0F4E4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2E85C11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300E695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本标包确定排名第一名的中标候选人为中标人</w:t>
      </w:r>
      <w:r>
        <w:rPr>
          <w:rFonts w:hint="eastAsia" w:ascii="仿宋" w:hAnsi="仿宋" w:eastAsia="仿宋" w:cs="仿宋"/>
          <w:sz w:val="24"/>
          <w:szCs w:val="24"/>
          <w:highlight w:val="none"/>
        </w:rPr>
        <w:t>；也可以自主定标。自主定标的，招标人应当在收到评审报告后3个工作日内确定中标人，招标人逾期未确定中标人且不提出异议的，视为</w:t>
      </w:r>
      <w:r>
        <w:rPr>
          <w:rFonts w:hint="eastAsia" w:ascii="仿宋" w:hAnsi="仿宋" w:eastAsia="仿宋" w:cs="仿宋"/>
          <w:sz w:val="24"/>
          <w:szCs w:val="24"/>
          <w:highlight w:val="none"/>
          <w:lang w:val="en-US" w:eastAsia="zh-CN"/>
        </w:rPr>
        <w:t>本标包</w:t>
      </w:r>
      <w:r>
        <w:rPr>
          <w:rFonts w:hint="eastAsia" w:ascii="仿宋" w:hAnsi="仿宋" w:eastAsia="仿宋" w:cs="仿宋"/>
          <w:sz w:val="24"/>
          <w:szCs w:val="24"/>
          <w:highlight w:val="none"/>
        </w:rPr>
        <w:t>确定评审报告排名</w:t>
      </w:r>
      <w:r>
        <w:rPr>
          <w:rFonts w:hint="eastAsia" w:ascii="仿宋" w:hAnsi="仿宋" w:eastAsia="仿宋" w:cs="仿宋"/>
          <w:sz w:val="24"/>
          <w:szCs w:val="24"/>
          <w:highlight w:val="none"/>
          <w:lang w:val="en-US" w:eastAsia="zh-CN"/>
        </w:rPr>
        <w:t>第一名</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中标候选人为</w:t>
      </w:r>
      <w:r>
        <w:rPr>
          <w:rFonts w:hint="eastAsia" w:ascii="仿宋" w:hAnsi="仿宋" w:eastAsia="仿宋" w:cs="仿宋"/>
          <w:sz w:val="24"/>
          <w:szCs w:val="24"/>
          <w:highlight w:val="none"/>
        </w:rPr>
        <w:t>中标人。</w:t>
      </w:r>
    </w:p>
    <w:p w14:paraId="59D77F3F">
      <w:pPr>
        <w:snapToGrid w:val="0"/>
        <w:spacing w:line="360" w:lineRule="auto"/>
        <w:ind w:firstLine="482" w:firstLineChars="200"/>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因本项目第一轮招标文件约定本项目为兼投不兼中，标包一的中标单位可以参与本次标包二的投标，但若该供应商在本次评审中被评审委员会推荐为第一中标候选人，则该供应商不得被确定为标包二中标人，评标委员会应按评审得分排序依次推荐下一名合格投标人为标包二的第一中标候选人。</w:t>
      </w:r>
    </w:p>
    <w:p w14:paraId="617230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29.2评标结果汇总完成后，除下列情形外，任何人不得修改评标结果：</w:t>
      </w:r>
    </w:p>
    <w:p w14:paraId="037CFB5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340AB7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76BDC1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672BB58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771CD85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300D29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29.3评标报告签署前，经复核发现存在以上情形之一的，评标委员会应当当场修改评标结果，并在评标报告中记载；评标报告签署后，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171C116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29.4中标人在规定的期限内无正当理由拒绝签订合同，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w:t>
      </w:r>
      <w:r>
        <w:rPr>
          <w:rFonts w:hint="eastAsia" w:ascii="仿宋" w:hAnsi="仿宋" w:eastAsia="仿宋" w:cs="仿宋"/>
          <w:sz w:val="24"/>
          <w:szCs w:val="24"/>
          <w:highlight w:val="none"/>
          <w:lang w:val="en-US" w:eastAsia="zh-CN"/>
        </w:rPr>
        <w:t>中</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中标候选人</w:t>
      </w:r>
      <w:r>
        <w:rPr>
          <w:rFonts w:hint="eastAsia" w:ascii="仿宋" w:hAnsi="仿宋" w:eastAsia="仿宋" w:cs="仿宋"/>
          <w:sz w:val="24"/>
          <w:szCs w:val="24"/>
          <w:highlight w:val="none"/>
        </w:rPr>
        <w:t>名单排序，确定下一</w:t>
      </w:r>
      <w:r>
        <w:rPr>
          <w:rFonts w:hint="eastAsia" w:ascii="仿宋" w:hAnsi="仿宋" w:eastAsia="仿宋" w:cs="仿宋"/>
          <w:sz w:val="24"/>
          <w:szCs w:val="24"/>
          <w:highlight w:val="none"/>
          <w:lang w:val="en-US" w:eastAsia="zh-CN"/>
        </w:rPr>
        <w:t>中标候选人</w:t>
      </w:r>
      <w:r>
        <w:rPr>
          <w:rFonts w:hint="eastAsia" w:ascii="仿宋" w:hAnsi="仿宋" w:eastAsia="仿宋" w:cs="仿宋"/>
          <w:sz w:val="24"/>
          <w:szCs w:val="24"/>
          <w:highlight w:val="none"/>
        </w:rPr>
        <w:t>为中标人，也可以重新开展招标活动。</w:t>
      </w:r>
    </w:p>
    <w:p w14:paraId="0277C20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2E38016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730EFC74">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sz w:val="24"/>
          <w:szCs w:val="24"/>
          <w:highlight w:val="none"/>
        </w:rPr>
        <w:t>招标人应当自定标结束后在招标公告发布媒介公示中标人。公示期为3日。</w:t>
      </w:r>
      <w:r>
        <w:rPr>
          <w:rFonts w:hint="eastAsia" w:ascii="仿宋" w:hAnsi="仿宋" w:eastAsia="仿宋" w:cs="仿宋"/>
          <w:b/>
          <w:bCs/>
          <w:sz w:val="24"/>
          <w:szCs w:val="24"/>
          <w:highlight w:val="none"/>
        </w:rPr>
        <w:t>31.签发中标通知书</w:t>
      </w:r>
    </w:p>
    <w:p w14:paraId="753B66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6A5B8BA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64CAD5AB">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149ED8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4F2BDACA">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2B902C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116375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5A7AB95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0E265D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226F5F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28D87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7C1B75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4CB9E4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7BFA4C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0A949B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111DDB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0736931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332AAE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331FD19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2B4849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2120AA5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59747E59">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6FFBA0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0E81CA8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67742C3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28D0B8C0">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02E0113B">
      <w:pPr>
        <w:pStyle w:val="2"/>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7CCC5E00">
      <w:pPr>
        <w:keepNext w:val="0"/>
        <w:keepLines w:val="0"/>
        <w:pageBreakBefore w:val="0"/>
        <w:kinsoku/>
        <w:wordWrap/>
        <w:overflowPunct/>
        <w:topLinePunct w:val="0"/>
        <w:autoSpaceDE/>
        <w:autoSpaceDN/>
        <w:bidi w:val="0"/>
        <w:adjustRightInd/>
        <w:snapToGrid/>
        <w:spacing w:line="336" w:lineRule="auto"/>
        <w:ind w:left="1925" w:leftChars="228" w:hanging="1446" w:hangingChars="600"/>
        <w:textAlignment w:val="auto"/>
        <w:rPr>
          <w:rFonts w:hint="eastAsia" w:ascii="仿宋" w:hAnsi="仿宋" w:eastAsia="仿宋" w:cs="仿宋"/>
          <w:b w:val="0"/>
          <w:bCs w:val="0"/>
          <w:sz w:val="24"/>
          <w:szCs w:val="24"/>
          <w:highlight w:val="none"/>
          <w:lang w:eastAsia="zh-CN"/>
        </w:rPr>
      </w:pPr>
      <w:bookmarkStart w:id="14" w:name="_Toc484525621"/>
      <w:r>
        <w:rPr>
          <w:rFonts w:hint="eastAsia" w:ascii="仿宋" w:hAnsi="仿宋" w:eastAsia="仿宋" w:cs="仿宋"/>
          <w:b/>
          <w:bCs/>
          <w:sz w:val="24"/>
          <w:szCs w:val="24"/>
          <w:highlight w:val="none"/>
        </w:rPr>
        <w:t>一、项目名称：</w:t>
      </w:r>
      <w:bookmarkStart w:id="15" w:name="_Hlk163316215"/>
      <w:r>
        <w:rPr>
          <w:rFonts w:hint="eastAsia" w:ascii="仿宋" w:hAnsi="仿宋" w:eastAsia="仿宋" w:cs="仿宋"/>
          <w:b w:val="0"/>
          <w:bCs w:val="0"/>
          <w:sz w:val="24"/>
          <w:szCs w:val="24"/>
          <w:highlight w:val="none"/>
          <w:lang w:val="en-US" w:eastAsia="zh-CN"/>
        </w:rPr>
        <w:t>威海市水务集团有限公司选定聚氯化铝年度供应商</w:t>
      </w:r>
    </w:p>
    <w:p w14:paraId="75EF103A">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rPr>
        <w:t>二、</w:t>
      </w:r>
      <w:r>
        <w:rPr>
          <w:rFonts w:hint="eastAsia" w:ascii="仿宋" w:hAnsi="仿宋" w:eastAsia="仿宋" w:cs="仿宋"/>
          <w:b/>
          <w:bCs/>
          <w:sz w:val="24"/>
          <w:szCs w:val="24"/>
          <w:highlight w:val="none"/>
          <w:lang w:val="en-US" w:eastAsia="zh-CN"/>
        </w:rPr>
        <w:t>服务期：</w:t>
      </w:r>
      <w:r>
        <w:rPr>
          <w:rFonts w:hint="eastAsia" w:ascii="仿宋" w:hAnsi="仿宋" w:eastAsia="仿宋" w:cs="仿宋"/>
          <w:b w:val="0"/>
          <w:bCs w:val="0"/>
          <w:sz w:val="24"/>
          <w:szCs w:val="24"/>
          <w:highlight w:val="none"/>
          <w:lang w:val="en-US" w:eastAsia="zh-CN"/>
        </w:rPr>
        <w:t>合同期限为1年。合同期满后，招标人对中标人履行情况进行考核，合格则可续签合同，续签不超过2次。</w:t>
      </w:r>
    </w:p>
    <w:p w14:paraId="5F18DF57">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三、供货期：</w:t>
      </w:r>
      <w:r>
        <w:rPr>
          <w:rFonts w:hint="eastAsia" w:ascii="仿宋" w:hAnsi="仿宋" w:eastAsia="仿宋" w:cs="仿宋"/>
          <w:b w:val="0"/>
          <w:bCs w:val="0"/>
          <w:sz w:val="24"/>
          <w:szCs w:val="24"/>
          <w:highlight w:val="none"/>
          <w:lang w:val="en-US" w:eastAsia="zh-CN"/>
        </w:rPr>
        <w:t>自招标人通知之日起3日内，按照通知的要求将产品运抵指定地点，招标人不再另行支付其他任何费用。</w:t>
      </w:r>
    </w:p>
    <w:p w14:paraId="65529C81">
      <w:pPr>
        <w:pStyle w:val="16"/>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四、质保期：</w:t>
      </w:r>
      <w:r>
        <w:rPr>
          <w:rFonts w:hint="eastAsia" w:ascii="仿宋" w:hAnsi="仿宋" w:eastAsia="仿宋" w:cs="仿宋"/>
          <w:spacing w:val="8"/>
          <w:kern w:val="2"/>
          <w:sz w:val="24"/>
          <w:szCs w:val="24"/>
          <w:highlight w:val="none"/>
          <w:lang w:val="en-US" w:eastAsia="zh-CN" w:bidi="ar-SA"/>
        </w:rPr>
        <w:t>标包二：自验收合格之日起12个月。</w:t>
      </w:r>
    </w:p>
    <w:p w14:paraId="1FCE387E">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五、质量标准：</w:t>
      </w:r>
      <w:r>
        <w:rPr>
          <w:rFonts w:hint="eastAsia" w:ascii="仿宋" w:hAnsi="仿宋" w:eastAsia="仿宋" w:cs="仿宋"/>
          <w:b w:val="0"/>
          <w:bCs w:val="0"/>
          <w:sz w:val="24"/>
          <w:szCs w:val="24"/>
          <w:highlight w:val="none"/>
          <w:lang w:val="en-US" w:eastAsia="zh-CN"/>
        </w:rPr>
        <w:t>达到国家验收规范合格标准。</w:t>
      </w:r>
    </w:p>
    <w:p w14:paraId="07FC7F86">
      <w:pPr>
        <w:pStyle w:val="58"/>
        <w:keepNext w:val="0"/>
        <w:keepLines w:val="0"/>
        <w:pageBreakBefore w:val="0"/>
        <w:widowControl w:val="0"/>
        <w:kinsoku/>
        <w:wordWrap/>
        <w:overflowPunct/>
        <w:topLinePunct w:val="0"/>
        <w:bidi w:val="0"/>
        <w:snapToGrid/>
        <w:spacing w:line="336" w:lineRule="auto"/>
        <w:ind w:firstLine="482"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六、采购范围：</w:t>
      </w:r>
      <w:r>
        <w:rPr>
          <w:rFonts w:hint="eastAsia" w:ascii="仿宋" w:hAnsi="仿宋" w:eastAsia="仿宋" w:cs="仿宋"/>
          <w:b w:val="0"/>
          <w:bCs w:val="0"/>
          <w:color w:val="auto"/>
          <w:kern w:val="2"/>
          <w:sz w:val="24"/>
          <w:szCs w:val="24"/>
          <w:highlight w:val="none"/>
          <w:lang w:val="en-US" w:eastAsia="zh-CN" w:bidi="ar-SA"/>
        </w:rPr>
        <w:t>包括但不限于聚氯化铝采购、加工、包装、运输、保管、装卸、检测、验收、售后服务及其他服务，以及在质量保证期内发生的任何缺陷的维修和更换工作等与合同有关的所有内容。</w:t>
      </w:r>
    </w:p>
    <w:p w14:paraId="48E584BB">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七、计划采购量和控制价：</w:t>
      </w:r>
    </w:p>
    <w:tbl>
      <w:tblPr>
        <w:tblStyle w:val="42"/>
        <w:tblW w:w="9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2"/>
        <w:gridCol w:w="1225"/>
        <w:gridCol w:w="1800"/>
        <w:gridCol w:w="1260"/>
        <w:gridCol w:w="1320"/>
        <w:gridCol w:w="1482"/>
        <w:gridCol w:w="1143"/>
      </w:tblGrid>
      <w:tr w14:paraId="2ED54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jc w:val="center"/>
        </w:trPr>
        <w:tc>
          <w:tcPr>
            <w:tcW w:w="992" w:type="dxa"/>
            <w:vAlign w:val="center"/>
          </w:tcPr>
          <w:p w14:paraId="23A700CA">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标包号</w:t>
            </w:r>
          </w:p>
        </w:tc>
        <w:tc>
          <w:tcPr>
            <w:tcW w:w="1225" w:type="dxa"/>
            <w:vAlign w:val="center"/>
          </w:tcPr>
          <w:p w14:paraId="362745EB">
            <w:pPr>
              <w:spacing w:line="440" w:lineRule="exact"/>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名称</w:t>
            </w:r>
          </w:p>
        </w:tc>
        <w:tc>
          <w:tcPr>
            <w:tcW w:w="1800" w:type="dxa"/>
            <w:vAlign w:val="center"/>
          </w:tcPr>
          <w:p w14:paraId="73708A0F">
            <w:pPr>
              <w:spacing w:line="440" w:lineRule="exact"/>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规格型号</w:t>
            </w:r>
          </w:p>
        </w:tc>
        <w:tc>
          <w:tcPr>
            <w:tcW w:w="1260" w:type="dxa"/>
            <w:vAlign w:val="center"/>
          </w:tcPr>
          <w:p w14:paraId="0ECE2414">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年计划</w:t>
            </w:r>
          </w:p>
          <w:p w14:paraId="79A307BB">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采购量</w:t>
            </w:r>
          </w:p>
          <w:p w14:paraId="4CB9B739">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（吨）</w:t>
            </w:r>
          </w:p>
        </w:tc>
        <w:tc>
          <w:tcPr>
            <w:tcW w:w="1320" w:type="dxa"/>
            <w:vAlign w:val="center"/>
          </w:tcPr>
          <w:p w14:paraId="3984CD6E">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控制单价（元/吨）</w:t>
            </w:r>
          </w:p>
          <w:p w14:paraId="1CDA6C04">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（含税）</w:t>
            </w:r>
          </w:p>
        </w:tc>
        <w:tc>
          <w:tcPr>
            <w:tcW w:w="1482" w:type="dxa"/>
            <w:vAlign w:val="center"/>
          </w:tcPr>
          <w:p w14:paraId="1B7E4B01">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控制合价（元）</w:t>
            </w:r>
          </w:p>
          <w:p w14:paraId="4402D60D">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（含税）</w:t>
            </w:r>
          </w:p>
        </w:tc>
        <w:tc>
          <w:tcPr>
            <w:tcW w:w="1143" w:type="dxa"/>
            <w:vAlign w:val="center"/>
          </w:tcPr>
          <w:p w14:paraId="195F9026">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选定</w:t>
            </w:r>
          </w:p>
          <w:p w14:paraId="2D2041F3">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家数</w:t>
            </w:r>
          </w:p>
        </w:tc>
      </w:tr>
      <w:tr w14:paraId="68A07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jc w:val="center"/>
        </w:trPr>
        <w:tc>
          <w:tcPr>
            <w:tcW w:w="992" w:type="dxa"/>
            <w:vAlign w:val="center"/>
          </w:tcPr>
          <w:p w14:paraId="485402B4">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标包二</w:t>
            </w:r>
          </w:p>
        </w:tc>
        <w:tc>
          <w:tcPr>
            <w:tcW w:w="1225" w:type="dxa"/>
            <w:vAlign w:val="center"/>
          </w:tcPr>
          <w:p w14:paraId="5B067E49">
            <w:pPr>
              <w:widowControl/>
              <w:jc w:val="center"/>
              <w:textAlignment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固态聚氯化铝</w:t>
            </w:r>
          </w:p>
        </w:tc>
        <w:tc>
          <w:tcPr>
            <w:tcW w:w="1800" w:type="dxa"/>
            <w:vAlign w:val="center"/>
          </w:tcPr>
          <w:p w14:paraId="1AB2721D">
            <w:pPr>
              <w:widowControl/>
              <w:jc w:val="center"/>
              <w:textAlignment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白色至淡黄色固体颗粒</w:t>
            </w:r>
          </w:p>
        </w:tc>
        <w:tc>
          <w:tcPr>
            <w:tcW w:w="1260" w:type="dxa"/>
            <w:vAlign w:val="center"/>
          </w:tcPr>
          <w:p w14:paraId="41C92B6A">
            <w:pPr>
              <w:widowControl/>
              <w:jc w:val="center"/>
              <w:textAlignment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120</w:t>
            </w:r>
          </w:p>
        </w:tc>
        <w:tc>
          <w:tcPr>
            <w:tcW w:w="1320" w:type="dxa"/>
            <w:vAlign w:val="center"/>
          </w:tcPr>
          <w:p w14:paraId="659B2D4C">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2232</w:t>
            </w:r>
          </w:p>
        </w:tc>
        <w:tc>
          <w:tcPr>
            <w:tcW w:w="1482" w:type="dxa"/>
            <w:vAlign w:val="center"/>
          </w:tcPr>
          <w:p w14:paraId="77894200">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267840.00</w:t>
            </w:r>
          </w:p>
        </w:tc>
        <w:tc>
          <w:tcPr>
            <w:tcW w:w="1143" w:type="dxa"/>
            <w:vAlign w:val="center"/>
          </w:tcPr>
          <w:p w14:paraId="47224343">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1家</w:t>
            </w:r>
          </w:p>
        </w:tc>
      </w:tr>
      <w:tr w14:paraId="5BE20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jc w:val="center"/>
        </w:trPr>
        <w:tc>
          <w:tcPr>
            <w:tcW w:w="9222" w:type="dxa"/>
            <w:gridSpan w:val="7"/>
            <w:vAlign w:val="center"/>
          </w:tcPr>
          <w:p w14:paraId="4B58C624">
            <w:pPr>
              <w:spacing w:line="440" w:lineRule="exact"/>
              <w:jc w:val="left"/>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此数量为一年计划采购数量，只作为投标参考使用，实际采购量可适时调整，并据实结算，实际采购量多于或少于计划采购量均不视为违约。</w:t>
            </w:r>
          </w:p>
        </w:tc>
      </w:tr>
    </w:tbl>
    <w:p w14:paraId="56E1BB7D">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八、技术参数要求：</w:t>
      </w:r>
    </w:p>
    <w:p w14:paraId="0B3805FB">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（一）标准要求</w:t>
      </w:r>
    </w:p>
    <w:p w14:paraId="0FCD18CA">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聚氯化铝符合GB 15892—</w:t>
      </w:r>
      <w:bookmarkStart w:id="16" w:name="bookmark20"/>
      <w:bookmarkStart w:id="17" w:name="bookmark19"/>
      <w:bookmarkStart w:id="18" w:name="bookmark18"/>
      <w:r>
        <w:rPr>
          <w:rFonts w:hint="eastAsia" w:ascii="仿宋" w:hAnsi="仿宋" w:eastAsia="仿宋" w:cs="仿宋"/>
          <w:b w:val="0"/>
          <w:bCs w:val="0"/>
          <w:sz w:val="24"/>
          <w:szCs w:val="24"/>
          <w:highlight w:val="none"/>
          <w:lang w:val="en-US" w:eastAsia="zh-CN"/>
        </w:rPr>
        <w:t>2020《生活饮用水用聚氯化铝</w:t>
      </w:r>
      <w:bookmarkEnd w:id="16"/>
      <w:bookmarkEnd w:id="17"/>
      <w:bookmarkEnd w:id="18"/>
      <w:r>
        <w:rPr>
          <w:rFonts w:hint="eastAsia" w:ascii="仿宋" w:hAnsi="仿宋" w:eastAsia="仿宋" w:cs="仿宋"/>
          <w:b w:val="0"/>
          <w:bCs w:val="0"/>
          <w:sz w:val="24"/>
          <w:szCs w:val="24"/>
          <w:highlight w:val="none"/>
          <w:lang w:val="en-US" w:eastAsia="zh-CN"/>
        </w:rPr>
        <w:t>》标准要求。</w:t>
      </w:r>
    </w:p>
    <w:p w14:paraId="08D46CFA">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（二）参数要求</w:t>
      </w:r>
    </w:p>
    <w:p w14:paraId="7D742FA3">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1.原料要求：</w:t>
      </w:r>
    </w:p>
    <w:p w14:paraId="55EBD6AA">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生产聚氯化铝的原料盐酸，应采用符合GB/T 320-2025《工业用合成盐酸》规定的工业用合成盐酸；含铝原料，应以符合GB/T 4294-2010《氢氧化铝》规定的氢氧化铝为主要原料。</w:t>
      </w:r>
    </w:p>
    <w:p w14:paraId="4F2DF68E">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2.外观要求：液体聚氯化铝：为白色至淡黄色透明液体；固体聚氯化铝：为白色至淡黄色颗粒。</w:t>
      </w:r>
    </w:p>
    <w:p w14:paraId="6AF02369">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3.生活饮用水用聚氯化铝指标要求见下表:</w:t>
      </w:r>
    </w:p>
    <w:p w14:paraId="5FEFBF8E">
      <w:pPr>
        <w:pStyle w:val="58"/>
        <w:rPr>
          <w:rFonts w:hint="eastAsia"/>
          <w:highlight w:val="none"/>
          <w:lang w:val="en-US" w:eastAsia="zh-CN"/>
        </w:rPr>
      </w:pPr>
    </w:p>
    <w:tbl>
      <w:tblPr>
        <w:tblStyle w:val="41"/>
        <w:tblW w:w="8125" w:type="dxa"/>
        <w:jc w:val="center"/>
        <w:shd w:val="clear" w:color="auto" w:fill="FFFFFF"/>
        <w:tblLayout w:type="fixed"/>
        <w:tblCellMar>
          <w:top w:w="0" w:type="dxa"/>
          <w:left w:w="0" w:type="dxa"/>
          <w:bottom w:w="0" w:type="dxa"/>
          <w:right w:w="0" w:type="dxa"/>
        </w:tblCellMar>
      </w:tblPr>
      <w:tblGrid>
        <w:gridCol w:w="3883"/>
        <w:gridCol w:w="4242"/>
      </w:tblGrid>
      <w:tr w14:paraId="41125BEF">
        <w:tblPrEx>
          <w:shd w:val="clear" w:color="auto" w:fill="FFFFFF"/>
          <w:tblCellMar>
            <w:top w:w="0" w:type="dxa"/>
            <w:left w:w="0" w:type="dxa"/>
            <w:bottom w:w="0" w:type="dxa"/>
            <w:right w:w="0" w:type="dxa"/>
          </w:tblCellMar>
        </w:tblPrEx>
        <w:trPr>
          <w:trHeight w:val="387" w:hRule="atLeast"/>
          <w:jc w:val="center"/>
        </w:trPr>
        <w:tc>
          <w:tcPr>
            <w:tcW w:w="3883" w:type="dxa"/>
            <w:tcBorders>
              <w:top w:val="single" w:color="000000" w:sz="6" w:space="0"/>
              <w:left w:val="single" w:color="000000" w:sz="6" w:space="0"/>
            </w:tcBorders>
            <w:shd w:val="clear" w:color="auto" w:fill="FFFFFF"/>
            <w:noWrap w:val="0"/>
            <w:tcMar>
              <w:left w:w="2" w:type="dxa"/>
              <w:right w:w="10" w:type="dxa"/>
            </w:tcMar>
            <w:vAlign w:val="center"/>
          </w:tcPr>
          <w:p w14:paraId="3C121A2A">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righ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指标名称</w:t>
            </w:r>
          </w:p>
        </w:tc>
        <w:tc>
          <w:tcPr>
            <w:tcW w:w="4242" w:type="dxa"/>
            <w:tcBorders>
              <w:top w:val="single" w:color="000000" w:sz="6" w:space="0"/>
              <w:left w:val="single" w:color="000000" w:sz="6" w:space="0"/>
              <w:right w:val="single" w:color="000000" w:sz="6" w:space="0"/>
            </w:tcBorders>
            <w:shd w:val="clear" w:color="auto" w:fill="FFFFFF"/>
            <w:noWrap w:val="0"/>
            <w:tcMar>
              <w:left w:w="2" w:type="dxa"/>
              <w:right w:w="2" w:type="dxa"/>
            </w:tcMar>
            <w:vAlign w:val="center"/>
          </w:tcPr>
          <w:p w14:paraId="5A86FD74">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righ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固体</w:t>
            </w:r>
            <w:r>
              <w:rPr>
                <w:rFonts w:hint="eastAsia" w:ascii="仿宋" w:hAnsi="仿宋" w:eastAsia="仿宋" w:cs="仿宋"/>
                <w:sz w:val="24"/>
                <w:szCs w:val="24"/>
                <w:highlight w:val="none"/>
              </w:rPr>
              <w:t>指标</w:t>
            </w:r>
          </w:p>
        </w:tc>
      </w:tr>
      <w:tr w14:paraId="4225E2DB">
        <w:tblPrEx>
          <w:tblCellMar>
            <w:top w:w="0" w:type="dxa"/>
            <w:left w:w="0" w:type="dxa"/>
            <w:bottom w:w="0" w:type="dxa"/>
            <w:right w:w="0" w:type="dxa"/>
          </w:tblCellMar>
        </w:tblPrEx>
        <w:trPr>
          <w:trHeight w:val="365" w:hRule="atLeast"/>
          <w:jc w:val="center"/>
        </w:trPr>
        <w:tc>
          <w:tcPr>
            <w:tcW w:w="3883" w:type="dxa"/>
            <w:tcBorders>
              <w:top w:val="single" w:color="000000" w:sz="6" w:space="0"/>
              <w:left w:val="single" w:color="000000" w:sz="6" w:space="0"/>
            </w:tcBorders>
            <w:shd w:val="clear" w:color="auto" w:fill="FFFFFF"/>
            <w:noWrap w:val="0"/>
            <w:tcMar>
              <w:left w:w="2" w:type="dxa"/>
              <w:right w:w="10" w:type="dxa"/>
            </w:tcMar>
            <w:vAlign w:val="center"/>
          </w:tcPr>
          <w:p w14:paraId="28297A1A">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氧化铝（</w:t>
            </w:r>
            <w:r>
              <w:rPr>
                <w:rFonts w:hint="eastAsia" w:ascii="仿宋" w:hAnsi="仿宋" w:eastAsia="仿宋" w:cs="仿宋"/>
                <w:smallCaps/>
                <w:spacing w:val="10"/>
                <w:sz w:val="24"/>
                <w:szCs w:val="24"/>
                <w:highlight w:val="none"/>
              </w:rPr>
              <w:t>ai</w:t>
            </w:r>
            <w:r>
              <w:rPr>
                <w:rFonts w:hint="eastAsia" w:ascii="仿宋" w:hAnsi="仿宋" w:eastAsia="仿宋" w:cs="仿宋"/>
                <w:sz w:val="24"/>
                <w:szCs w:val="24"/>
                <w:highlight w:val="none"/>
                <w:vertAlign w:val="subscript"/>
              </w:rPr>
              <w:t>2</w:t>
            </w:r>
            <w:r>
              <w:rPr>
                <w:rFonts w:hint="eastAsia" w:ascii="仿宋" w:hAnsi="仿宋" w:eastAsia="仿宋" w:cs="仿宋"/>
                <w:smallCaps/>
                <w:spacing w:val="10"/>
                <w:sz w:val="24"/>
                <w:szCs w:val="24"/>
                <w:highlight w:val="none"/>
              </w:rPr>
              <w:t>o</w:t>
            </w:r>
            <w:r>
              <w:rPr>
                <w:rFonts w:hint="eastAsia" w:ascii="仿宋" w:hAnsi="仿宋" w:eastAsia="仿宋" w:cs="仿宋"/>
                <w:sz w:val="24"/>
                <w:szCs w:val="24"/>
                <w:highlight w:val="none"/>
                <w:vertAlign w:val="subscript"/>
              </w:rPr>
              <w:t>3</w:t>
            </w:r>
            <w:r>
              <w:rPr>
                <w:rFonts w:hint="eastAsia" w:ascii="仿宋" w:hAnsi="仿宋" w:eastAsia="仿宋" w:cs="仿宋"/>
                <w:sz w:val="24"/>
                <w:szCs w:val="24"/>
                <w:highlight w:val="none"/>
              </w:rPr>
              <w:t>)的质量分数/%</w:t>
            </w:r>
          </w:p>
        </w:tc>
        <w:tc>
          <w:tcPr>
            <w:tcW w:w="4242" w:type="dxa"/>
            <w:tcBorders>
              <w:top w:val="single" w:color="000000" w:sz="6" w:space="0"/>
              <w:left w:val="single" w:color="000000" w:sz="6" w:space="0"/>
              <w:right w:val="single" w:color="000000" w:sz="6" w:space="0"/>
            </w:tcBorders>
            <w:shd w:val="clear" w:color="auto" w:fill="FFFFFF"/>
            <w:noWrap w:val="0"/>
            <w:tcMar>
              <w:left w:w="2" w:type="dxa"/>
              <w:right w:w="10" w:type="dxa"/>
            </w:tcMar>
            <w:vAlign w:val="center"/>
          </w:tcPr>
          <w:p w14:paraId="64D81F5D">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29</w:t>
            </w:r>
            <w:r>
              <w:rPr>
                <w:rFonts w:hint="eastAsia" w:ascii="仿宋" w:hAnsi="仿宋" w:eastAsia="仿宋" w:cs="仿宋"/>
                <w:sz w:val="24"/>
                <w:szCs w:val="24"/>
                <w:highlight w:val="none"/>
              </w:rPr>
              <w:t>.0</w:t>
            </w:r>
          </w:p>
        </w:tc>
      </w:tr>
      <w:tr w14:paraId="5D5EE56B">
        <w:tblPrEx>
          <w:tblCellMar>
            <w:top w:w="0" w:type="dxa"/>
            <w:left w:w="0" w:type="dxa"/>
            <w:bottom w:w="0" w:type="dxa"/>
            <w:right w:w="0" w:type="dxa"/>
          </w:tblCellMar>
        </w:tblPrEx>
        <w:trPr>
          <w:trHeight w:val="355" w:hRule="atLeast"/>
          <w:jc w:val="center"/>
        </w:trPr>
        <w:tc>
          <w:tcPr>
            <w:tcW w:w="3883" w:type="dxa"/>
            <w:tcBorders>
              <w:top w:val="single" w:color="000000" w:sz="6" w:space="0"/>
              <w:left w:val="single" w:color="000000" w:sz="6" w:space="0"/>
              <w:bottom w:val="single" w:color="auto" w:sz="4" w:space="0"/>
            </w:tcBorders>
            <w:shd w:val="clear" w:color="auto" w:fill="FFFFFF"/>
            <w:noWrap w:val="0"/>
            <w:tcMar>
              <w:left w:w="2" w:type="dxa"/>
              <w:right w:w="10" w:type="dxa"/>
            </w:tcMar>
            <w:vAlign w:val="center"/>
          </w:tcPr>
          <w:p w14:paraId="3612AC99">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盐基度/%</w:t>
            </w:r>
          </w:p>
        </w:tc>
        <w:tc>
          <w:tcPr>
            <w:tcW w:w="4242" w:type="dxa"/>
            <w:tcBorders>
              <w:top w:val="single" w:color="000000" w:sz="6" w:space="0"/>
              <w:left w:val="single" w:color="000000" w:sz="6" w:space="0"/>
              <w:bottom w:val="single" w:color="auto" w:sz="4" w:space="0"/>
              <w:right w:val="single" w:color="000000" w:sz="6" w:space="0"/>
            </w:tcBorders>
            <w:shd w:val="clear" w:color="auto" w:fill="FFFFFF"/>
            <w:noWrap w:val="0"/>
            <w:tcMar>
              <w:left w:w="2" w:type="dxa"/>
              <w:right w:w="2" w:type="dxa"/>
            </w:tcMar>
            <w:vAlign w:val="center"/>
          </w:tcPr>
          <w:p w14:paraId="2417B097">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45.0 — 90.0</w:t>
            </w:r>
          </w:p>
        </w:tc>
      </w:tr>
      <w:tr w14:paraId="0D60D9FC">
        <w:tblPrEx>
          <w:tblCellMar>
            <w:top w:w="0" w:type="dxa"/>
            <w:left w:w="0" w:type="dxa"/>
            <w:bottom w:w="0" w:type="dxa"/>
            <w:right w:w="0" w:type="dxa"/>
          </w:tblCellMar>
        </w:tblPrEx>
        <w:trPr>
          <w:trHeight w:val="365" w:hRule="atLeast"/>
          <w:jc w:val="center"/>
        </w:trPr>
        <w:tc>
          <w:tcPr>
            <w:tcW w:w="3883" w:type="dxa"/>
            <w:tcBorders>
              <w:top w:val="single" w:color="auto" w:sz="4" w:space="0"/>
              <w:left w:val="single" w:color="auto" w:sz="4" w:space="0"/>
              <w:bottom w:val="single" w:color="auto" w:sz="4" w:space="0"/>
              <w:right w:val="single" w:color="auto" w:sz="4" w:space="0"/>
            </w:tcBorders>
            <w:shd w:val="clear" w:color="auto" w:fill="FFFFFF"/>
            <w:noWrap w:val="0"/>
            <w:tcMar>
              <w:left w:w="2" w:type="dxa"/>
              <w:right w:w="10" w:type="dxa"/>
            </w:tcMar>
            <w:vAlign w:val="center"/>
          </w:tcPr>
          <w:p w14:paraId="4FE0AA76">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密度（20℃）/</w:t>
            </w:r>
            <w:r>
              <w:rPr>
                <w:rFonts w:hint="eastAsia" w:ascii="仿宋" w:hAnsi="仿宋" w:eastAsia="仿宋" w:cs="仿宋"/>
                <w:spacing w:val="10"/>
                <w:sz w:val="24"/>
                <w:szCs w:val="24"/>
                <w:highlight w:val="none"/>
              </w:rPr>
              <w:t>（g</w:t>
            </w:r>
            <w:r>
              <w:rPr>
                <w:rFonts w:hint="eastAsia" w:ascii="仿宋" w:hAnsi="仿宋" w:eastAsia="仿宋" w:cs="仿宋"/>
                <w:sz w:val="24"/>
                <w:szCs w:val="24"/>
                <w:highlight w:val="none"/>
              </w:rPr>
              <w:t>/</w:t>
            </w:r>
            <w:r>
              <w:rPr>
                <w:rFonts w:hint="eastAsia" w:ascii="仿宋" w:hAnsi="仿宋" w:eastAsia="仿宋" w:cs="仿宋"/>
                <w:spacing w:val="10"/>
                <w:sz w:val="24"/>
                <w:szCs w:val="24"/>
                <w:highlight w:val="none"/>
              </w:rPr>
              <w:t>cm</w:t>
            </w:r>
            <w:r>
              <w:rPr>
                <w:rFonts w:hint="eastAsia" w:ascii="仿宋" w:hAnsi="仿宋" w:eastAsia="仿宋" w:cs="仿宋"/>
                <w:sz w:val="24"/>
                <w:szCs w:val="24"/>
                <w:highlight w:val="none"/>
                <w:vertAlign w:val="superscript"/>
              </w:rPr>
              <w:t>3</w:t>
            </w:r>
            <w:r>
              <w:rPr>
                <w:rFonts w:hint="eastAsia" w:ascii="仿宋" w:hAnsi="仿宋" w:eastAsia="仿宋" w:cs="仿宋"/>
                <w:sz w:val="24"/>
                <w:szCs w:val="24"/>
                <w:highlight w:val="none"/>
              </w:rPr>
              <w:t>)</w:t>
            </w:r>
          </w:p>
        </w:tc>
        <w:tc>
          <w:tcPr>
            <w:tcW w:w="4242" w:type="dxa"/>
            <w:tcBorders>
              <w:top w:val="single" w:color="auto" w:sz="4" w:space="0"/>
              <w:left w:val="single" w:color="auto" w:sz="4" w:space="0"/>
              <w:bottom w:val="single" w:color="auto" w:sz="4" w:space="0"/>
              <w:right w:val="single" w:color="auto" w:sz="4" w:space="0"/>
            </w:tcBorders>
            <w:shd w:val="clear" w:color="auto" w:fill="FFFFFF"/>
            <w:noWrap w:val="0"/>
            <w:tcMar>
              <w:left w:w="2" w:type="dxa"/>
              <w:right w:w="10" w:type="dxa"/>
            </w:tcMar>
            <w:vAlign w:val="center"/>
          </w:tcPr>
          <w:p w14:paraId="40647CC6">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r>
      <w:tr w14:paraId="11046EB8">
        <w:tblPrEx>
          <w:tblCellMar>
            <w:top w:w="0" w:type="dxa"/>
            <w:left w:w="0" w:type="dxa"/>
            <w:bottom w:w="0" w:type="dxa"/>
            <w:right w:w="0" w:type="dxa"/>
          </w:tblCellMar>
        </w:tblPrEx>
        <w:trPr>
          <w:trHeight w:val="374" w:hRule="atLeast"/>
          <w:jc w:val="center"/>
        </w:trPr>
        <w:tc>
          <w:tcPr>
            <w:tcW w:w="3883" w:type="dxa"/>
            <w:tcBorders>
              <w:top w:val="single" w:color="auto" w:sz="4" w:space="0"/>
              <w:left w:val="single" w:color="000000" w:sz="6" w:space="0"/>
              <w:bottom w:val="single" w:color="000000" w:sz="6" w:space="0"/>
            </w:tcBorders>
            <w:shd w:val="clear" w:color="auto" w:fill="FFFFFF"/>
            <w:noWrap w:val="0"/>
            <w:tcMar>
              <w:left w:w="2" w:type="dxa"/>
              <w:right w:w="10" w:type="dxa"/>
            </w:tcMar>
            <w:vAlign w:val="center"/>
          </w:tcPr>
          <w:p w14:paraId="0AB87100">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不溶物的质量分数/%</w:t>
            </w:r>
          </w:p>
        </w:tc>
        <w:tc>
          <w:tcPr>
            <w:tcW w:w="4242" w:type="dxa"/>
            <w:tcBorders>
              <w:top w:val="single" w:color="auto" w:sz="4" w:space="0"/>
              <w:left w:val="single" w:color="000000" w:sz="6" w:space="0"/>
              <w:bottom w:val="single" w:color="000000" w:sz="6" w:space="0"/>
              <w:right w:val="single" w:color="000000" w:sz="6" w:space="0"/>
            </w:tcBorders>
            <w:shd w:val="clear" w:color="auto" w:fill="FFFFFF"/>
            <w:noWrap w:val="0"/>
            <w:tcMar>
              <w:left w:w="2" w:type="dxa"/>
              <w:right w:w="10" w:type="dxa"/>
            </w:tcMar>
            <w:vAlign w:val="center"/>
          </w:tcPr>
          <w:p w14:paraId="32814219">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≤0.1</w:t>
            </w:r>
          </w:p>
        </w:tc>
      </w:tr>
      <w:tr w14:paraId="6429B8E1">
        <w:tblPrEx>
          <w:tblCellMar>
            <w:top w:w="0" w:type="dxa"/>
            <w:left w:w="0" w:type="dxa"/>
            <w:bottom w:w="0" w:type="dxa"/>
            <w:right w:w="0" w:type="dxa"/>
          </w:tblCellMar>
        </w:tblPrEx>
        <w:trPr>
          <w:trHeight w:val="365" w:hRule="atLeast"/>
          <w:jc w:val="center"/>
        </w:trPr>
        <w:tc>
          <w:tcPr>
            <w:tcW w:w="3883" w:type="dxa"/>
            <w:tcBorders>
              <w:top w:val="single" w:color="000000" w:sz="6" w:space="0"/>
              <w:left w:val="single" w:color="000000" w:sz="6" w:space="0"/>
            </w:tcBorders>
            <w:shd w:val="clear" w:color="auto" w:fill="FFFFFF"/>
            <w:noWrap w:val="0"/>
            <w:tcMar>
              <w:left w:w="2" w:type="dxa"/>
              <w:right w:w="10" w:type="dxa"/>
            </w:tcMar>
            <w:vAlign w:val="center"/>
          </w:tcPr>
          <w:p w14:paraId="5162F32B">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pH值(10g/L水溶液）</w:t>
            </w:r>
          </w:p>
        </w:tc>
        <w:tc>
          <w:tcPr>
            <w:tcW w:w="4242" w:type="dxa"/>
            <w:tcBorders>
              <w:top w:val="single" w:color="000000" w:sz="6" w:space="0"/>
              <w:left w:val="single" w:color="000000" w:sz="6" w:space="0"/>
              <w:right w:val="single" w:color="000000" w:sz="6" w:space="0"/>
            </w:tcBorders>
            <w:shd w:val="clear" w:color="auto" w:fill="FFFFFF"/>
            <w:noWrap w:val="0"/>
            <w:tcMar>
              <w:left w:w="2" w:type="dxa"/>
              <w:right w:w="2" w:type="dxa"/>
            </w:tcMar>
            <w:vAlign w:val="center"/>
          </w:tcPr>
          <w:p w14:paraId="28326064">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firstLine="1680" w:firstLineChars="7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3.5 — 5.0</w:t>
            </w:r>
          </w:p>
        </w:tc>
      </w:tr>
      <w:tr w14:paraId="625AE521">
        <w:tblPrEx>
          <w:shd w:val="clear" w:color="auto" w:fill="FFFFFF"/>
          <w:tblCellMar>
            <w:top w:w="0" w:type="dxa"/>
            <w:left w:w="0" w:type="dxa"/>
            <w:bottom w:w="0" w:type="dxa"/>
            <w:right w:w="0" w:type="dxa"/>
          </w:tblCellMar>
        </w:tblPrEx>
        <w:trPr>
          <w:trHeight w:val="365" w:hRule="atLeast"/>
          <w:jc w:val="center"/>
        </w:trPr>
        <w:tc>
          <w:tcPr>
            <w:tcW w:w="3883" w:type="dxa"/>
            <w:tcBorders>
              <w:top w:val="single" w:color="000000" w:sz="6" w:space="0"/>
              <w:left w:val="single" w:color="000000" w:sz="6" w:space="0"/>
            </w:tcBorders>
            <w:shd w:val="clear" w:color="auto" w:fill="FFFFFF"/>
            <w:noWrap w:val="0"/>
            <w:tcMar>
              <w:left w:w="2" w:type="dxa"/>
              <w:right w:w="10" w:type="dxa"/>
            </w:tcMar>
            <w:vAlign w:val="center"/>
          </w:tcPr>
          <w:p w14:paraId="30E5BFAC">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铁（Fe）质量分数/%</w:t>
            </w:r>
          </w:p>
        </w:tc>
        <w:tc>
          <w:tcPr>
            <w:tcW w:w="4242" w:type="dxa"/>
            <w:tcBorders>
              <w:top w:val="single" w:color="000000" w:sz="6" w:space="0"/>
              <w:left w:val="single" w:color="000000" w:sz="6" w:space="0"/>
              <w:right w:val="single" w:color="000000" w:sz="6" w:space="0"/>
            </w:tcBorders>
            <w:shd w:val="clear" w:color="auto" w:fill="FFFFFF"/>
            <w:noWrap w:val="0"/>
            <w:tcMar>
              <w:left w:w="2" w:type="dxa"/>
              <w:right w:w="2" w:type="dxa"/>
            </w:tcMar>
            <w:vAlign w:val="center"/>
          </w:tcPr>
          <w:p w14:paraId="1C70399F">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≤0.2</w:t>
            </w:r>
          </w:p>
        </w:tc>
      </w:tr>
      <w:tr w14:paraId="6CB783A3">
        <w:tblPrEx>
          <w:tblCellMar>
            <w:top w:w="0" w:type="dxa"/>
            <w:left w:w="0" w:type="dxa"/>
            <w:bottom w:w="0" w:type="dxa"/>
            <w:right w:w="0" w:type="dxa"/>
          </w:tblCellMar>
        </w:tblPrEx>
        <w:trPr>
          <w:trHeight w:val="365" w:hRule="atLeast"/>
          <w:jc w:val="center"/>
        </w:trPr>
        <w:tc>
          <w:tcPr>
            <w:tcW w:w="3883" w:type="dxa"/>
            <w:tcBorders>
              <w:top w:val="single" w:color="000000" w:sz="6" w:space="0"/>
              <w:left w:val="single" w:color="000000" w:sz="6" w:space="0"/>
            </w:tcBorders>
            <w:shd w:val="clear" w:color="auto" w:fill="FFFFFF"/>
            <w:noWrap w:val="0"/>
            <w:tcMar>
              <w:left w:w="2" w:type="dxa"/>
              <w:right w:w="10" w:type="dxa"/>
            </w:tcMar>
            <w:vAlign w:val="center"/>
          </w:tcPr>
          <w:p w14:paraId="63E2080C">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砷（As)的质量分数/%</w:t>
            </w:r>
          </w:p>
        </w:tc>
        <w:tc>
          <w:tcPr>
            <w:tcW w:w="4242" w:type="dxa"/>
            <w:tcBorders>
              <w:top w:val="single" w:color="000000" w:sz="6" w:space="0"/>
              <w:left w:val="single" w:color="000000" w:sz="6" w:space="0"/>
              <w:right w:val="single" w:color="000000" w:sz="6" w:space="0"/>
            </w:tcBorders>
            <w:shd w:val="clear" w:color="auto" w:fill="FFFFFF"/>
            <w:noWrap w:val="0"/>
            <w:tcMar>
              <w:left w:w="2" w:type="dxa"/>
              <w:right w:w="2" w:type="dxa"/>
            </w:tcMar>
            <w:vAlign w:val="bottom"/>
          </w:tcPr>
          <w:p w14:paraId="03681862">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≤0.0001</w:t>
            </w:r>
          </w:p>
        </w:tc>
      </w:tr>
      <w:tr w14:paraId="7F847219">
        <w:tblPrEx>
          <w:tblCellMar>
            <w:top w:w="0" w:type="dxa"/>
            <w:left w:w="0" w:type="dxa"/>
            <w:bottom w:w="0" w:type="dxa"/>
            <w:right w:w="0" w:type="dxa"/>
          </w:tblCellMar>
        </w:tblPrEx>
        <w:trPr>
          <w:trHeight w:val="355" w:hRule="atLeast"/>
          <w:jc w:val="center"/>
        </w:trPr>
        <w:tc>
          <w:tcPr>
            <w:tcW w:w="3883" w:type="dxa"/>
            <w:tcBorders>
              <w:top w:val="single" w:color="000000" w:sz="6" w:space="0"/>
              <w:left w:val="single" w:color="000000" w:sz="6" w:space="0"/>
            </w:tcBorders>
            <w:shd w:val="clear" w:color="auto" w:fill="FFFFFF"/>
            <w:noWrap w:val="0"/>
            <w:tcMar>
              <w:left w:w="2" w:type="dxa"/>
              <w:right w:w="10" w:type="dxa"/>
            </w:tcMar>
            <w:vAlign w:val="center"/>
          </w:tcPr>
          <w:p w14:paraId="217A8B4A">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铅（Pb)的质量分数/%</w:t>
            </w:r>
          </w:p>
        </w:tc>
        <w:tc>
          <w:tcPr>
            <w:tcW w:w="4242" w:type="dxa"/>
            <w:tcBorders>
              <w:top w:val="single" w:color="000000" w:sz="6" w:space="0"/>
              <w:left w:val="single" w:color="000000" w:sz="6" w:space="0"/>
              <w:right w:val="single" w:color="000000" w:sz="6" w:space="0"/>
            </w:tcBorders>
            <w:shd w:val="clear" w:color="auto" w:fill="FFFFFF"/>
            <w:noWrap w:val="0"/>
            <w:tcMar>
              <w:left w:w="2" w:type="dxa"/>
              <w:right w:w="2" w:type="dxa"/>
            </w:tcMar>
            <w:vAlign w:val="center"/>
          </w:tcPr>
          <w:p w14:paraId="67E1B3A5">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ind w:left="2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≤0.0005</w:t>
            </w:r>
          </w:p>
        </w:tc>
      </w:tr>
      <w:tr w14:paraId="626EDBBD">
        <w:tblPrEx>
          <w:shd w:val="clear" w:color="auto" w:fill="FFFFFF"/>
          <w:tblCellMar>
            <w:top w:w="0" w:type="dxa"/>
            <w:left w:w="0" w:type="dxa"/>
            <w:bottom w:w="0" w:type="dxa"/>
            <w:right w:w="0" w:type="dxa"/>
          </w:tblCellMar>
        </w:tblPrEx>
        <w:trPr>
          <w:trHeight w:val="365" w:hRule="atLeast"/>
          <w:jc w:val="center"/>
        </w:trPr>
        <w:tc>
          <w:tcPr>
            <w:tcW w:w="3883" w:type="dxa"/>
            <w:tcBorders>
              <w:top w:val="single" w:color="000000" w:sz="6" w:space="0"/>
              <w:left w:val="single" w:color="000000" w:sz="6" w:space="0"/>
              <w:bottom w:val="single" w:color="auto" w:sz="4" w:space="0"/>
            </w:tcBorders>
            <w:shd w:val="clear" w:color="auto" w:fill="FFFFFF"/>
            <w:noWrap w:val="0"/>
            <w:tcMar>
              <w:left w:w="2" w:type="dxa"/>
              <w:right w:w="10" w:type="dxa"/>
            </w:tcMar>
            <w:vAlign w:val="center"/>
          </w:tcPr>
          <w:p w14:paraId="585E006F">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镉（Cb)的质量分数/%</w:t>
            </w:r>
          </w:p>
        </w:tc>
        <w:tc>
          <w:tcPr>
            <w:tcW w:w="4242" w:type="dxa"/>
            <w:tcBorders>
              <w:top w:val="single" w:color="000000" w:sz="6" w:space="0"/>
              <w:left w:val="single" w:color="000000" w:sz="6" w:space="0"/>
              <w:bottom w:val="single" w:color="auto" w:sz="4" w:space="0"/>
              <w:right w:val="single" w:color="000000" w:sz="6" w:space="0"/>
            </w:tcBorders>
            <w:shd w:val="clear" w:color="auto" w:fill="FFFFFF"/>
            <w:noWrap w:val="0"/>
            <w:tcMar>
              <w:left w:w="2" w:type="dxa"/>
              <w:right w:w="2" w:type="dxa"/>
            </w:tcMar>
            <w:vAlign w:val="center"/>
          </w:tcPr>
          <w:p w14:paraId="3E96072A">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≤0.0001</w:t>
            </w:r>
          </w:p>
        </w:tc>
      </w:tr>
      <w:tr w14:paraId="34D05539">
        <w:tblPrEx>
          <w:shd w:val="clear" w:color="auto" w:fill="FFFFFF"/>
          <w:tblCellMar>
            <w:top w:w="0" w:type="dxa"/>
            <w:left w:w="0" w:type="dxa"/>
            <w:bottom w:w="0" w:type="dxa"/>
            <w:right w:w="0" w:type="dxa"/>
          </w:tblCellMar>
        </w:tblPrEx>
        <w:trPr>
          <w:trHeight w:val="365" w:hRule="atLeast"/>
          <w:jc w:val="center"/>
        </w:trPr>
        <w:tc>
          <w:tcPr>
            <w:tcW w:w="3883" w:type="dxa"/>
            <w:tcBorders>
              <w:top w:val="single" w:color="auto" w:sz="4" w:space="0"/>
              <w:left w:val="single" w:color="auto" w:sz="4" w:space="0"/>
              <w:bottom w:val="single" w:color="auto" w:sz="4" w:space="0"/>
              <w:right w:val="single" w:color="auto" w:sz="4" w:space="0"/>
            </w:tcBorders>
            <w:shd w:val="clear" w:color="auto" w:fill="FFFFFF"/>
            <w:noWrap w:val="0"/>
            <w:tcMar>
              <w:left w:w="2" w:type="dxa"/>
              <w:right w:w="10" w:type="dxa"/>
            </w:tcMar>
            <w:vAlign w:val="center"/>
          </w:tcPr>
          <w:p w14:paraId="54302401">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汞（Hg)的质量分数/%</w:t>
            </w:r>
          </w:p>
        </w:tc>
        <w:tc>
          <w:tcPr>
            <w:tcW w:w="4242" w:type="dxa"/>
            <w:tcBorders>
              <w:top w:val="single" w:color="auto" w:sz="4" w:space="0"/>
              <w:left w:val="single" w:color="auto" w:sz="4" w:space="0"/>
              <w:bottom w:val="single" w:color="auto" w:sz="4" w:space="0"/>
              <w:right w:val="single" w:color="auto" w:sz="4" w:space="0"/>
            </w:tcBorders>
            <w:shd w:val="clear" w:color="auto" w:fill="FFFFFF"/>
            <w:noWrap w:val="0"/>
            <w:tcMar>
              <w:left w:w="2" w:type="dxa"/>
              <w:right w:w="2" w:type="dxa"/>
            </w:tcMar>
            <w:vAlign w:val="center"/>
          </w:tcPr>
          <w:p w14:paraId="52857A9C">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≤0.00001</w:t>
            </w:r>
          </w:p>
        </w:tc>
      </w:tr>
      <w:tr w14:paraId="3CA110F2">
        <w:tblPrEx>
          <w:tblCellMar>
            <w:top w:w="0" w:type="dxa"/>
            <w:left w:w="0" w:type="dxa"/>
            <w:bottom w:w="0" w:type="dxa"/>
            <w:right w:w="0" w:type="dxa"/>
          </w:tblCellMar>
        </w:tblPrEx>
        <w:trPr>
          <w:trHeight w:val="355" w:hRule="atLeast"/>
          <w:jc w:val="center"/>
        </w:trPr>
        <w:tc>
          <w:tcPr>
            <w:tcW w:w="3883" w:type="dxa"/>
            <w:tcBorders>
              <w:top w:val="single" w:color="auto" w:sz="4" w:space="0"/>
              <w:left w:val="single" w:color="000000" w:sz="6" w:space="0"/>
            </w:tcBorders>
            <w:shd w:val="clear" w:color="auto" w:fill="FFFFFF"/>
            <w:noWrap w:val="0"/>
            <w:tcMar>
              <w:left w:w="2" w:type="dxa"/>
              <w:right w:w="10" w:type="dxa"/>
            </w:tcMar>
            <w:vAlign w:val="center"/>
          </w:tcPr>
          <w:p w14:paraId="31C5269D">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铬（Cr)的质量分数/%</w:t>
            </w:r>
          </w:p>
        </w:tc>
        <w:tc>
          <w:tcPr>
            <w:tcW w:w="4242" w:type="dxa"/>
            <w:tcBorders>
              <w:top w:val="single" w:color="auto" w:sz="4" w:space="0"/>
              <w:left w:val="single" w:color="000000" w:sz="6" w:space="0"/>
              <w:right w:val="single" w:color="000000" w:sz="6" w:space="0"/>
            </w:tcBorders>
            <w:shd w:val="clear" w:color="auto" w:fill="FFFFFF"/>
            <w:noWrap w:val="0"/>
            <w:tcMar>
              <w:left w:w="2" w:type="dxa"/>
              <w:right w:w="2" w:type="dxa"/>
            </w:tcMar>
            <w:vAlign w:val="center"/>
          </w:tcPr>
          <w:p w14:paraId="45B9577A">
            <w:pPr>
              <w:pStyle w:val="37"/>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tLeas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≤0.0005</w:t>
            </w:r>
          </w:p>
        </w:tc>
      </w:tr>
      <w:tr w14:paraId="08785DE2">
        <w:tblPrEx>
          <w:tblCellMar>
            <w:top w:w="0" w:type="dxa"/>
            <w:left w:w="0" w:type="dxa"/>
            <w:bottom w:w="0" w:type="dxa"/>
            <w:right w:w="0" w:type="dxa"/>
          </w:tblCellMar>
        </w:tblPrEx>
        <w:trPr>
          <w:trHeight w:val="1238" w:hRule="atLeast"/>
          <w:jc w:val="center"/>
        </w:trPr>
        <w:tc>
          <w:tcPr>
            <w:tcW w:w="8125" w:type="dxa"/>
            <w:gridSpan w:val="2"/>
            <w:tcBorders>
              <w:top w:val="single" w:color="000000" w:sz="6" w:space="0"/>
              <w:left w:val="single" w:color="000000" w:sz="6" w:space="0"/>
              <w:bottom w:val="single" w:color="000000" w:sz="6" w:space="0"/>
              <w:right w:val="single" w:color="000000" w:sz="6" w:space="0"/>
            </w:tcBorders>
            <w:shd w:val="clear" w:color="auto" w:fill="FFFFFF"/>
            <w:noWrap w:val="0"/>
            <w:tcMar>
              <w:left w:w="2" w:type="dxa"/>
              <w:right w:w="2" w:type="dxa"/>
            </w:tcMar>
            <w:vAlign w:val="center"/>
          </w:tcPr>
          <w:p w14:paraId="29509A20">
            <w:pPr>
              <w:pStyle w:val="37"/>
              <w:keepNext w:val="0"/>
              <w:keepLines w:val="0"/>
              <w:pageBreakBefore w:val="0"/>
              <w:widowControl/>
              <w:kinsoku/>
              <w:wordWrap/>
              <w:overflowPunct/>
              <w:topLinePunct w:val="0"/>
              <w:autoSpaceDE/>
              <w:autoSpaceDN/>
              <w:bidi w:val="0"/>
              <w:adjustRightInd/>
              <w:snapToGrid w:val="0"/>
              <w:spacing w:before="120" w:beforeAutospacing="0" w:after="0" w:afterAutospacing="0" w:line="24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bCs/>
                <w:kern w:val="0"/>
                <w:sz w:val="24"/>
                <w:szCs w:val="24"/>
                <w:highlight w:val="none"/>
              </w:rPr>
              <w:t>表中所列产品的不溶物、铁、砷、铅、</w:t>
            </w:r>
            <w:r>
              <w:rPr>
                <w:rFonts w:hint="eastAsia" w:ascii="仿宋" w:hAnsi="仿宋" w:eastAsia="仿宋" w:cs="仿宋"/>
                <w:sz w:val="24"/>
                <w:szCs w:val="24"/>
                <w:highlight w:val="none"/>
              </w:rPr>
              <w:t>镉、汞、铬的质量分数均按</w:t>
            </w:r>
            <w:r>
              <w:rPr>
                <w:rFonts w:hint="eastAsia" w:ascii="仿宋" w:hAnsi="仿宋" w:eastAsia="仿宋" w:cs="仿宋"/>
                <w:smallCaps/>
                <w:spacing w:val="10"/>
                <w:sz w:val="24"/>
                <w:szCs w:val="24"/>
                <w:highlight w:val="none"/>
              </w:rPr>
              <w:t>ai</w:t>
            </w:r>
            <w:r>
              <w:rPr>
                <w:rFonts w:hint="eastAsia" w:ascii="仿宋" w:hAnsi="仿宋" w:eastAsia="仿宋" w:cs="仿宋"/>
                <w:sz w:val="24"/>
                <w:szCs w:val="24"/>
                <w:highlight w:val="none"/>
                <w:vertAlign w:val="subscript"/>
              </w:rPr>
              <w:t>2</w:t>
            </w:r>
            <w:r>
              <w:rPr>
                <w:rFonts w:hint="eastAsia" w:ascii="仿宋" w:hAnsi="仿宋" w:eastAsia="仿宋" w:cs="仿宋"/>
                <w:smallCaps/>
                <w:spacing w:val="10"/>
                <w:sz w:val="24"/>
                <w:szCs w:val="24"/>
                <w:highlight w:val="none"/>
              </w:rPr>
              <w:t>o</w:t>
            </w:r>
            <w:r>
              <w:rPr>
                <w:rFonts w:hint="eastAsia" w:ascii="仿宋" w:hAnsi="仿宋" w:eastAsia="仿宋" w:cs="仿宋"/>
                <w:sz w:val="24"/>
                <w:szCs w:val="24"/>
                <w:highlight w:val="none"/>
                <w:vertAlign w:val="subscript"/>
              </w:rPr>
              <w:t>3</w:t>
            </w:r>
            <w:r>
              <w:rPr>
                <w:rFonts w:hint="eastAsia" w:ascii="仿宋" w:hAnsi="仿宋" w:eastAsia="仿宋" w:cs="仿宋"/>
                <w:bCs/>
                <w:kern w:val="0"/>
                <w:sz w:val="24"/>
                <w:szCs w:val="24"/>
                <w:highlight w:val="none"/>
              </w:rPr>
              <w:t>含量为10.0%计，</w:t>
            </w:r>
            <w:r>
              <w:rPr>
                <w:rFonts w:hint="eastAsia" w:ascii="仿宋" w:hAnsi="仿宋" w:eastAsia="仿宋" w:cs="仿宋"/>
                <w:smallCaps/>
                <w:spacing w:val="10"/>
                <w:sz w:val="24"/>
                <w:szCs w:val="24"/>
                <w:highlight w:val="none"/>
              </w:rPr>
              <w:t>ai</w:t>
            </w:r>
            <w:r>
              <w:rPr>
                <w:rFonts w:hint="eastAsia" w:ascii="仿宋" w:hAnsi="仿宋" w:eastAsia="仿宋" w:cs="仿宋"/>
                <w:sz w:val="24"/>
                <w:szCs w:val="24"/>
                <w:highlight w:val="none"/>
                <w:vertAlign w:val="subscript"/>
              </w:rPr>
              <w:t>2</w:t>
            </w:r>
            <w:r>
              <w:rPr>
                <w:rFonts w:hint="eastAsia" w:ascii="仿宋" w:hAnsi="仿宋" w:eastAsia="仿宋" w:cs="仿宋"/>
                <w:smallCaps/>
                <w:spacing w:val="10"/>
                <w:sz w:val="24"/>
                <w:szCs w:val="24"/>
                <w:highlight w:val="none"/>
              </w:rPr>
              <w:t>o</w:t>
            </w:r>
            <w:r>
              <w:rPr>
                <w:rFonts w:hint="eastAsia" w:ascii="仿宋" w:hAnsi="仿宋" w:eastAsia="仿宋" w:cs="仿宋"/>
                <w:sz w:val="24"/>
                <w:szCs w:val="24"/>
                <w:highlight w:val="none"/>
                <w:vertAlign w:val="subscript"/>
              </w:rPr>
              <w:t>3</w:t>
            </w:r>
            <w:r>
              <w:rPr>
                <w:rFonts w:hint="eastAsia" w:ascii="仿宋" w:hAnsi="仿宋" w:eastAsia="仿宋" w:cs="仿宋"/>
                <w:bCs/>
                <w:kern w:val="0"/>
                <w:sz w:val="24"/>
                <w:szCs w:val="24"/>
                <w:highlight w:val="none"/>
              </w:rPr>
              <w:t>含量＞10.0%时，应按实际含量折算成</w:t>
            </w:r>
            <w:r>
              <w:rPr>
                <w:rFonts w:hint="eastAsia" w:ascii="仿宋" w:hAnsi="仿宋" w:eastAsia="仿宋" w:cs="仿宋"/>
                <w:smallCaps/>
                <w:spacing w:val="10"/>
                <w:sz w:val="24"/>
                <w:szCs w:val="24"/>
                <w:highlight w:val="none"/>
              </w:rPr>
              <w:t>ai</w:t>
            </w:r>
            <w:r>
              <w:rPr>
                <w:rFonts w:hint="eastAsia" w:ascii="仿宋" w:hAnsi="仿宋" w:eastAsia="仿宋" w:cs="仿宋"/>
                <w:sz w:val="24"/>
                <w:szCs w:val="24"/>
                <w:highlight w:val="none"/>
                <w:vertAlign w:val="subscript"/>
              </w:rPr>
              <w:t>2</w:t>
            </w:r>
            <w:r>
              <w:rPr>
                <w:rFonts w:hint="eastAsia" w:ascii="仿宋" w:hAnsi="仿宋" w:eastAsia="仿宋" w:cs="仿宋"/>
                <w:smallCaps/>
                <w:spacing w:val="10"/>
                <w:sz w:val="24"/>
                <w:szCs w:val="24"/>
                <w:highlight w:val="none"/>
              </w:rPr>
              <w:t>o</w:t>
            </w:r>
            <w:r>
              <w:rPr>
                <w:rFonts w:hint="eastAsia" w:ascii="仿宋" w:hAnsi="仿宋" w:eastAsia="仿宋" w:cs="仿宋"/>
                <w:sz w:val="24"/>
                <w:szCs w:val="24"/>
                <w:highlight w:val="none"/>
                <w:vertAlign w:val="subscript"/>
              </w:rPr>
              <w:t>3</w:t>
            </w:r>
            <w:r>
              <w:rPr>
                <w:rFonts w:hint="eastAsia" w:ascii="仿宋" w:hAnsi="仿宋" w:eastAsia="仿宋" w:cs="仿宋"/>
                <w:sz w:val="24"/>
                <w:szCs w:val="24"/>
                <w:highlight w:val="none"/>
              </w:rPr>
              <w:t>为10.0%产品比例，计算出相应的质量分数。本产品还应符合国家相关法律法规及强制性标准要求。</w:t>
            </w:r>
          </w:p>
        </w:tc>
      </w:tr>
    </w:tbl>
    <w:p w14:paraId="12EC4E32">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注：投标人应出具具备国家认定资质的第三方检测机构出具的有效的药剂检验/检测报告（需注明药剂状态），证明所投标产品符合以上要求，否则投标无效。</w:t>
      </w:r>
    </w:p>
    <w:p w14:paraId="2DA033CB">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4.絮凝效果：所供聚氯化铝必须有良好絮凝效果。</w:t>
      </w:r>
    </w:p>
    <w:p w14:paraId="0D742C80">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5.聚氯化铝产品都应附有质量检验报告及质量合格证。</w:t>
      </w:r>
    </w:p>
    <w:p w14:paraId="5C1A04BE">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6.聚氯化铝的外包装上应有涂刷牢固清晰的标志,注明生产厂名、产品名称、商标、净质量、批号和生产日期、标准编号以及GB/T 191-2025规定的“怕雨”标志。 </w:t>
      </w:r>
    </w:p>
    <w:p w14:paraId="36B8BB3D">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7.固体聚氯化铝采用双层包装，内包装采用食品级聚乙烯薄膜袋，厚度不小于0.05 mm,包装容积应大于外包装，外包装的性能和检验方法应符合GB/T 8946-2013的规定。每袋净质量25kg或50kg（具体每袋净重响应招标人要求）。</w:t>
      </w:r>
    </w:p>
    <w:p w14:paraId="48952948">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8.固态聚氯化铝在运输过程中应有遮盖物,避免雨淋、受潮；并保持包装完整、标志清晰。</w:t>
      </w:r>
    </w:p>
    <w:p w14:paraId="7CD4F322">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9.固态聚氯化铝应贮存在通风干燥的库房内。固体聚氯化铝贮存期为12个月。液体聚氯化铝贮存期为6个月。</w:t>
      </w:r>
    </w:p>
    <w:p w14:paraId="04F36A58">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九、付款条件：</w:t>
      </w:r>
      <w:r>
        <w:rPr>
          <w:rFonts w:hint="eastAsia" w:ascii="仿宋" w:hAnsi="仿宋" w:eastAsia="仿宋" w:cs="仿宋"/>
          <w:b w:val="0"/>
          <w:bCs w:val="0"/>
          <w:sz w:val="24"/>
          <w:szCs w:val="24"/>
          <w:highlight w:val="none"/>
          <w:lang w:val="en-US" w:eastAsia="zh-CN"/>
        </w:rPr>
        <w:t>产品验收合格后招标人办理入库手续，中标人按照招标人出具的入库单开具增值税发票。招标人每年付款三次，每次付款比例不超过账面应付账款的25%。招标人付至挂账总金额的95%时暂停付款，剩余5%款项待双方合作到期且最后一批货物质保期满后无息付清。</w:t>
      </w:r>
    </w:p>
    <w:p w14:paraId="3C234869">
      <w:pPr>
        <w:pStyle w:val="36"/>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25"/>
          <w:highlight w:val="none"/>
        </w:rPr>
      </w:pPr>
      <w:r>
        <w:rPr>
          <w:rFonts w:hint="eastAsia" w:ascii="仿宋" w:hAnsi="仿宋" w:eastAsia="仿宋" w:cs="Times New Roman"/>
          <w:b w:val="0"/>
          <w:bCs w:val="0"/>
          <w:sz w:val="24"/>
          <w:szCs w:val="24"/>
          <w:highlight w:val="none"/>
          <w:lang w:val="en-US" w:eastAsia="zh-CN"/>
        </w:rPr>
        <w:br w:type="page"/>
      </w:r>
      <w:bookmarkEnd w:id="15"/>
      <w:bookmarkStart w:id="19" w:name="_Toc16250"/>
      <w:r>
        <w:rPr>
          <w:rStyle w:val="125"/>
          <w:rFonts w:hint="eastAsia"/>
          <w:highlight w:val="none"/>
        </w:rPr>
        <w:t>第四部分  评标原则、程序与方法</w:t>
      </w:r>
    </w:p>
    <w:bookmarkEnd w:id="19"/>
    <w:p w14:paraId="7E7FD683">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5F3B951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4502314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3E24052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3021F0E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5B9C289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5B50EFC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4C4BCAA4">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578894EE">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2E476F6E">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23E66BCF">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3F6962F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6B01894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0F302CF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2A231EC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36C09BE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757ADE1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029A5D5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02DCB9C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1645A86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2135369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24922D7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1285B95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5D8E024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28C7528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347C8E7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1663378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5913CDA6">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24FD5112">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154BC47C">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p w14:paraId="00B54D8B">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各标包均适用</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403FAF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52F25E1F">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1FFEFAA8">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5C3665E5">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7EE5DCF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919" w:hRule="atLeast"/>
          <w:jc w:val="center"/>
        </w:trPr>
        <w:tc>
          <w:tcPr>
            <w:tcW w:w="1996" w:type="dxa"/>
            <w:tcBorders>
              <w:right w:val="single" w:color="auto" w:sz="4" w:space="0"/>
            </w:tcBorders>
            <w:noWrap w:val="0"/>
            <w:vAlign w:val="center"/>
          </w:tcPr>
          <w:p w14:paraId="78C829CF">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bottom w:val="single" w:color="auto" w:sz="4" w:space="0"/>
            </w:tcBorders>
            <w:noWrap w:val="0"/>
            <w:vAlign w:val="center"/>
          </w:tcPr>
          <w:p w14:paraId="69778480">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40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7D8F3C4D">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投标报价不能超过招标控制价，否则否决其投标资格。</w:t>
            </w:r>
          </w:p>
          <w:p w14:paraId="154CEC21">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评标基准价计算方法：</w:t>
            </w:r>
          </w:p>
          <w:p w14:paraId="611E15A9">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当有效投标单位≥10家，评审基准价=（所有投标单位的有效报价之和-有效报价的最高值及次高值-有效报价的最低值及次低值）的算术平均值*0.95；</w:t>
            </w:r>
          </w:p>
          <w:p w14:paraId="45898526">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当6家≤有效投标单位＜10家，评审基准价=（所有投标单位的有效报价之和-有效报价的最高值-有效报价的最低值）的算术平均值*0.95；</w:t>
            </w:r>
          </w:p>
          <w:p w14:paraId="1566449E">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当有效投标单位数＜6家，评审基准价=所有投标单位的有效报价的算术平均值*0.95。</w:t>
            </w:r>
          </w:p>
          <w:p w14:paraId="1CC9A6AE">
            <w:pPr>
              <w:pStyle w:val="12"/>
              <w:spacing w:line="400" w:lineRule="exact"/>
              <w:ind w:left="0" w:leftChars="0" w:firstLine="0" w:firstLineChars="0"/>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投标报价与评标基准价一致的，得40分；投标报价比评标基准价每高1%，扣0.5分；投标报价比评标基准价每低价1%，扣0.3分，最低计至0分。偏离不足1%，按插入法计算得分（四舍五入精确至小数点后两位）。</w:t>
            </w:r>
          </w:p>
        </w:tc>
      </w:tr>
      <w:tr w14:paraId="605D1D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5D97F130">
            <w:pPr>
              <w:keepNext w:val="0"/>
              <w:keepLines w:val="0"/>
              <w:pageBreakBefore w:val="0"/>
              <w:widowControl w:val="0"/>
              <w:kinsoku/>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42883DB8">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23B0305C">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提供投标人或生产厂家2023年01月01日至今的类似供货业绩，每提供一个单项合同或者年度供货合同（包括年度供货单价合同）得1分，满分5分。</w:t>
            </w:r>
          </w:p>
          <w:p w14:paraId="32BCF4A0">
            <w:pPr>
              <w:pStyle w:val="12"/>
              <w:spacing w:line="400" w:lineRule="exact"/>
              <w:ind w:left="0" w:leftChars="0" w:firstLine="0" w:firstLineChars="0"/>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注：1、类似供货业绩：指</w:t>
            </w:r>
            <w:r>
              <w:rPr>
                <w:rFonts w:hint="eastAsia" w:ascii="仿宋_GB2312" w:hAnsi="仿宋_GB2312" w:eastAsia="仿宋_GB2312" w:cs="仿宋_GB2312"/>
                <w:color w:val="000000"/>
                <w:kern w:val="0"/>
                <w:sz w:val="24"/>
                <w:szCs w:val="24"/>
                <w:highlight w:val="none"/>
                <w:lang w:val="en-US" w:eastAsia="zh-CN" w:bidi="ar"/>
              </w:rPr>
              <w:t>固态聚氯化铝</w:t>
            </w:r>
            <w:r>
              <w:rPr>
                <w:rFonts w:hint="eastAsia" w:ascii="仿宋" w:hAnsi="仿宋" w:eastAsia="仿宋" w:cs="仿宋"/>
                <w:kern w:val="0"/>
                <w:sz w:val="24"/>
                <w:szCs w:val="24"/>
                <w:highlight w:val="none"/>
                <w:lang w:val="en-US" w:eastAsia="zh-CN"/>
              </w:rPr>
              <w:t>供货业绩。</w:t>
            </w:r>
          </w:p>
          <w:p w14:paraId="7D80FB55">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2、时间以合同签订时间为准。</w:t>
            </w:r>
          </w:p>
          <w:p w14:paraId="0B6D29B2">
            <w:pPr>
              <w:pStyle w:val="12"/>
              <w:spacing w:line="400" w:lineRule="exact"/>
              <w:ind w:left="0" w:leftChars="0" w:firstLine="0" w:firstLineChars="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3、投标文件中提供的合同复印件，项目名称或合同承包范围如不能体现类似业绩，应附相关证明材料，否则不得分</w:t>
            </w:r>
            <w:r>
              <w:rPr>
                <w:rFonts w:hint="eastAsia" w:ascii="仿宋" w:hAnsi="仿宋" w:eastAsia="仿宋" w:cs="仿宋"/>
                <w:kern w:val="0"/>
                <w:sz w:val="24"/>
                <w:szCs w:val="24"/>
                <w:highlight w:val="none"/>
              </w:rPr>
              <w:t>。</w:t>
            </w:r>
          </w:p>
        </w:tc>
      </w:tr>
      <w:tr w14:paraId="135AE0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78D3ED87">
            <w:pPr>
              <w:pStyle w:val="12"/>
              <w:ind w:left="0" w:leftChars="0" w:firstLine="0" w:firstLineChars="0"/>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产品技术性能</w:t>
            </w:r>
          </w:p>
        </w:tc>
        <w:tc>
          <w:tcPr>
            <w:tcW w:w="835" w:type="dxa"/>
            <w:tcBorders>
              <w:top w:val="single" w:color="auto" w:sz="4" w:space="0"/>
              <w:left w:val="single" w:color="auto" w:sz="4" w:space="0"/>
            </w:tcBorders>
            <w:noWrap w:val="0"/>
            <w:vAlign w:val="center"/>
          </w:tcPr>
          <w:p w14:paraId="7561582B">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25分</w:t>
            </w:r>
          </w:p>
        </w:tc>
        <w:tc>
          <w:tcPr>
            <w:tcW w:w="6232" w:type="dxa"/>
            <w:tcBorders>
              <w:top w:val="single" w:color="auto" w:sz="4" w:space="0"/>
            </w:tcBorders>
            <w:noWrap w:val="0"/>
            <w:vAlign w:val="center"/>
          </w:tcPr>
          <w:p w14:paraId="5A47F28F">
            <w:pPr>
              <w:pStyle w:val="12"/>
              <w:spacing w:line="400" w:lineRule="exact"/>
              <w:ind w:firstLine="0"/>
              <w:rPr>
                <w:rFonts w:ascii="仿宋" w:hAnsi="仿宋" w:eastAsia="仿宋" w:cs="仿宋"/>
                <w:sz w:val="24"/>
                <w:szCs w:val="24"/>
                <w:highlight w:val="none"/>
              </w:rPr>
            </w:pPr>
            <w:r>
              <w:rPr>
                <w:rFonts w:hint="eastAsia" w:ascii="仿宋" w:hAnsi="仿宋" w:eastAsia="仿宋" w:cs="仿宋"/>
                <w:sz w:val="24"/>
                <w:szCs w:val="24"/>
                <w:highlight w:val="none"/>
              </w:rPr>
              <w:t>评标委员会根据投标人提供的产品技术性能等内容进行打分：</w:t>
            </w:r>
          </w:p>
          <w:p w14:paraId="7D2B4298">
            <w:pPr>
              <w:pStyle w:val="12"/>
              <w:spacing w:line="400" w:lineRule="exact"/>
              <w:ind w:firstLine="0"/>
              <w:rPr>
                <w:rFonts w:ascii="仿宋" w:hAnsi="仿宋" w:eastAsia="仿宋" w:cs="仿宋"/>
                <w:sz w:val="24"/>
                <w:szCs w:val="24"/>
                <w:highlight w:val="none"/>
              </w:rPr>
            </w:pPr>
            <w:r>
              <w:rPr>
                <w:rFonts w:hint="eastAsia" w:ascii="仿宋" w:hAnsi="仿宋" w:eastAsia="仿宋" w:cs="仿宋"/>
                <w:sz w:val="24"/>
                <w:szCs w:val="24"/>
                <w:highlight w:val="none"/>
              </w:rPr>
              <w:t>【17</w:t>
            </w:r>
            <w:r>
              <w:rPr>
                <w:rFonts w:ascii="仿宋" w:hAnsi="仿宋" w:eastAsia="仿宋" w:cs="仿宋"/>
                <w:sz w:val="24"/>
                <w:szCs w:val="24"/>
                <w:highlight w:val="none"/>
              </w:rPr>
              <w:t>-</w:t>
            </w:r>
            <w:r>
              <w:rPr>
                <w:rFonts w:hint="eastAsia" w:ascii="仿宋" w:hAnsi="仿宋" w:eastAsia="仿宋" w:cs="仿宋"/>
                <w:sz w:val="24"/>
                <w:szCs w:val="24"/>
                <w:highlight w:val="none"/>
              </w:rPr>
              <w:t>25</w:t>
            </w:r>
            <w:r>
              <w:rPr>
                <w:rFonts w:ascii="仿宋" w:hAnsi="仿宋" w:eastAsia="仿宋" w:cs="仿宋"/>
                <w:sz w:val="24"/>
                <w:szCs w:val="24"/>
                <w:highlight w:val="none"/>
              </w:rPr>
              <w:t>分（含）】</w:t>
            </w:r>
            <w:r>
              <w:rPr>
                <w:rFonts w:hint="eastAsia" w:ascii="仿宋" w:hAnsi="仿宋" w:eastAsia="仿宋" w:cs="仿宋"/>
                <w:kern w:val="0"/>
                <w:sz w:val="24"/>
                <w:szCs w:val="24"/>
                <w:highlight w:val="none"/>
                <w:lang w:val="en-US" w:eastAsia="zh-CN"/>
              </w:rPr>
              <w:t>投标人所报产品市场知名度及市场认知度高，质量可靠、安全性能稳定，产品的技术水平领先、技术参数等重要指标优于招标文件要求。</w:t>
            </w:r>
          </w:p>
          <w:p w14:paraId="18F73AD2">
            <w:pPr>
              <w:pStyle w:val="12"/>
              <w:spacing w:line="400" w:lineRule="exact"/>
              <w:ind w:firstLine="0"/>
              <w:rPr>
                <w:rFonts w:ascii="仿宋" w:hAnsi="仿宋" w:eastAsia="仿宋" w:cs="仿宋"/>
                <w:sz w:val="24"/>
                <w:szCs w:val="24"/>
                <w:highlight w:val="none"/>
              </w:rPr>
            </w:pPr>
            <w:r>
              <w:rPr>
                <w:rFonts w:hint="eastAsia" w:ascii="仿宋" w:hAnsi="仿宋" w:eastAsia="仿宋" w:cs="仿宋"/>
                <w:sz w:val="24"/>
                <w:szCs w:val="24"/>
                <w:highlight w:val="none"/>
              </w:rPr>
              <w:t>【8</w:t>
            </w:r>
            <w:r>
              <w:rPr>
                <w:rFonts w:ascii="仿宋" w:hAnsi="仿宋" w:eastAsia="仿宋" w:cs="仿宋"/>
                <w:sz w:val="24"/>
                <w:szCs w:val="24"/>
                <w:highlight w:val="none"/>
              </w:rPr>
              <w:t>-</w:t>
            </w:r>
            <w:r>
              <w:rPr>
                <w:rFonts w:hint="eastAsia" w:ascii="仿宋" w:hAnsi="仿宋" w:eastAsia="仿宋" w:cs="仿宋"/>
                <w:sz w:val="24"/>
                <w:szCs w:val="24"/>
                <w:highlight w:val="none"/>
              </w:rPr>
              <w:t>17</w:t>
            </w:r>
            <w:r>
              <w:rPr>
                <w:rFonts w:ascii="仿宋" w:hAnsi="仿宋" w:eastAsia="仿宋" w:cs="仿宋"/>
                <w:sz w:val="24"/>
                <w:szCs w:val="24"/>
                <w:highlight w:val="none"/>
              </w:rPr>
              <w:t>分（含）】</w:t>
            </w:r>
            <w:r>
              <w:rPr>
                <w:rFonts w:hint="eastAsia" w:ascii="仿宋" w:hAnsi="仿宋" w:eastAsia="仿宋" w:cs="仿宋"/>
                <w:kern w:val="0"/>
                <w:sz w:val="24"/>
                <w:szCs w:val="24"/>
                <w:highlight w:val="none"/>
                <w:lang w:val="en-US" w:eastAsia="zh-CN"/>
              </w:rPr>
              <w:t>投标人所报产品市场知名度及市场认知度较高，质量可靠、安全性能稳定，产品的技术水平、技术参数以及重要指标满足招标文件要求</w:t>
            </w:r>
            <w:r>
              <w:rPr>
                <w:rFonts w:ascii="仿宋" w:hAnsi="仿宋" w:eastAsia="仿宋" w:cs="仿宋"/>
                <w:sz w:val="24"/>
                <w:szCs w:val="24"/>
                <w:highlight w:val="none"/>
              </w:rPr>
              <w:t>。</w:t>
            </w:r>
          </w:p>
          <w:p w14:paraId="61D84424">
            <w:pPr>
              <w:pStyle w:val="12"/>
              <w:spacing w:line="400" w:lineRule="exact"/>
              <w:ind w:firstLine="480" w:firstLineChars="200"/>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w:t>
            </w:r>
            <w:r>
              <w:rPr>
                <w:rFonts w:ascii="仿宋" w:hAnsi="仿宋" w:eastAsia="仿宋" w:cs="仿宋"/>
                <w:sz w:val="24"/>
                <w:szCs w:val="24"/>
                <w:highlight w:val="none"/>
              </w:rPr>
              <w:t>0-</w:t>
            </w:r>
            <w:r>
              <w:rPr>
                <w:rFonts w:hint="eastAsia" w:ascii="仿宋" w:hAnsi="仿宋" w:eastAsia="仿宋" w:cs="仿宋"/>
                <w:sz w:val="24"/>
                <w:szCs w:val="24"/>
                <w:highlight w:val="none"/>
              </w:rPr>
              <w:t>8</w:t>
            </w:r>
            <w:r>
              <w:rPr>
                <w:rFonts w:ascii="仿宋" w:hAnsi="仿宋" w:eastAsia="仿宋" w:cs="仿宋"/>
                <w:sz w:val="24"/>
                <w:szCs w:val="24"/>
                <w:highlight w:val="none"/>
              </w:rPr>
              <w:t>分（含）】</w:t>
            </w:r>
            <w:r>
              <w:rPr>
                <w:rFonts w:hint="eastAsia" w:ascii="仿宋" w:hAnsi="仿宋" w:eastAsia="仿宋" w:cs="仿宋"/>
                <w:kern w:val="0"/>
                <w:sz w:val="24"/>
                <w:szCs w:val="24"/>
                <w:highlight w:val="none"/>
                <w:lang w:val="en-US" w:eastAsia="zh-CN"/>
              </w:rPr>
              <w:t>投标人所报产品的技术水平、技术参数以及重要指标仅能满足招标文件要求</w:t>
            </w:r>
            <w:r>
              <w:rPr>
                <w:rFonts w:ascii="仿宋" w:hAnsi="仿宋" w:eastAsia="仿宋" w:cs="仿宋"/>
                <w:sz w:val="24"/>
                <w:szCs w:val="24"/>
                <w:highlight w:val="none"/>
              </w:rPr>
              <w:t>。</w:t>
            </w:r>
          </w:p>
        </w:tc>
      </w:tr>
      <w:tr w14:paraId="316882B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98D9B33">
            <w:pPr>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sz w:val="24"/>
                <w:szCs w:val="24"/>
                <w:highlight w:val="none"/>
              </w:rPr>
              <w:t>供货方案</w:t>
            </w:r>
          </w:p>
        </w:tc>
        <w:tc>
          <w:tcPr>
            <w:tcW w:w="835" w:type="dxa"/>
            <w:tcBorders>
              <w:top w:val="single" w:color="auto" w:sz="4" w:space="0"/>
              <w:left w:val="single" w:color="auto" w:sz="4" w:space="0"/>
            </w:tcBorders>
            <w:noWrap w:val="0"/>
            <w:vAlign w:val="center"/>
          </w:tcPr>
          <w:p w14:paraId="4013CA0A">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5E3C620D">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评标委员会针对各投标文件中供货方案的实用性、可行性、合理性、科学性，</w:t>
            </w:r>
            <w:r>
              <w:rPr>
                <w:rFonts w:ascii="仿宋" w:hAnsi="仿宋" w:eastAsia="仿宋" w:cs="仿宋"/>
                <w:sz w:val="24"/>
                <w:szCs w:val="24"/>
                <w:highlight w:val="none"/>
              </w:rPr>
              <w:t>进行打分：</w:t>
            </w:r>
          </w:p>
          <w:p w14:paraId="17847A48">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w:t>
            </w:r>
            <w:r>
              <w:rPr>
                <w:rFonts w:ascii="仿宋" w:hAnsi="仿宋" w:eastAsia="仿宋" w:cs="仿宋"/>
                <w:sz w:val="24"/>
                <w:szCs w:val="24"/>
                <w:highlight w:val="none"/>
              </w:rPr>
              <w:t>1</w:t>
            </w:r>
            <w:r>
              <w:rPr>
                <w:rFonts w:hint="eastAsia" w:ascii="仿宋" w:hAnsi="仿宋" w:eastAsia="仿宋" w:cs="仿宋"/>
                <w:sz w:val="24"/>
                <w:szCs w:val="24"/>
                <w:highlight w:val="none"/>
              </w:rPr>
              <w:t>0</w:t>
            </w:r>
            <w:r>
              <w:rPr>
                <w:rFonts w:ascii="仿宋" w:hAnsi="仿宋" w:eastAsia="仿宋" w:cs="仿宋"/>
                <w:sz w:val="24"/>
                <w:szCs w:val="24"/>
                <w:highlight w:val="none"/>
              </w:rPr>
              <w:t>分-</w:t>
            </w:r>
            <w:r>
              <w:rPr>
                <w:rFonts w:hint="eastAsia" w:ascii="仿宋" w:hAnsi="仿宋" w:eastAsia="仿宋" w:cs="仿宋"/>
                <w:sz w:val="24"/>
                <w:szCs w:val="24"/>
                <w:highlight w:val="none"/>
              </w:rPr>
              <w:t>15</w:t>
            </w:r>
            <w:r>
              <w:rPr>
                <w:rFonts w:ascii="仿宋" w:hAnsi="仿宋" w:eastAsia="仿宋" w:cs="仿宋"/>
                <w:sz w:val="24"/>
                <w:szCs w:val="24"/>
                <w:highlight w:val="none"/>
              </w:rPr>
              <w:t>分</w:t>
            </w:r>
            <w:r>
              <w:rPr>
                <w:rFonts w:hint="eastAsia" w:ascii="仿宋" w:hAnsi="仿宋" w:eastAsia="仿宋" w:cs="仿宋"/>
                <w:sz w:val="24"/>
                <w:szCs w:val="24"/>
                <w:highlight w:val="none"/>
              </w:rPr>
              <w:t>（含）</w:t>
            </w:r>
            <w:r>
              <w:rPr>
                <w:rFonts w:ascii="仿宋" w:hAnsi="仿宋" w:eastAsia="仿宋" w:cs="仿宋"/>
                <w:sz w:val="24"/>
                <w:szCs w:val="24"/>
                <w:highlight w:val="none"/>
              </w:rPr>
              <w:t>】投标人的供货方案、运输方案、应急预案全面、供货响应时间、紧急供货响应时间快速，安排内容全面；组织实施方案严谨、科学、可操作性强，能有效保证本项目的实施，具有明显的优势。</w:t>
            </w:r>
          </w:p>
          <w:p w14:paraId="2D73449B">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【5</w:t>
            </w:r>
            <w:r>
              <w:rPr>
                <w:rFonts w:ascii="仿宋" w:hAnsi="仿宋" w:eastAsia="仿宋" w:cs="仿宋"/>
                <w:sz w:val="24"/>
                <w:szCs w:val="24"/>
                <w:highlight w:val="none"/>
              </w:rPr>
              <w:t>分-1</w:t>
            </w:r>
            <w:r>
              <w:rPr>
                <w:rFonts w:hint="eastAsia" w:ascii="仿宋" w:hAnsi="仿宋" w:eastAsia="仿宋" w:cs="仿宋"/>
                <w:sz w:val="24"/>
                <w:szCs w:val="24"/>
                <w:highlight w:val="none"/>
              </w:rPr>
              <w:t>0</w:t>
            </w:r>
            <w:r>
              <w:rPr>
                <w:rFonts w:ascii="仿宋" w:hAnsi="仿宋" w:eastAsia="仿宋" w:cs="仿宋"/>
                <w:sz w:val="24"/>
                <w:szCs w:val="24"/>
                <w:highlight w:val="none"/>
              </w:rPr>
              <w:t>分</w:t>
            </w:r>
            <w:r>
              <w:rPr>
                <w:rFonts w:hint="eastAsia" w:ascii="仿宋" w:hAnsi="仿宋" w:eastAsia="仿宋" w:cs="仿宋"/>
                <w:sz w:val="24"/>
                <w:szCs w:val="24"/>
                <w:highlight w:val="none"/>
              </w:rPr>
              <w:t>（含）</w:t>
            </w:r>
            <w:r>
              <w:rPr>
                <w:rFonts w:ascii="仿宋" w:hAnsi="仿宋" w:eastAsia="仿宋" w:cs="仿宋"/>
                <w:sz w:val="24"/>
                <w:szCs w:val="24"/>
                <w:highlight w:val="none"/>
              </w:rPr>
              <w:t>】投标人供货方案、运输方案、应急预案较全面、供货响应时间、紧急供货响应时间整体较长；能够满足招标文件的需求，不具有突出优势。</w:t>
            </w:r>
          </w:p>
          <w:p w14:paraId="587428B5">
            <w:pPr>
              <w:spacing w:line="40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sz w:val="24"/>
                <w:szCs w:val="24"/>
                <w:highlight w:val="none"/>
              </w:rPr>
              <w:t>【</w:t>
            </w:r>
            <w:r>
              <w:rPr>
                <w:rFonts w:ascii="仿宋" w:hAnsi="仿宋" w:eastAsia="仿宋" w:cs="仿宋"/>
                <w:sz w:val="24"/>
                <w:szCs w:val="24"/>
                <w:highlight w:val="none"/>
              </w:rPr>
              <w:t>0分-</w:t>
            </w:r>
            <w:r>
              <w:rPr>
                <w:rFonts w:hint="eastAsia" w:ascii="仿宋" w:hAnsi="仿宋" w:eastAsia="仿宋" w:cs="仿宋"/>
                <w:sz w:val="24"/>
                <w:szCs w:val="24"/>
                <w:highlight w:val="none"/>
              </w:rPr>
              <w:t>5</w:t>
            </w:r>
            <w:r>
              <w:rPr>
                <w:rFonts w:ascii="仿宋" w:hAnsi="仿宋" w:eastAsia="仿宋" w:cs="仿宋"/>
                <w:sz w:val="24"/>
                <w:szCs w:val="24"/>
                <w:highlight w:val="none"/>
              </w:rPr>
              <w:t>分</w:t>
            </w:r>
            <w:r>
              <w:rPr>
                <w:rFonts w:hint="eastAsia" w:ascii="仿宋" w:hAnsi="仿宋" w:eastAsia="仿宋" w:cs="仿宋"/>
                <w:sz w:val="24"/>
                <w:szCs w:val="24"/>
                <w:highlight w:val="none"/>
              </w:rPr>
              <w:t>（含）</w:t>
            </w:r>
            <w:r>
              <w:rPr>
                <w:rFonts w:ascii="仿宋" w:hAnsi="仿宋" w:eastAsia="仿宋" w:cs="仿宋"/>
                <w:sz w:val="24"/>
                <w:szCs w:val="24"/>
                <w:highlight w:val="none"/>
              </w:rPr>
              <w:t>】投标人的供货方案、运输方案、应急预案整体一般、供货响应时间、紧急供货响应时间安排松散；组织不协调；实用性差。</w:t>
            </w:r>
          </w:p>
        </w:tc>
      </w:tr>
      <w:tr w14:paraId="38D7F1E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21EE5789">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售后服务承诺</w:t>
            </w:r>
          </w:p>
        </w:tc>
        <w:tc>
          <w:tcPr>
            <w:tcW w:w="835" w:type="dxa"/>
            <w:tcBorders>
              <w:top w:val="single" w:color="auto" w:sz="4" w:space="0"/>
              <w:left w:val="single" w:color="auto" w:sz="4" w:space="0"/>
            </w:tcBorders>
            <w:noWrap w:val="0"/>
            <w:vAlign w:val="center"/>
          </w:tcPr>
          <w:p w14:paraId="1BAC258B">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0AE9EA12">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评标委员会根据投标人提供的售后服务承诺等内容进行打分：</w:t>
            </w:r>
          </w:p>
          <w:p w14:paraId="3DC7C48F">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【10</w:t>
            </w:r>
            <w:r>
              <w:rPr>
                <w:rFonts w:ascii="仿宋" w:hAnsi="仿宋" w:eastAsia="仿宋" w:cs="仿宋"/>
                <w:sz w:val="24"/>
                <w:szCs w:val="24"/>
                <w:highlight w:val="none"/>
              </w:rPr>
              <w:t>-1</w:t>
            </w:r>
            <w:r>
              <w:rPr>
                <w:rFonts w:hint="eastAsia" w:ascii="仿宋" w:hAnsi="仿宋" w:eastAsia="仿宋" w:cs="仿宋"/>
                <w:sz w:val="24"/>
                <w:szCs w:val="24"/>
                <w:highlight w:val="none"/>
              </w:rPr>
              <w:t>5</w:t>
            </w:r>
            <w:r>
              <w:rPr>
                <w:rFonts w:ascii="仿宋" w:hAnsi="仿宋" w:eastAsia="仿宋" w:cs="仿宋"/>
                <w:sz w:val="24"/>
                <w:szCs w:val="24"/>
                <w:highlight w:val="none"/>
              </w:rPr>
              <w:t>分（含）】投标人具有良好的售后服务团队，具有详尽的售后服务承诺和计划安排，可提供多种有价值的服务措施。</w:t>
            </w:r>
          </w:p>
          <w:p w14:paraId="08A119DF">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【5</w:t>
            </w:r>
            <w:r>
              <w:rPr>
                <w:rFonts w:ascii="仿宋" w:hAnsi="仿宋" w:eastAsia="仿宋" w:cs="仿宋"/>
                <w:sz w:val="24"/>
                <w:szCs w:val="24"/>
                <w:highlight w:val="none"/>
              </w:rPr>
              <w:t>-</w:t>
            </w:r>
            <w:r>
              <w:rPr>
                <w:rFonts w:hint="eastAsia" w:ascii="仿宋" w:hAnsi="仿宋" w:eastAsia="仿宋" w:cs="仿宋"/>
                <w:sz w:val="24"/>
                <w:szCs w:val="24"/>
                <w:highlight w:val="none"/>
              </w:rPr>
              <w:t>10</w:t>
            </w:r>
            <w:r>
              <w:rPr>
                <w:rFonts w:ascii="仿宋" w:hAnsi="仿宋" w:eastAsia="仿宋" w:cs="仿宋"/>
                <w:sz w:val="24"/>
                <w:szCs w:val="24"/>
                <w:highlight w:val="none"/>
              </w:rPr>
              <w:t>分（含）】投标人的售后服务团队可以基本满足招标人的日常要求，售后服务承诺和计划安排合理有效，无法提供额外的服务措施。</w:t>
            </w:r>
          </w:p>
          <w:p w14:paraId="510CD7C6">
            <w:pPr>
              <w:spacing w:line="40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w:t>
            </w:r>
            <w:r>
              <w:rPr>
                <w:rFonts w:ascii="仿宋" w:hAnsi="仿宋" w:eastAsia="仿宋" w:cs="仿宋"/>
                <w:sz w:val="24"/>
                <w:szCs w:val="24"/>
                <w:highlight w:val="none"/>
              </w:rPr>
              <w:t>0-</w:t>
            </w:r>
            <w:r>
              <w:rPr>
                <w:rFonts w:hint="eastAsia" w:ascii="仿宋" w:hAnsi="仿宋" w:eastAsia="仿宋" w:cs="仿宋"/>
                <w:sz w:val="24"/>
                <w:szCs w:val="24"/>
                <w:highlight w:val="none"/>
              </w:rPr>
              <w:t>5</w:t>
            </w:r>
            <w:r>
              <w:rPr>
                <w:rFonts w:ascii="仿宋" w:hAnsi="仿宋" w:eastAsia="仿宋" w:cs="仿宋"/>
                <w:sz w:val="24"/>
                <w:szCs w:val="24"/>
                <w:highlight w:val="none"/>
              </w:rPr>
              <w:t>分（含）】投标人的售后服务团队无法满足招标的基本需求，不具备有效的售后服务承诺和计划安排。</w:t>
            </w:r>
          </w:p>
        </w:tc>
      </w:tr>
    </w:tbl>
    <w:p w14:paraId="1EFC9D98">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078C0ECD">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769D5E94">
      <w:pPr>
        <w:spacing w:line="440" w:lineRule="exact"/>
        <w:contextualSpacing/>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rPr>
        <w:t>③汇总各评委打分进行算术平均，计算出各投标人的综合得分。</w:t>
      </w:r>
    </w:p>
    <w:p w14:paraId="0C420BC3">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619D806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w:t>
      </w:r>
      <w:r>
        <w:rPr>
          <w:rFonts w:hint="eastAsia" w:ascii="仿宋" w:hAnsi="仿宋" w:eastAsia="仿宋" w:cs="仿宋"/>
          <w:bCs/>
          <w:sz w:val="24"/>
          <w:szCs w:val="24"/>
          <w:highlight w:val="none"/>
          <w:lang w:val="en-US" w:eastAsia="zh-CN"/>
        </w:rPr>
        <w:t>确定本标包排名第一名的为中标候选人</w:t>
      </w:r>
      <w:r>
        <w:rPr>
          <w:rFonts w:hint="eastAsia" w:ascii="仿宋" w:hAnsi="仿宋" w:eastAsia="仿宋" w:cs="仿宋"/>
          <w:bCs/>
          <w:sz w:val="24"/>
          <w:szCs w:val="24"/>
          <w:highlight w:val="none"/>
        </w:rPr>
        <w:t>。</w:t>
      </w:r>
    </w:p>
    <w:p w14:paraId="4D3BFFEE">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2、评标结束后，公示无异议确定</w:t>
      </w:r>
      <w:r>
        <w:rPr>
          <w:rFonts w:hint="eastAsia" w:ascii="仿宋" w:hAnsi="仿宋" w:eastAsia="仿宋" w:cs="仿宋"/>
          <w:bCs/>
          <w:sz w:val="24"/>
          <w:szCs w:val="24"/>
          <w:highlight w:val="none"/>
          <w:lang w:val="en-US" w:eastAsia="zh-CN"/>
        </w:rPr>
        <w:t>本标包排名第一</w:t>
      </w:r>
      <w:r>
        <w:rPr>
          <w:rFonts w:hint="eastAsia" w:ascii="仿宋" w:hAnsi="仿宋" w:eastAsia="仿宋" w:cs="仿宋"/>
          <w:bCs/>
          <w:sz w:val="24"/>
          <w:szCs w:val="24"/>
          <w:highlight w:val="none"/>
        </w:rPr>
        <w:t>的</w:t>
      </w:r>
      <w:r>
        <w:rPr>
          <w:rFonts w:hint="eastAsia" w:ascii="仿宋" w:hAnsi="仿宋" w:eastAsia="仿宋" w:cs="仿宋"/>
          <w:bCs/>
          <w:sz w:val="24"/>
          <w:szCs w:val="24"/>
          <w:highlight w:val="none"/>
          <w:lang w:val="en-US" w:eastAsia="zh-CN"/>
        </w:rPr>
        <w:t>中标候选人</w:t>
      </w:r>
      <w:r>
        <w:rPr>
          <w:rFonts w:hint="eastAsia" w:ascii="仿宋" w:hAnsi="仿宋" w:eastAsia="仿宋" w:cs="仿宋"/>
          <w:bCs/>
          <w:sz w:val="24"/>
          <w:szCs w:val="24"/>
          <w:highlight w:val="none"/>
        </w:rPr>
        <w:t>为中标人</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lang w:val="en-US" w:eastAsia="zh-CN"/>
        </w:rPr>
        <w:t>注：因本项目第一轮招标文件约定本项目为兼投不兼中，标包一的中标单位可以参与本次标包二的投标，但若该供应商在本次评审中被评审委员会推荐为第一中标候选人，则该供应商不得被确定为标包二中标人，评标委员会应按评审得分排序依次推荐下一名合格投标人为标包二的第一中标候选人</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。如发现中标候选人存在与招标文件、投标文件不符或弄虚作假等其它违法行为，经招标单位同意：取消中标候选人资格，由排名次之的</w:t>
      </w:r>
      <w:r>
        <w:rPr>
          <w:rFonts w:hint="eastAsia" w:ascii="仿宋" w:hAnsi="仿宋" w:eastAsia="仿宋" w:cs="仿宋"/>
          <w:bCs/>
          <w:sz w:val="24"/>
          <w:szCs w:val="24"/>
          <w:highlight w:val="none"/>
          <w:lang w:val="en-US" w:eastAsia="zh-CN"/>
        </w:rPr>
        <w:t>中标候选人</w:t>
      </w:r>
      <w:r>
        <w:rPr>
          <w:rFonts w:hint="eastAsia" w:ascii="仿宋" w:hAnsi="仿宋" w:eastAsia="仿宋" w:cs="仿宋"/>
          <w:bCs/>
          <w:sz w:val="24"/>
          <w:szCs w:val="24"/>
          <w:highlight w:val="none"/>
        </w:rPr>
        <w:t>中标，依次类推或重新招标。</w:t>
      </w:r>
    </w:p>
    <w:p w14:paraId="029BA9B0">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2E3CC805">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31F6DA49">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779E3858">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03141AA9">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4DB02AF1">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00FA6202">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w:t>
      </w:r>
      <w:r>
        <w:rPr>
          <w:rFonts w:hint="eastAsia" w:ascii="仿宋" w:hAnsi="仿宋" w:eastAsia="仿宋" w:cs="仿宋"/>
          <w:bCs/>
          <w:sz w:val="24"/>
          <w:szCs w:val="24"/>
          <w:highlight w:val="none"/>
          <w:lang w:val="en-US" w:eastAsia="zh-CN"/>
        </w:rPr>
        <w:t>中标候选人</w:t>
      </w:r>
      <w:r>
        <w:rPr>
          <w:rFonts w:hint="eastAsia" w:ascii="仿宋" w:hAnsi="仿宋" w:eastAsia="仿宋" w:cs="仿宋"/>
          <w:bCs/>
          <w:sz w:val="24"/>
          <w:szCs w:val="24"/>
          <w:highlight w:val="none"/>
        </w:rPr>
        <w:t>签订合同或重新组织招标。</w:t>
      </w:r>
    </w:p>
    <w:p w14:paraId="6C94A5E0">
      <w:pPr>
        <w:jc w:val="center"/>
        <w:outlineLvl w:val="0"/>
        <w:rPr>
          <w:rStyle w:val="125"/>
          <w:highlight w:val="none"/>
        </w:rPr>
      </w:pPr>
      <w:r>
        <w:rPr>
          <w:rFonts w:hint="eastAsia" w:ascii="仿宋" w:hAnsi="仿宋" w:eastAsia="仿宋" w:cs="仿宋"/>
          <w:bCs/>
          <w:sz w:val="24"/>
          <w:szCs w:val="24"/>
          <w:highlight w:val="none"/>
        </w:rPr>
        <w:br w:type="page"/>
      </w:r>
      <w:bookmarkStart w:id="20" w:name="_Toc5498"/>
      <w:r>
        <w:rPr>
          <w:rStyle w:val="125"/>
          <w:rFonts w:hint="eastAsia"/>
          <w:highlight w:val="none"/>
        </w:rPr>
        <w:t>第五部分    投标文件（格式）</w:t>
      </w:r>
      <w:bookmarkEnd w:id="20"/>
    </w:p>
    <w:p w14:paraId="5AADA950">
      <w:pPr>
        <w:jc w:val="center"/>
        <w:rPr>
          <w:rFonts w:hint="eastAsia" w:ascii="仿宋" w:hAnsi="仿宋" w:eastAsia="仿宋" w:cs="仿宋"/>
          <w:bCs/>
          <w:sz w:val="30"/>
          <w:szCs w:val="30"/>
          <w:highlight w:val="none"/>
        </w:rPr>
      </w:pPr>
    </w:p>
    <w:p w14:paraId="5C7C4441">
      <w:pPr>
        <w:jc w:val="center"/>
        <w:rPr>
          <w:rFonts w:hint="eastAsia" w:ascii="仿宋" w:hAnsi="仿宋" w:eastAsia="仿宋" w:cs="仿宋"/>
          <w:bCs/>
          <w:sz w:val="30"/>
          <w:szCs w:val="30"/>
          <w:highlight w:val="none"/>
        </w:rPr>
      </w:pPr>
    </w:p>
    <w:p w14:paraId="17D2D081">
      <w:pPr>
        <w:jc w:val="center"/>
        <w:rPr>
          <w:rFonts w:hint="eastAsia" w:ascii="仿宋" w:hAnsi="仿宋" w:eastAsia="仿宋" w:cs="仿宋"/>
          <w:bCs/>
          <w:sz w:val="30"/>
          <w:szCs w:val="30"/>
          <w:highlight w:val="none"/>
        </w:rPr>
      </w:pPr>
    </w:p>
    <w:p w14:paraId="7DBDDD9A">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06729C16">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730FE098">
      <w:pPr>
        <w:ind w:firstLine="900" w:firstLineChars="300"/>
        <w:jc w:val="left"/>
        <w:rPr>
          <w:rFonts w:ascii="仿宋" w:hAnsi="仿宋" w:eastAsia="仿宋" w:cs="仿宋"/>
          <w:bCs/>
          <w:sz w:val="30"/>
          <w:szCs w:val="30"/>
          <w:highlight w:val="none"/>
        </w:rPr>
      </w:pPr>
    </w:p>
    <w:p w14:paraId="14EAAEA2">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2F5E75EA">
      <w:pPr>
        <w:ind w:firstLine="900" w:firstLineChars="300"/>
        <w:jc w:val="left"/>
        <w:rPr>
          <w:rFonts w:ascii="仿宋" w:hAnsi="仿宋" w:eastAsia="仿宋" w:cs="仿宋"/>
          <w:bCs/>
          <w:sz w:val="30"/>
          <w:szCs w:val="30"/>
          <w:highlight w:val="none"/>
        </w:rPr>
      </w:pPr>
    </w:p>
    <w:p w14:paraId="705391B9">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1F64DCBD">
      <w:pPr>
        <w:ind w:firstLine="900" w:firstLineChars="300"/>
        <w:jc w:val="left"/>
        <w:rPr>
          <w:rFonts w:hint="eastAsia" w:ascii="仿宋" w:hAnsi="仿宋" w:eastAsia="仿宋" w:cs="仿宋"/>
          <w:bCs/>
          <w:sz w:val="30"/>
          <w:szCs w:val="30"/>
          <w:highlight w:val="none"/>
        </w:rPr>
      </w:pPr>
    </w:p>
    <w:p w14:paraId="37AD66D7">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标包</w:t>
      </w:r>
      <w:r>
        <w:rPr>
          <w:rFonts w:hint="eastAsia" w:ascii="仿宋" w:hAnsi="仿宋" w:eastAsia="仿宋" w:cs="仿宋"/>
          <w:bCs/>
          <w:sz w:val="30"/>
          <w:szCs w:val="30"/>
          <w:highlight w:val="none"/>
        </w:rPr>
        <w:t>号：</w:t>
      </w:r>
    </w:p>
    <w:p w14:paraId="0D09A93E">
      <w:pPr>
        <w:ind w:firstLine="900" w:firstLineChars="300"/>
        <w:jc w:val="left"/>
        <w:rPr>
          <w:rFonts w:hint="eastAsia" w:ascii="仿宋" w:hAnsi="仿宋" w:eastAsia="仿宋" w:cs="仿宋"/>
          <w:bCs/>
          <w:sz w:val="30"/>
          <w:szCs w:val="30"/>
          <w:highlight w:val="none"/>
        </w:rPr>
      </w:pPr>
    </w:p>
    <w:p w14:paraId="421CB5B7">
      <w:pPr>
        <w:ind w:firstLine="900" w:firstLineChars="300"/>
        <w:jc w:val="left"/>
        <w:rPr>
          <w:rFonts w:hint="eastAsia" w:ascii="仿宋" w:hAnsi="仿宋" w:eastAsia="仿宋" w:cs="仿宋"/>
          <w:bCs/>
          <w:sz w:val="30"/>
          <w:szCs w:val="30"/>
          <w:highlight w:val="none"/>
        </w:rPr>
      </w:pPr>
    </w:p>
    <w:p w14:paraId="1E20978F">
      <w:pPr>
        <w:pStyle w:val="58"/>
        <w:rPr>
          <w:rFonts w:hint="eastAsia"/>
          <w:highlight w:val="none"/>
        </w:rPr>
      </w:pPr>
    </w:p>
    <w:p w14:paraId="1DA7A6A5">
      <w:pPr>
        <w:ind w:firstLine="900" w:firstLineChars="300"/>
        <w:jc w:val="left"/>
        <w:rPr>
          <w:rFonts w:hint="eastAsia" w:ascii="仿宋" w:hAnsi="仿宋" w:eastAsia="仿宋" w:cs="仿宋"/>
          <w:bCs/>
          <w:sz w:val="30"/>
          <w:szCs w:val="30"/>
          <w:highlight w:val="none"/>
        </w:rPr>
      </w:pPr>
    </w:p>
    <w:p w14:paraId="27F13C8B">
      <w:pPr>
        <w:pStyle w:val="23"/>
        <w:rPr>
          <w:rFonts w:ascii="仿宋" w:hAnsi="仿宋" w:eastAsia="仿宋" w:cs="仿宋"/>
          <w:kern w:val="0"/>
          <w:sz w:val="30"/>
          <w:szCs w:val="30"/>
          <w:highlight w:val="none"/>
        </w:rPr>
      </w:pPr>
    </w:p>
    <w:p w14:paraId="192B8C87">
      <w:pPr>
        <w:pStyle w:val="36"/>
        <w:rPr>
          <w:rFonts w:ascii="仿宋" w:hAnsi="仿宋" w:eastAsia="仿宋" w:cs="仿宋"/>
          <w:sz w:val="30"/>
          <w:szCs w:val="30"/>
          <w:highlight w:val="none"/>
        </w:rPr>
      </w:pPr>
    </w:p>
    <w:p w14:paraId="60531803">
      <w:pPr>
        <w:pStyle w:val="36"/>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5E3585C8">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5C17937B">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5281380A">
      <w:pP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br w:type="page"/>
      </w:r>
    </w:p>
    <w:p w14:paraId="1D4B5F0F">
      <w:pPr>
        <w:pStyle w:val="58"/>
        <w:rPr>
          <w:rFonts w:hint="eastAsia"/>
          <w:highlight w:val="none"/>
        </w:rPr>
      </w:pPr>
    </w:p>
    <w:p w14:paraId="78FCA1F3">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43926C00">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3CD677B9">
      <w:pPr>
        <w:jc w:val="center"/>
        <w:rPr>
          <w:rFonts w:ascii="仿宋" w:hAnsi="仿宋" w:eastAsia="仿宋" w:cs="仿宋"/>
          <w:b/>
          <w:bCs/>
          <w:sz w:val="24"/>
          <w:szCs w:val="24"/>
          <w:highlight w:val="none"/>
        </w:rPr>
      </w:pPr>
    </w:p>
    <w:p w14:paraId="4D1B63CD">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428AF885">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10D5E4EE">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w:t>
      </w:r>
      <w:r>
        <w:rPr>
          <w:rFonts w:hint="eastAsia" w:ascii="仿宋" w:hAnsi="仿宋" w:eastAsia="仿宋" w:cs="仿宋"/>
          <w:kern w:val="0"/>
          <w:sz w:val="24"/>
          <w:szCs w:val="24"/>
          <w:highlight w:val="none"/>
          <w:lang w:val="en-US" w:eastAsia="zh-CN"/>
        </w:rPr>
        <w:t>标包</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投标。</w:t>
      </w:r>
    </w:p>
    <w:p w14:paraId="07C79EE2">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7864C713">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27690138">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7FAB7748">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239D5AAB">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5A460A76">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02413931">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3714169A">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3F2491C0">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0A87E068">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569CD5D4">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3D70246C">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320915D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0E08FD0E">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1ACFD07B">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1D81797F">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04C0D656">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64A7EABE">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法定代表人或被授权人（签字或盖章）：</w:t>
      </w:r>
    </w:p>
    <w:p w14:paraId="56ED4426">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76CC940D">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65063616">
      <w:pPr>
        <w:pStyle w:val="23"/>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WHSW2026-024</w:t>
      </w:r>
    </w:p>
    <w:p w14:paraId="25181B53">
      <w:pPr>
        <w:pStyle w:val="23"/>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威海市水务集团有限公司选定聚氯化铝年度供应商</w:t>
      </w:r>
    </w:p>
    <w:tbl>
      <w:tblPr>
        <w:tblStyle w:val="41"/>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6391"/>
      </w:tblGrid>
      <w:tr w14:paraId="41A2E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6EDD5E19">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标包号</w:t>
            </w:r>
          </w:p>
        </w:tc>
        <w:tc>
          <w:tcPr>
            <w:tcW w:w="6391" w:type="dxa"/>
            <w:noWrap w:val="0"/>
            <w:vAlign w:val="center"/>
          </w:tcPr>
          <w:p w14:paraId="2DBFBC6E">
            <w:pPr>
              <w:tabs>
                <w:tab w:val="left" w:pos="4860"/>
              </w:tabs>
              <w:spacing w:line="44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标包</w:t>
            </w:r>
            <w:r>
              <w:rPr>
                <w:rFonts w:hint="eastAsia" w:ascii="仿宋" w:hAnsi="仿宋" w:eastAsia="仿宋" w:cs="仿宋"/>
                <w:sz w:val="24"/>
                <w:highlight w:val="none"/>
                <w:u w:val="single"/>
                <w:lang w:val="en-US" w:eastAsia="zh-CN"/>
              </w:rPr>
              <w:t xml:space="preserve">    </w:t>
            </w:r>
          </w:p>
        </w:tc>
      </w:tr>
      <w:tr w14:paraId="0F0D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112A6120">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含税</w:t>
            </w:r>
            <w:r>
              <w:rPr>
                <w:rFonts w:hint="eastAsia" w:ascii="仿宋" w:hAnsi="仿宋" w:eastAsia="仿宋" w:cs="仿宋"/>
                <w:sz w:val="24"/>
                <w:highlight w:val="none"/>
                <w:lang w:eastAsia="zh-CN"/>
              </w:rPr>
              <w:t>）</w:t>
            </w:r>
          </w:p>
        </w:tc>
        <w:tc>
          <w:tcPr>
            <w:tcW w:w="6391" w:type="dxa"/>
            <w:noWrap w:val="0"/>
            <w:vAlign w:val="center"/>
          </w:tcPr>
          <w:p w14:paraId="0D5406B8">
            <w:pPr>
              <w:tabs>
                <w:tab w:val="left" w:pos="4860"/>
              </w:tabs>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eastAsia="zh-Hans"/>
              </w:rPr>
              <w:t xml:space="preserve">             </w:t>
            </w:r>
            <w:r>
              <w:rPr>
                <w:rFonts w:ascii="仿宋" w:hAnsi="仿宋" w:eastAsia="仿宋" w:cs="仿宋"/>
                <w:sz w:val="24"/>
                <w:highlight w:val="none"/>
                <w:u w:val="single"/>
                <w:lang w:eastAsia="zh-Hans"/>
              </w:rPr>
              <w:t xml:space="preserve">  </w:t>
            </w:r>
            <w:r>
              <w:rPr>
                <w:rFonts w:hint="eastAsia" w:ascii="仿宋" w:hAnsi="仿宋" w:eastAsia="仿宋" w:cs="仿宋"/>
                <w:sz w:val="24"/>
                <w:highlight w:val="none"/>
                <w:lang w:eastAsia="zh-Hans"/>
              </w:rPr>
              <w:t>元</w:t>
            </w:r>
            <w:r>
              <w:rPr>
                <w:rFonts w:hint="eastAsia" w:ascii="仿宋" w:hAnsi="仿宋" w:eastAsia="仿宋" w:cs="仿宋"/>
                <w:sz w:val="24"/>
                <w:highlight w:val="none"/>
                <w:lang w:val="en-US" w:eastAsia="zh-CN"/>
              </w:rPr>
              <w:t>/吨</w:t>
            </w:r>
          </w:p>
        </w:tc>
      </w:tr>
      <w:tr w14:paraId="0362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77E5F2E6">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税率</w:t>
            </w:r>
          </w:p>
        </w:tc>
        <w:tc>
          <w:tcPr>
            <w:tcW w:w="6391" w:type="dxa"/>
            <w:noWrap w:val="0"/>
            <w:vAlign w:val="center"/>
          </w:tcPr>
          <w:p w14:paraId="2E1EA1AE">
            <w:pPr>
              <w:spacing w:line="240" w:lineRule="auto"/>
              <w:jc w:val="left"/>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tc>
      </w:tr>
      <w:tr w14:paraId="1655B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673B2B21">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noWrap w:val="0"/>
            <w:vAlign w:val="center"/>
          </w:tcPr>
          <w:p w14:paraId="44BD420B">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u w:val="none"/>
              </w:rPr>
              <w:t>合同期限为1年。</w:t>
            </w:r>
            <w:r>
              <w:rPr>
                <w:rFonts w:hint="eastAsia" w:ascii="仿宋" w:hAnsi="仿宋" w:eastAsia="仿宋" w:cs="仿宋"/>
                <w:sz w:val="24"/>
                <w:highlight w:val="none"/>
                <w:u w:val="none"/>
                <w:lang w:val="en-US" w:eastAsia="zh-CN"/>
              </w:rPr>
              <w:t>合同期满后，招标人对中标人履行情况进行考核，合格则可续签合同，续签不超过2次。</w:t>
            </w:r>
          </w:p>
        </w:tc>
      </w:tr>
      <w:tr w14:paraId="4FCF7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397A161C">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供货期</w:t>
            </w:r>
          </w:p>
        </w:tc>
        <w:tc>
          <w:tcPr>
            <w:tcW w:w="6391" w:type="dxa"/>
            <w:noWrap w:val="0"/>
            <w:vAlign w:val="center"/>
          </w:tcPr>
          <w:p w14:paraId="50F802A0">
            <w:pPr>
              <w:tabs>
                <w:tab w:val="left" w:pos="4860"/>
              </w:tabs>
              <w:spacing w:line="440" w:lineRule="exact"/>
              <w:rPr>
                <w:rFonts w:hint="eastAsia" w:ascii="仿宋" w:hAnsi="仿宋" w:eastAsia="仿宋" w:cs="仿宋"/>
                <w:sz w:val="24"/>
                <w:highlight w:val="none"/>
                <w:lang w:val="en-US" w:eastAsia="zh-CN"/>
              </w:rPr>
            </w:pPr>
            <w:r>
              <w:rPr>
                <w:rFonts w:hint="eastAsia" w:ascii="仿宋" w:hAnsi="仿宋" w:eastAsia="仿宋" w:cs="仿宋"/>
                <w:b w:val="0"/>
                <w:bCs w:val="0"/>
                <w:sz w:val="24"/>
                <w:szCs w:val="24"/>
                <w:highlight w:val="none"/>
                <w:lang w:val="en-US" w:eastAsia="zh-CN"/>
              </w:rPr>
              <w:t>自招标人通知之日起</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日内，按照通知的要求将产品运抵指定地点，招标人不再另行支付其他任何费用。</w:t>
            </w:r>
          </w:p>
        </w:tc>
      </w:tr>
      <w:tr w14:paraId="09CFF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19B57D99">
            <w:pPr>
              <w:tabs>
                <w:tab w:val="left" w:pos="4860"/>
              </w:tabs>
              <w:spacing w:line="440" w:lineRule="exact"/>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质保期</w:t>
            </w:r>
          </w:p>
        </w:tc>
        <w:tc>
          <w:tcPr>
            <w:tcW w:w="6391" w:type="dxa"/>
            <w:noWrap w:val="0"/>
            <w:vAlign w:val="center"/>
          </w:tcPr>
          <w:p w14:paraId="7D2983FA">
            <w:pPr>
              <w:tabs>
                <w:tab w:val="left" w:pos="4860"/>
              </w:tabs>
              <w:spacing w:line="440" w:lineRule="exact"/>
              <w:rPr>
                <w:rFonts w:hint="eastAsia" w:ascii="仿宋" w:hAnsi="仿宋" w:eastAsia="仿宋" w:cs="仿宋"/>
                <w:b w:val="0"/>
                <w:bCs w:val="0"/>
                <w:sz w:val="24"/>
                <w:szCs w:val="24"/>
                <w:highlight w:val="none"/>
                <w:lang w:val="en-US" w:eastAsia="zh-CN"/>
              </w:rPr>
            </w:pPr>
            <w:r>
              <w:rPr>
                <w:rFonts w:hint="eastAsia" w:ascii="仿宋" w:hAnsi="仿宋" w:eastAsia="仿宋" w:cs="仿宋"/>
                <w:spacing w:val="8"/>
                <w:kern w:val="2"/>
                <w:sz w:val="24"/>
                <w:szCs w:val="24"/>
                <w:highlight w:val="none"/>
                <w:lang w:val="en-US" w:eastAsia="zh-CN" w:bidi="ar-SA"/>
              </w:rPr>
              <w:t>自验收合格之日起</w:t>
            </w:r>
            <w:r>
              <w:rPr>
                <w:rFonts w:hint="eastAsia" w:ascii="仿宋" w:hAnsi="仿宋" w:eastAsia="仿宋" w:cs="仿宋"/>
                <w:sz w:val="24"/>
                <w:highlight w:val="none"/>
                <w:u w:val="single"/>
                <w:lang w:eastAsia="zh-Hans"/>
              </w:rPr>
              <w:t xml:space="preserve">      </w:t>
            </w:r>
            <w:r>
              <w:rPr>
                <w:rFonts w:hint="eastAsia" w:ascii="仿宋" w:hAnsi="仿宋" w:eastAsia="仿宋" w:cs="仿宋"/>
                <w:sz w:val="24"/>
                <w:highlight w:val="none"/>
                <w:u w:val="none"/>
                <w:lang w:val="en-US" w:eastAsia="zh-CN"/>
              </w:rPr>
              <w:t>个月</w:t>
            </w:r>
          </w:p>
        </w:tc>
      </w:tr>
      <w:tr w14:paraId="19D8C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52ED3CC5">
            <w:pPr>
              <w:tabs>
                <w:tab w:val="left" w:pos="4860"/>
              </w:tabs>
              <w:spacing w:line="440" w:lineRule="exact"/>
              <w:jc w:val="center"/>
              <w:rPr>
                <w:rFonts w:hint="eastAsia" w:ascii="仿宋" w:hAnsi="仿宋" w:eastAsia="仿宋" w:cs="仿宋"/>
                <w:sz w:val="24"/>
                <w:highlight w:val="none"/>
                <w:lang w:eastAsia="zh-Hans"/>
              </w:rPr>
            </w:pPr>
            <w:r>
              <w:rPr>
                <w:rFonts w:hint="eastAsia" w:ascii="仿宋" w:hAnsi="仿宋" w:eastAsia="仿宋" w:cs="仿宋"/>
                <w:sz w:val="24"/>
                <w:highlight w:val="none"/>
                <w:lang w:eastAsia="zh-Hans"/>
              </w:rPr>
              <w:t>质量标准</w:t>
            </w:r>
          </w:p>
        </w:tc>
        <w:tc>
          <w:tcPr>
            <w:tcW w:w="6391" w:type="dxa"/>
            <w:noWrap w:val="0"/>
            <w:vAlign w:val="center"/>
          </w:tcPr>
          <w:p w14:paraId="7DDA0E26">
            <w:pPr>
              <w:tabs>
                <w:tab w:val="left" w:pos="4860"/>
              </w:tabs>
              <w:spacing w:line="44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达到国家验收规范合格标准</w:t>
            </w:r>
          </w:p>
        </w:tc>
      </w:tr>
      <w:tr w14:paraId="6205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381F44B4">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noWrap w:val="0"/>
            <w:vAlign w:val="center"/>
          </w:tcPr>
          <w:p w14:paraId="573E50B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5B34FCC3">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6D5F7B22">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注：1.报价声明用于填写除报价、服务期、供货期、质保期、质量标准、税率外的其它主要内容，由投标人自行确定，做到言简意赅无歧义。</w:t>
      </w:r>
    </w:p>
    <w:p w14:paraId="7F33A091">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2.该表中的总报价须与报价明细表中的合计相符。</w:t>
      </w:r>
    </w:p>
    <w:p w14:paraId="1C5CE675">
      <w:pPr>
        <w:pStyle w:val="58"/>
        <w:rPr>
          <w:rFonts w:hint="eastAsia"/>
          <w:highlight w:val="none"/>
        </w:rPr>
      </w:pPr>
    </w:p>
    <w:p w14:paraId="3F4057E5">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E94FE84">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2448AF6">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7FCE33F7">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6C7686ED">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标包二报价明细表</w:t>
      </w:r>
    </w:p>
    <w:tbl>
      <w:tblPr>
        <w:tblStyle w:val="41"/>
        <w:tblW w:w="14116" w:type="dxa"/>
        <w:tblInd w:w="-153" w:type="dxa"/>
        <w:tblLayout w:type="fixed"/>
        <w:tblCellMar>
          <w:top w:w="0" w:type="dxa"/>
          <w:left w:w="108" w:type="dxa"/>
          <w:bottom w:w="0" w:type="dxa"/>
          <w:right w:w="108" w:type="dxa"/>
        </w:tblCellMar>
      </w:tblPr>
      <w:tblGrid>
        <w:gridCol w:w="544"/>
        <w:gridCol w:w="1348"/>
        <w:gridCol w:w="1614"/>
        <w:gridCol w:w="1252"/>
        <w:gridCol w:w="2204"/>
        <w:gridCol w:w="1316"/>
        <w:gridCol w:w="1585"/>
        <w:gridCol w:w="1617"/>
        <w:gridCol w:w="1037"/>
        <w:gridCol w:w="1599"/>
      </w:tblGrid>
      <w:tr w14:paraId="46BEFEF9">
        <w:tblPrEx>
          <w:tblCellMar>
            <w:top w:w="0" w:type="dxa"/>
            <w:left w:w="108" w:type="dxa"/>
            <w:bottom w:w="0" w:type="dxa"/>
            <w:right w:w="108" w:type="dxa"/>
          </w:tblCellMar>
        </w:tblPrEx>
        <w:trPr>
          <w:trHeight w:val="1623" w:hRule="exact"/>
        </w:trPr>
        <w:tc>
          <w:tcPr>
            <w:tcW w:w="544" w:type="dxa"/>
            <w:tcBorders>
              <w:top w:val="single" w:color="000000" w:sz="4" w:space="0"/>
              <w:left w:val="single" w:color="000000" w:sz="4" w:space="0"/>
              <w:bottom w:val="single" w:color="000000" w:sz="4" w:space="0"/>
              <w:right w:val="single" w:color="000000" w:sz="4" w:space="0"/>
            </w:tcBorders>
            <w:noWrap/>
            <w:vAlign w:val="center"/>
          </w:tcPr>
          <w:p w14:paraId="524F5CC9">
            <w:pPr>
              <w:widowControl/>
              <w:jc w:val="center"/>
              <w:textAlignment w:val="center"/>
              <w:rPr>
                <w:rFonts w:hint="eastAsia" w:ascii="仿宋_GB2312" w:hAnsi="仿宋_GB2312" w:eastAsia="仿宋_GB2312" w:cs="仿宋_GB2312"/>
                <w:color w:val="000000"/>
                <w:sz w:val="24"/>
                <w:szCs w:val="24"/>
                <w:highlight w:val="none"/>
              </w:rPr>
            </w:pPr>
            <w:bookmarkStart w:id="21" w:name="_Toc103329621"/>
            <w:r>
              <w:rPr>
                <w:rFonts w:hint="eastAsia" w:ascii="仿宋_GB2312" w:hAnsi="仿宋_GB2312" w:eastAsia="仿宋_GB2312" w:cs="仿宋_GB2312"/>
                <w:color w:val="000000"/>
                <w:kern w:val="0"/>
                <w:sz w:val="24"/>
                <w:szCs w:val="24"/>
                <w:highlight w:val="none"/>
                <w:lang w:bidi="ar"/>
              </w:rPr>
              <w:t>序号</w:t>
            </w:r>
          </w:p>
        </w:tc>
        <w:tc>
          <w:tcPr>
            <w:tcW w:w="1348" w:type="dxa"/>
            <w:tcBorders>
              <w:top w:val="single" w:color="000000" w:sz="4" w:space="0"/>
              <w:left w:val="single" w:color="000000" w:sz="4" w:space="0"/>
              <w:bottom w:val="single" w:color="auto" w:sz="4" w:space="0"/>
              <w:right w:val="single" w:color="000000" w:sz="4" w:space="0"/>
            </w:tcBorders>
            <w:noWrap/>
            <w:vAlign w:val="center"/>
          </w:tcPr>
          <w:p w14:paraId="7D959584">
            <w:pPr>
              <w:widowControl/>
              <w:jc w:val="center"/>
              <w:textAlignment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lang w:val="en-US" w:eastAsia="zh-CN" w:bidi="ar"/>
              </w:rPr>
              <w:t>产品</w:t>
            </w:r>
            <w:r>
              <w:rPr>
                <w:rFonts w:hint="eastAsia" w:ascii="仿宋_GB2312" w:hAnsi="仿宋_GB2312" w:eastAsia="仿宋_GB2312" w:cs="仿宋_GB2312"/>
                <w:color w:val="000000"/>
                <w:kern w:val="0"/>
                <w:sz w:val="24"/>
                <w:szCs w:val="24"/>
                <w:highlight w:val="none"/>
                <w:lang w:bidi="ar"/>
              </w:rPr>
              <w:t>名称</w:t>
            </w:r>
          </w:p>
        </w:tc>
        <w:tc>
          <w:tcPr>
            <w:tcW w:w="1614" w:type="dxa"/>
            <w:tcBorders>
              <w:top w:val="single" w:color="000000" w:sz="4" w:space="0"/>
              <w:left w:val="single" w:color="000000" w:sz="4" w:space="0"/>
              <w:bottom w:val="single" w:color="000000" w:sz="4" w:space="0"/>
              <w:right w:val="single" w:color="000000" w:sz="4" w:space="0"/>
            </w:tcBorders>
            <w:noWrap/>
            <w:vAlign w:val="center"/>
          </w:tcPr>
          <w:p w14:paraId="32198F71">
            <w:pPr>
              <w:widowControl/>
              <w:jc w:val="center"/>
              <w:textAlignment w:val="center"/>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kern w:val="0"/>
                <w:sz w:val="24"/>
                <w:szCs w:val="24"/>
                <w:highlight w:val="none"/>
                <w:lang w:val="en-US" w:eastAsia="zh-CN" w:bidi="ar"/>
              </w:rPr>
              <w:t>规格型号</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32F3A733">
            <w:pPr>
              <w:widowControl/>
              <w:jc w:val="center"/>
              <w:textAlignment w:val="center"/>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年计划</w:t>
            </w:r>
          </w:p>
          <w:p w14:paraId="1BBB3545">
            <w:pPr>
              <w:widowControl/>
              <w:jc w:val="center"/>
              <w:textAlignment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采购量（吨）</w:t>
            </w:r>
          </w:p>
        </w:tc>
        <w:tc>
          <w:tcPr>
            <w:tcW w:w="2204" w:type="dxa"/>
            <w:tcBorders>
              <w:top w:val="single" w:color="000000" w:sz="4" w:space="0"/>
              <w:left w:val="single" w:color="000000" w:sz="4" w:space="0"/>
              <w:bottom w:val="single" w:color="000000" w:sz="4" w:space="0"/>
              <w:right w:val="nil"/>
            </w:tcBorders>
            <w:shd w:val="clear" w:color="auto" w:fill="auto"/>
            <w:noWrap w:val="0"/>
            <w:vAlign w:val="center"/>
          </w:tcPr>
          <w:p w14:paraId="3EE88881">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含税控制单价</w:t>
            </w:r>
          </w:p>
          <w:p w14:paraId="02105CC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rPr>
              <w:t>（元/吨）</w:t>
            </w:r>
          </w:p>
        </w:tc>
        <w:tc>
          <w:tcPr>
            <w:tcW w:w="1316" w:type="dxa"/>
            <w:tcBorders>
              <w:top w:val="single" w:color="000000" w:sz="4" w:space="0"/>
              <w:left w:val="single" w:color="000000" w:sz="4" w:space="0"/>
              <w:bottom w:val="single" w:color="000000" w:sz="4" w:space="0"/>
              <w:right w:val="nil"/>
            </w:tcBorders>
            <w:shd w:val="clear" w:color="auto" w:fill="auto"/>
            <w:noWrap w:val="0"/>
            <w:vAlign w:val="center"/>
          </w:tcPr>
          <w:p w14:paraId="2DF7213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含税单价</w:t>
            </w:r>
          </w:p>
          <w:p w14:paraId="081AB69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rPr>
              <w:t>（元</w:t>
            </w:r>
            <w:r>
              <w:rPr>
                <w:rFonts w:hint="eastAsia" w:ascii="仿宋" w:hAnsi="仿宋" w:eastAsia="仿宋" w:cs="仿宋"/>
                <w:b w:val="0"/>
                <w:bCs w:val="0"/>
                <w:i w:val="0"/>
                <w:iCs w:val="0"/>
                <w:color w:val="000000"/>
                <w:sz w:val="24"/>
                <w:szCs w:val="24"/>
                <w:highlight w:val="none"/>
                <w:u w:val="none"/>
                <w:lang w:val="en-US" w:eastAsia="zh-CN"/>
              </w:rPr>
              <w:t>/吨</w:t>
            </w:r>
            <w:r>
              <w:rPr>
                <w:rFonts w:hint="eastAsia" w:ascii="仿宋" w:hAnsi="仿宋" w:eastAsia="仿宋" w:cs="仿宋"/>
                <w:b w:val="0"/>
                <w:bCs w:val="0"/>
                <w:i w:val="0"/>
                <w:iCs w:val="0"/>
                <w:color w:val="000000"/>
                <w:sz w:val="24"/>
                <w:szCs w:val="24"/>
                <w:highlight w:val="none"/>
                <w:u w:val="none"/>
              </w:rPr>
              <w:t>）</w:t>
            </w:r>
          </w:p>
        </w:tc>
        <w:tc>
          <w:tcPr>
            <w:tcW w:w="1585" w:type="dxa"/>
            <w:tcBorders>
              <w:top w:val="single" w:color="000000" w:sz="4" w:space="0"/>
              <w:left w:val="single" w:color="000000" w:sz="4" w:space="0"/>
              <w:bottom w:val="single" w:color="000000" w:sz="4" w:space="0"/>
              <w:right w:val="nil"/>
            </w:tcBorders>
            <w:shd w:val="clear" w:color="auto" w:fill="auto"/>
            <w:noWrap w:val="0"/>
            <w:vAlign w:val="center"/>
          </w:tcPr>
          <w:p w14:paraId="67BBAC0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lang w:val="en-US" w:eastAsia="zh-CN"/>
              </w:rPr>
              <w:t>含税控制合价（元）</w:t>
            </w:r>
          </w:p>
        </w:tc>
        <w:tc>
          <w:tcPr>
            <w:tcW w:w="1617" w:type="dxa"/>
            <w:tcBorders>
              <w:top w:val="single" w:color="000000" w:sz="4" w:space="0"/>
              <w:left w:val="single" w:color="000000" w:sz="4" w:space="0"/>
              <w:bottom w:val="single" w:color="000000" w:sz="4" w:space="0"/>
              <w:right w:val="nil"/>
            </w:tcBorders>
            <w:shd w:val="clear" w:color="auto" w:fill="auto"/>
            <w:noWrap w:val="0"/>
            <w:vAlign w:val="center"/>
          </w:tcPr>
          <w:p w14:paraId="48A5C6D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4"/>
                <w:szCs w:val="24"/>
                <w:highlight w:val="none"/>
                <w:u w:val="none"/>
                <w:lang w:val="en-US" w:eastAsia="zh-CN"/>
              </w:rPr>
            </w:pPr>
            <w:r>
              <w:rPr>
                <w:rFonts w:hint="eastAsia" w:ascii="仿宋" w:hAnsi="仿宋" w:eastAsia="仿宋" w:cs="仿宋"/>
                <w:b w:val="0"/>
                <w:bCs w:val="0"/>
                <w:i w:val="0"/>
                <w:iCs w:val="0"/>
                <w:color w:val="000000"/>
                <w:sz w:val="24"/>
                <w:szCs w:val="24"/>
                <w:highlight w:val="none"/>
                <w:u w:val="none"/>
                <w:lang w:val="en-US" w:eastAsia="zh-CN"/>
              </w:rPr>
              <w:t>含税合价</w:t>
            </w:r>
          </w:p>
          <w:p w14:paraId="37FFEA1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2"/>
                <w:sz w:val="24"/>
                <w:szCs w:val="24"/>
                <w:highlight w:val="none"/>
                <w:u w:val="none"/>
                <w:lang w:val="en-US" w:eastAsia="zh-CN" w:bidi="ar-SA"/>
              </w:rPr>
            </w:pPr>
            <w:r>
              <w:rPr>
                <w:rFonts w:hint="eastAsia" w:ascii="仿宋" w:hAnsi="仿宋" w:eastAsia="仿宋" w:cs="仿宋"/>
                <w:b w:val="0"/>
                <w:bCs w:val="0"/>
                <w:i w:val="0"/>
                <w:iCs w:val="0"/>
                <w:color w:val="000000"/>
                <w:sz w:val="24"/>
                <w:szCs w:val="24"/>
                <w:highlight w:val="none"/>
                <w:u w:val="none"/>
              </w:rPr>
              <w:t>（元）</w:t>
            </w:r>
          </w:p>
        </w:tc>
        <w:tc>
          <w:tcPr>
            <w:tcW w:w="1037" w:type="dxa"/>
            <w:tcBorders>
              <w:top w:val="single" w:color="000000" w:sz="4" w:space="0"/>
              <w:left w:val="single" w:color="000000" w:sz="4" w:space="0"/>
              <w:bottom w:val="single" w:color="000000" w:sz="4" w:space="0"/>
              <w:right w:val="single" w:color="000000" w:sz="4" w:space="0"/>
            </w:tcBorders>
            <w:noWrap w:val="0"/>
            <w:vAlign w:val="center"/>
          </w:tcPr>
          <w:p w14:paraId="5114F8DF">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品牌</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1694A790">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生产厂家</w:t>
            </w:r>
          </w:p>
        </w:tc>
      </w:tr>
      <w:tr w14:paraId="71DFA8FF">
        <w:tblPrEx>
          <w:tblCellMar>
            <w:top w:w="0" w:type="dxa"/>
            <w:left w:w="108" w:type="dxa"/>
            <w:bottom w:w="0" w:type="dxa"/>
            <w:right w:w="108" w:type="dxa"/>
          </w:tblCellMar>
        </w:tblPrEx>
        <w:trPr>
          <w:trHeight w:val="1405" w:hRule="exact"/>
        </w:trPr>
        <w:tc>
          <w:tcPr>
            <w:tcW w:w="544" w:type="dxa"/>
            <w:tcBorders>
              <w:top w:val="single" w:color="000000" w:sz="4" w:space="0"/>
              <w:left w:val="single" w:color="000000" w:sz="4" w:space="0"/>
              <w:bottom w:val="single" w:color="000000" w:sz="4" w:space="0"/>
              <w:right w:val="single" w:color="auto" w:sz="4" w:space="0"/>
            </w:tcBorders>
            <w:noWrap/>
            <w:vAlign w:val="center"/>
          </w:tcPr>
          <w:p w14:paraId="2EC8993A">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1</w:t>
            </w:r>
          </w:p>
        </w:tc>
        <w:tc>
          <w:tcPr>
            <w:tcW w:w="1348" w:type="dxa"/>
            <w:tcBorders>
              <w:top w:val="single" w:color="auto" w:sz="4" w:space="0"/>
              <w:left w:val="single" w:color="auto" w:sz="4" w:space="0"/>
              <w:bottom w:val="single" w:color="auto" w:sz="4" w:space="0"/>
              <w:right w:val="single" w:color="auto" w:sz="4" w:space="0"/>
            </w:tcBorders>
            <w:noWrap w:val="0"/>
            <w:vAlign w:val="center"/>
          </w:tcPr>
          <w:p w14:paraId="6BFD8DA9">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固态聚氯化铝</w:t>
            </w:r>
          </w:p>
        </w:tc>
        <w:tc>
          <w:tcPr>
            <w:tcW w:w="1614" w:type="dxa"/>
            <w:tcBorders>
              <w:top w:val="single" w:color="000000" w:sz="4" w:space="0"/>
              <w:left w:val="single" w:color="000000" w:sz="4" w:space="0"/>
              <w:bottom w:val="single" w:color="000000" w:sz="4" w:space="0"/>
              <w:right w:val="single" w:color="000000" w:sz="4" w:space="0"/>
            </w:tcBorders>
            <w:noWrap/>
            <w:vAlign w:val="center"/>
          </w:tcPr>
          <w:p w14:paraId="73591F38">
            <w:pPr>
              <w:widowControl/>
              <w:jc w:val="center"/>
              <w:textAlignment w:val="center"/>
              <w:rPr>
                <w:rFonts w:hint="eastAsia"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白色至淡黄色固体颗粒</w:t>
            </w:r>
          </w:p>
        </w:tc>
        <w:tc>
          <w:tcPr>
            <w:tcW w:w="1252" w:type="dxa"/>
            <w:tcBorders>
              <w:top w:val="single" w:color="000000" w:sz="4" w:space="0"/>
              <w:left w:val="single" w:color="000000" w:sz="4" w:space="0"/>
              <w:bottom w:val="single" w:color="000000" w:sz="4" w:space="0"/>
              <w:right w:val="single" w:color="000000" w:sz="4" w:space="0"/>
            </w:tcBorders>
            <w:noWrap/>
            <w:vAlign w:val="center"/>
          </w:tcPr>
          <w:p w14:paraId="1885ED4E">
            <w:pPr>
              <w:widowControl/>
              <w:jc w:val="center"/>
              <w:textAlignment w:val="center"/>
              <w:rPr>
                <w:rFonts w:hint="default" w:ascii="仿宋_GB2312" w:hAnsi="仿宋_GB2312" w:eastAsia="仿宋_GB2312" w:cs="仿宋_GB2312"/>
                <w:color w:val="000000"/>
                <w:kern w:val="0"/>
                <w:sz w:val="24"/>
                <w:szCs w:val="24"/>
                <w:highlight w:val="none"/>
                <w:lang w:val="en-US" w:eastAsia="zh-CN" w:bidi="ar"/>
              </w:rPr>
            </w:pPr>
            <w:r>
              <w:rPr>
                <w:rFonts w:hint="eastAsia" w:ascii="仿宋_GB2312" w:hAnsi="仿宋_GB2312" w:eastAsia="仿宋_GB2312" w:cs="仿宋_GB2312"/>
                <w:color w:val="000000"/>
                <w:kern w:val="0"/>
                <w:sz w:val="24"/>
                <w:szCs w:val="24"/>
                <w:highlight w:val="none"/>
                <w:lang w:val="en-US" w:eastAsia="zh-CN" w:bidi="ar"/>
              </w:rPr>
              <w:t>120</w:t>
            </w:r>
          </w:p>
        </w:tc>
        <w:tc>
          <w:tcPr>
            <w:tcW w:w="2204" w:type="dxa"/>
            <w:tcBorders>
              <w:top w:val="single" w:color="000000" w:sz="4" w:space="0"/>
              <w:left w:val="single" w:color="000000" w:sz="4" w:space="0"/>
              <w:bottom w:val="single" w:color="000000" w:sz="4" w:space="0"/>
              <w:right w:val="single" w:color="000000" w:sz="4" w:space="0"/>
            </w:tcBorders>
            <w:noWrap/>
            <w:vAlign w:val="center"/>
          </w:tcPr>
          <w:p w14:paraId="0218F3E1">
            <w:pPr>
              <w:jc w:val="center"/>
              <w:rPr>
                <w:rFonts w:hint="default"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2232</w:t>
            </w:r>
          </w:p>
        </w:tc>
        <w:tc>
          <w:tcPr>
            <w:tcW w:w="1316" w:type="dxa"/>
            <w:tcBorders>
              <w:top w:val="single" w:color="000000" w:sz="4" w:space="0"/>
              <w:left w:val="single" w:color="000000" w:sz="4" w:space="0"/>
              <w:bottom w:val="single" w:color="000000" w:sz="4" w:space="0"/>
              <w:right w:val="single" w:color="000000" w:sz="4" w:space="0"/>
            </w:tcBorders>
            <w:noWrap/>
            <w:vAlign w:val="center"/>
          </w:tcPr>
          <w:p w14:paraId="39D1EEAD">
            <w:pPr>
              <w:jc w:val="center"/>
              <w:rPr>
                <w:rFonts w:hint="eastAsia" w:ascii="仿宋_GB2312" w:hAnsi="仿宋_GB2312" w:eastAsia="仿宋_GB2312" w:cs="仿宋_GB2312"/>
                <w:color w:val="000000"/>
                <w:sz w:val="24"/>
                <w:szCs w:val="24"/>
                <w:highlight w:val="none"/>
              </w:rPr>
            </w:pPr>
          </w:p>
        </w:tc>
        <w:tc>
          <w:tcPr>
            <w:tcW w:w="1585" w:type="dxa"/>
            <w:tcBorders>
              <w:top w:val="single" w:color="000000" w:sz="4" w:space="0"/>
              <w:left w:val="single" w:color="000000" w:sz="4" w:space="0"/>
              <w:bottom w:val="single" w:color="000000" w:sz="4" w:space="0"/>
              <w:right w:val="single" w:color="000000" w:sz="4" w:space="0"/>
            </w:tcBorders>
            <w:noWrap/>
            <w:vAlign w:val="center"/>
          </w:tcPr>
          <w:p w14:paraId="31DA0B19">
            <w:pPr>
              <w:jc w:val="center"/>
              <w:rPr>
                <w:rFonts w:hint="default"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t>267840</w:t>
            </w:r>
            <w:r>
              <w:rPr>
                <w:rFonts w:hint="eastAsia" w:ascii="仿宋_GB2312" w:hAnsi="仿宋_GB2312" w:eastAsia="仿宋_GB2312" w:cs="仿宋_GB2312"/>
                <w:color w:val="000000"/>
                <w:sz w:val="24"/>
                <w:szCs w:val="24"/>
                <w:highlight w:val="none"/>
                <w:lang w:val="en-US" w:eastAsia="zh-CN"/>
              </w:rPr>
              <w:t>.00</w:t>
            </w:r>
          </w:p>
        </w:tc>
        <w:tc>
          <w:tcPr>
            <w:tcW w:w="1617" w:type="dxa"/>
            <w:tcBorders>
              <w:top w:val="single" w:color="000000" w:sz="4" w:space="0"/>
              <w:left w:val="single" w:color="000000" w:sz="4" w:space="0"/>
              <w:bottom w:val="single" w:color="000000" w:sz="4" w:space="0"/>
              <w:right w:val="nil"/>
            </w:tcBorders>
            <w:noWrap/>
            <w:vAlign w:val="center"/>
          </w:tcPr>
          <w:p w14:paraId="0B765456">
            <w:pPr>
              <w:jc w:val="center"/>
              <w:rPr>
                <w:rFonts w:hint="eastAsia" w:ascii="仿宋_GB2312" w:hAnsi="仿宋_GB2312" w:eastAsia="仿宋_GB2312" w:cs="仿宋_GB2312"/>
                <w:color w:val="000000"/>
                <w:sz w:val="24"/>
                <w:szCs w:val="24"/>
                <w:highlight w:val="none"/>
              </w:rPr>
            </w:pPr>
          </w:p>
        </w:tc>
        <w:tc>
          <w:tcPr>
            <w:tcW w:w="1037" w:type="dxa"/>
            <w:tcBorders>
              <w:top w:val="single" w:color="000000" w:sz="4" w:space="0"/>
              <w:left w:val="single" w:color="000000" w:sz="4" w:space="0"/>
              <w:bottom w:val="single" w:color="000000" w:sz="4" w:space="0"/>
              <w:right w:val="single" w:color="000000" w:sz="4" w:space="0"/>
            </w:tcBorders>
            <w:noWrap/>
            <w:vAlign w:val="center"/>
          </w:tcPr>
          <w:p w14:paraId="1EB0B8CA">
            <w:pPr>
              <w:jc w:val="center"/>
              <w:rPr>
                <w:rFonts w:hint="eastAsia" w:ascii="仿宋_GB2312" w:hAnsi="仿宋_GB2312" w:eastAsia="仿宋_GB2312" w:cs="仿宋_GB2312"/>
                <w:color w:val="000000"/>
                <w:sz w:val="24"/>
                <w:szCs w:val="24"/>
                <w:highlight w:val="none"/>
              </w:rPr>
            </w:pPr>
          </w:p>
        </w:tc>
        <w:tc>
          <w:tcPr>
            <w:tcW w:w="1599" w:type="dxa"/>
            <w:tcBorders>
              <w:top w:val="single" w:color="000000" w:sz="4" w:space="0"/>
              <w:left w:val="single" w:color="000000" w:sz="4" w:space="0"/>
              <w:bottom w:val="single" w:color="000000" w:sz="4" w:space="0"/>
              <w:right w:val="single" w:color="000000" w:sz="4" w:space="0"/>
            </w:tcBorders>
            <w:noWrap/>
            <w:vAlign w:val="center"/>
          </w:tcPr>
          <w:p w14:paraId="4FC89B97">
            <w:pPr>
              <w:jc w:val="center"/>
              <w:rPr>
                <w:rFonts w:hint="eastAsia" w:ascii="仿宋_GB2312" w:hAnsi="仿宋_GB2312" w:eastAsia="仿宋_GB2312" w:cs="仿宋_GB2312"/>
                <w:color w:val="000000"/>
                <w:sz w:val="24"/>
                <w:szCs w:val="24"/>
                <w:highlight w:val="none"/>
              </w:rPr>
            </w:pPr>
          </w:p>
        </w:tc>
      </w:tr>
    </w:tbl>
    <w:p w14:paraId="5A52C7FB">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14:paraId="4C3E5E48">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2.年计划采购量只作为投标参考使用，实际采购数量可适时调整，并据实结算，实际采购量多于或少于年用量均不视为违约。</w:t>
      </w:r>
    </w:p>
    <w:p w14:paraId="02D85691">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3.投标单位在中标后，由招标人根据实际需求而调整采购数量，不排除在服务期限内招标人对中标人零采购情况的风险，中标人对此谅解且不追究责任。</w:t>
      </w:r>
    </w:p>
    <w:p w14:paraId="22262BC1">
      <w:pPr>
        <w:pStyle w:val="58"/>
        <w:rPr>
          <w:rFonts w:hint="eastAsia"/>
          <w:highlight w:val="none"/>
          <w:lang w:val="en-US" w:eastAsia="zh-CN"/>
        </w:rPr>
      </w:pPr>
    </w:p>
    <w:p w14:paraId="6534338A">
      <w:pPr>
        <w:rPr>
          <w:rFonts w:hint="eastAsia"/>
          <w:highlight w:val="none"/>
          <w:lang w:val="en-US" w:eastAsia="zh-CN"/>
        </w:rPr>
      </w:pPr>
    </w:p>
    <w:p w14:paraId="28A13D3E">
      <w:pPr>
        <w:pStyle w:val="58"/>
        <w:rPr>
          <w:rFonts w:hint="eastAsia"/>
          <w:highlight w:val="none"/>
          <w:lang w:val="en-US" w:eastAsia="zh-CN"/>
        </w:rPr>
      </w:pPr>
    </w:p>
    <w:p w14:paraId="5ADE13C6">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888C9C9">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5F2C513">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28132305">
      <w:pPr>
        <w:rPr>
          <w:rFonts w:hint="eastAsia" w:ascii="仿宋" w:hAnsi="仿宋" w:eastAsia="仿宋" w:cs="仿宋"/>
          <w:b/>
          <w:bCs/>
          <w:sz w:val="36"/>
          <w:szCs w:val="36"/>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720" w:num="1"/>
          <w:docGrid w:type="lines" w:linePitch="312" w:charSpace="0"/>
        </w:sectPr>
      </w:pPr>
    </w:p>
    <w:bookmarkEnd w:id="21"/>
    <w:p w14:paraId="3512A6AE">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t>投标人信用承诺书</w:t>
      </w:r>
    </w:p>
    <w:p w14:paraId="6D1E98B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为营造公平竞争、规范有序的市场环境，树立诚信守法经营形象。本单位郑重承诺：</w:t>
      </w:r>
    </w:p>
    <w:p w14:paraId="59F858A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一、我方在此声明，本次采购活动中申报的所有资料都是真实、准确完整的，如发现提供虚假资料，或与事实不符而导致投标（报价）无效，甚至造成任何法律和经济责任，完全由我方负责。</w:t>
      </w:r>
    </w:p>
    <w:p w14:paraId="1C27CE0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二、我方在本次采购活动中绝无资质挂靠、串标、围标情形，若经贵方查出，立即取消我方中标（成交）资格并承担相应的法律责任。</w:t>
      </w:r>
    </w:p>
    <w:p w14:paraId="4E8788F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三、我方在以往的采购活动中，无重大违法、违规的不良记录；或虽有不良记录，但已超过处理期限。</w:t>
      </w:r>
    </w:p>
    <w:p w14:paraId="3673284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四、我方一旦中标（成交），将按规定及时与贵方签订合同，严格按照投标（报价）文件中所承诺的报价、质量、服务期等内容组织实施。</w:t>
      </w:r>
    </w:p>
    <w:p w14:paraId="358E261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五、自觉接受社会各界的监督，依法接受有关行政机关的事中事后监管和执法检查，并如实提供有关情况和材料。</w:t>
      </w:r>
    </w:p>
    <w:p w14:paraId="217B557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六、严格遵守国家法律、法规、规章和相关政策的规定，积极参与社会信用体系建设，倡导树立以信笃行，以诚兴业的传统美德，争当信用市民，争创信用企业。</w:t>
      </w:r>
    </w:p>
    <w:p w14:paraId="36065EF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七、我方承诺我单位、法定代表人、授权委托人近三年内无行贿犯罪记录。如有不实，愿意承担一切后果。</w:t>
      </w:r>
    </w:p>
    <w:p w14:paraId="2488384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八</w:t>
      </w:r>
      <w:r>
        <w:rPr>
          <w:rFonts w:hint="eastAsia" w:ascii="仿宋" w:hAnsi="仿宋" w:eastAsia="仿宋" w:cs="仿宋"/>
          <w:color w:val="000000"/>
          <w:kern w:val="0"/>
          <w:sz w:val="24"/>
          <w:szCs w:val="24"/>
          <w:highlight w:val="none"/>
          <w:lang w:val="zh-CN"/>
        </w:rPr>
        <w:t>、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168903E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九</w:t>
      </w:r>
      <w:r>
        <w:rPr>
          <w:rFonts w:hint="eastAsia" w:ascii="仿宋" w:hAnsi="仿宋" w:eastAsia="仿宋" w:cs="仿宋"/>
          <w:color w:val="000000"/>
          <w:kern w:val="0"/>
          <w:sz w:val="24"/>
          <w:szCs w:val="24"/>
          <w:highlight w:val="none"/>
          <w:lang w:val="zh-CN"/>
        </w:rPr>
        <w:t>、我方及其工作人员、代理人在合作及履约全过程中，绝不以任何形式向贵方工作人员提供现金、卡（券）、贵重礼品等财物；绝不提供或安排超出正常业务范围的宴请、旅游、娱乐、健身、高档消费等活动。</w:t>
      </w:r>
    </w:p>
    <w:p w14:paraId="0F791F6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十</w:t>
      </w:r>
      <w:r>
        <w:rPr>
          <w:rFonts w:hint="eastAsia" w:ascii="仿宋" w:hAnsi="仿宋" w:eastAsia="仿宋" w:cs="仿宋"/>
          <w:color w:val="000000"/>
          <w:kern w:val="0"/>
          <w:sz w:val="24"/>
          <w:szCs w:val="24"/>
          <w:highlight w:val="none"/>
          <w:lang w:val="zh-CN"/>
        </w:rPr>
        <w:t>、我方及其工作人员、代理人绝不借贵方工作人员婚丧嫁娶、乔迁、升学等名义进行利益输送；绝不承担或支付应由贵方工作人员个人承担的任何费用，包括但不限于住房装修、医疗、旅游、购物及子女教育等费用。</w:t>
      </w:r>
    </w:p>
    <w:p w14:paraId="1E00576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一</w:t>
      </w:r>
      <w:r>
        <w:rPr>
          <w:rFonts w:hint="eastAsia" w:ascii="仿宋" w:hAnsi="仿宋" w:eastAsia="仿宋" w:cs="仿宋"/>
          <w:color w:val="000000"/>
          <w:kern w:val="0"/>
          <w:sz w:val="24"/>
          <w:szCs w:val="24"/>
          <w:highlight w:val="none"/>
          <w:lang w:val="zh-CN"/>
        </w:rPr>
        <w:t>、我方及其工作人员、代理人绝不以任何形式向贵方工作人员承诺，在其离职、退休后提供任何形式的经济利益或其他不当好处。</w:t>
      </w:r>
    </w:p>
    <w:p w14:paraId="436DE43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lang w:val="zh-CN"/>
        </w:rPr>
        <w:t>、 我方及其工作人员、代理人承诺不接受贵方工作人员介绍、指定或限定的工程分包单位、物资供应商、物资设备等。</w:t>
      </w:r>
    </w:p>
    <w:p w14:paraId="58D559B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十三、我方知晓并充分理解贵方的《供应商管理办法》《供应商黑名单管理办法》。</w:t>
      </w:r>
    </w:p>
    <w:p w14:paraId="3E23128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四</w:t>
      </w:r>
      <w:r>
        <w:rPr>
          <w:rFonts w:hint="eastAsia" w:ascii="仿宋" w:hAnsi="仿宋" w:eastAsia="仿宋" w:cs="仿宋"/>
          <w:color w:val="000000"/>
          <w:kern w:val="0"/>
          <w:sz w:val="24"/>
          <w:szCs w:val="24"/>
          <w:highlight w:val="none"/>
          <w:lang w:val="zh-CN"/>
        </w:rPr>
        <w:t>、本《信用承诺书》同意向社会公开。</w:t>
      </w:r>
    </w:p>
    <w:p w14:paraId="4973498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特别声明：上述《信用承诺书》系我单位真实意思表示，我单位已仔细阅读，充分理解并认识到须承担的法律责任和义务，自愿承担相应的法律风险。</w:t>
      </w:r>
    </w:p>
    <w:p w14:paraId="62D27CB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1F26532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4A1FD6B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6AE3EDF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470A84D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446FCEF6">
      <w:pPr>
        <w:pStyle w:val="36"/>
        <w:jc w:val="center"/>
        <w:rPr>
          <w:rFonts w:hint="eastAsia" w:ascii="仿宋" w:hAnsi="仿宋" w:eastAsia="仿宋" w:cs="仿宋"/>
          <w:b/>
          <w:bCs/>
          <w:kern w:val="2"/>
          <w:sz w:val="36"/>
          <w:szCs w:val="36"/>
          <w:highlight w:val="none"/>
        </w:rPr>
      </w:pPr>
    </w:p>
    <w:p w14:paraId="5F6831D0">
      <w:pPr>
        <w:pStyle w:val="36"/>
        <w:jc w:val="both"/>
        <w:rPr>
          <w:rFonts w:hint="eastAsia" w:ascii="仿宋" w:hAnsi="仿宋" w:eastAsia="仿宋" w:cs="仿宋"/>
          <w:b/>
          <w:bCs/>
          <w:kern w:val="2"/>
          <w:sz w:val="36"/>
          <w:szCs w:val="36"/>
          <w:highlight w:val="none"/>
        </w:rPr>
      </w:pPr>
    </w:p>
    <w:p w14:paraId="62E8F93A">
      <w:pPr>
        <w:pStyle w:val="36"/>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6DECDEC8">
      <w:pPr>
        <w:pStyle w:val="23"/>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p w14:paraId="71D2586C">
      <w:pPr>
        <w:pStyle w:val="23"/>
        <w:jc w:val="center"/>
        <w:rPr>
          <w:rFonts w:hint="eastAsia" w:ascii="仿宋" w:hAnsi="仿宋" w:eastAsia="仿宋" w:cs="仿宋"/>
          <w:b/>
          <w:bCs w:val="0"/>
          <w:kern w:val="2"/>
          <w:sz w:val="22"/>
          <w:szCs w:val="22"/>
          <w:highlight w:val="none"/>
        </w:rPr>
      </w:pPr>
      <w:r>
        <w:rPr>
          <w:rFonts w:hint="eastAsia" w:ascii="仿宋" w:hAnsi="仿宋" w:eastAsia="仿宋" w:cs="仿宋"/>
          <w:b/>
          <w:bCs w:val="0"/>
          <w:kern w:val="2"/>
          <w:sz w:val="22"/>
          <w:szCs w:val="22"/>
          <w:highlight w:val="none"/>
        </w:rPr>
        <w:t>（若投标人为生产商，此表无需填写）</w:t>
      </w:r>
    </w:p>
    <w:tbl>
      <w:tblPr>
        <w:tblStyle w:val="4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168F3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735910AE">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0E2C2B49">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6A5A96B7">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56BC51FE">
            <w:pPr>
              <w:spacing w:line="440" w:lineRule="exact"/>
              <w:jc w:val="center"/>
              <w:rPr>
                <w:rFonts w:hint="eastAsia" w:ascii="仿宋" w:hAnsi="仿宋" w:eastAsia="仿宋" w:cs="仿宋"/>
                <w:sz w:val="24"/>
                <w:szCs w:val="24"/>
                <w:highlight w:val="none"/>
              </w:rPr>
            </w:pPr>
          </w:p>
        </w:tc>
      </w:tr>
      <w:tr w14:paraId="2249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7A29124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11EC0CC4">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4086AA8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158F52C3">
            <w:pPr>
              <w:spacing w:line="440" w:lineRule="exact"/>
              <w:jc w:val="center"/>
              <w:rPr>
                <w:rFonts w:hint="eastAsia" w:ascii="仿宋" w:hAnsi="仿宋" w:eastAsia="仿宋" w:cs="仿宋"/>
                <w:sz w:val="24"/>
                <w:szCs w:val="24"/>
                <w:highlight w:val="none"/>
              </w:rPr>
            </w:pPr>
          </w:p>
        </w:tc>
      </w:tr>
      <w:tr w14:paraId="408C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5366AAE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4DF21E06">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193A8D4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1B38749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54C7BB2D">
            <w:pPr>
              <w:spacing w:line="440" w:lineRule="exact"/>
              <w:jc w:val="center"/>
              <w:rPr>
                <w:rFonts w:hint="eastAsia" w:ascii="仿宋" w:hAnsi="仿宋" w:eastAsia="仿宋" w:cs="仿宋"/>
                <w:sz w:val="24"/>
                <w:szCs w:val="24"/>
                <w:highlight w:val="none"/>
              </w:rPr>
            </w:pPr>
          </w:p>
        </w:tc>
      </w:tr>
      <w:tr w14:paraId="542E5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385B86D6">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5CEDC53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6EDBB2B3">
            <w:pPr>
              <w:spacing w:line="440" w:lineRule="exact"/>
              <w:jc w:val="center"/>
              <w:rPr>
                <w:rFonts w:hint="eastAsia" w:ascii="仿宋" w:hAnsi="仿宋" w:eastAsia="仿宋" w:cs="仿宋"/>
                <w:sz w:val="24"/>
                <w:szCs w:val="24"/>
                <w:highlight w:val="none"/>
              </w:rPr>
            </w:pPr>
          </w:p>
        </w:tc>
      </w:tr>
      <w:tr w14:paraId="27A1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3E8D9D4E">
            <w:pPr>
              <w:spacing w:line="440" w:lineRule="exact"/>
              <w:jc w:val="center"/>
              <w:rPr>
                <w:rFonts w:hint="eastAsia" w:ascii="仿宋" w:hAnsi="仿宋" w:eastAsia="仿宋" w:cs="仿宋"/>
                <w:sz w:val="24"/>
                <w:szCs w:val="24"/>
                <w:highlight w:val="none"/>
              </w:rPr>
            </w:pPr>
          </w:p>
        </w:tc>
        <w:tc>
          <w:tcPr>
            <w:tcW w:w="1915" w:type="dxa"/>
            <w:noWrap w:val="0"/>
            <w:vAlign w:val="center"/>
          </w:tcPr>
          <w:p w14:paraId="77FFA81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1F00FEDC">
            <w:pPr>
              <w:spacing w:line="440" w:lineRule="exact"/>
              <w:jc w:val="center"/>
              <w:rPr>
                <w:rFonts w:hint="eastAsia" w:ascii="仿宋" w:hAnsi="仿宋" w:eastAsia="仿宋" w:cs="仿宋"/>
                <w:sz w:val="24"/>
                <w:szCs w:val="24"/>
                <w:highlight w:val="none"/>
              </w:rPr>
            </w:pPr>
          </w:p>
        </w:tc>
      </w:tr>
      <w:tr w14:paraId="79271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053AA7CB">
            <w:pPr>
              <w:spacing w:line="440" w:lineRule="exact"/>
              <w:jc w:val="center"/>
              <w:rPr>
                <w:rFonts w:hint="eastAsia" w:ascii="仿宋" w:hAnsi="仿宋" w:eastAsia="仿宋" w:cs="仿宋"/>
                <w:sz w:val="24"/>
                <w:szCs w:val="24"/>
                <w:highlight w:val="none"/>
              </w:rPr>
            </w:pPr>
          </w:p>
        </w:tc>
        <w:tc>
          <w:tcPr>
            <w:tcW w:w="1915" w:type="dxa"/>
            <w:noWrap w:val="0"/>
            <w:vAlign w:val="center"/>
          </w:tcPr>
          <w:p w14:paraId="79F08107">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2260" w:type="dxa"/>
            <w:noWrap w:val="0"/>
            <w:vAlign w:val="center"/>
          </w:tcPr>
          <w:p w14:paraId="2629906E">
            <w:pPr>
              <w:spacing w:line="440" w:lineRule="exact"/>
              <w:jc w:val="center"/>
              <w:rPr>
                <w:rFonts w:hint="eastAsia" w:ascii="仿宋" w:hAnsi="仿宋" w:eastAsia="仿宋" w:cs="仿宋"/>
                <w:sz w:val="24"/>
                <w:szCs w:val="24"/>
                <w:highlight w:val="none"/>
              </w:rPr>
            </w:pPr>
          </w:p>
        </w:tc>
        <w:tc>
          <w:tcPr>
            <w:tcW w:w="2140" w:type="dxa"/>
            <w:noWrap w:val="0"/>
            <w:vAlign w:val="center"/>
          </w:tcPr>
          <w:p w14:paraId="0BA6C43A">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2BA6BA7B">
            <w:pPr>
              <w:spacing w:line="440" w:lineRule="exact"/>
              <w:jc w:val="center"/>
              <w:rPr>
                <w:rFonts w:hint="eastAsia" w:ascii="仿宋" w:hAnsi="仿宋" w:eastAsia="仿宋" w:cs="仿宋"/>
                <w:sz w:val="24"/>
                <w:szCs w:val="24"/>
                <w:highlight w:val="none"/>
              </w:rPr>
            </w:pPr>
          </w:p>
        </w:tc>
      </w:tr>
      <w:tr w14:paraId="1D11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33E97324">
            <w:pPr>
              <w:spacing w:line="440" w:lineRule="exact"/>
              <w:jc w:val="center"/>
              <w:rPr>
                <w:rFonts w:hint="eastAsia" w:ascii="仿宋" w:hAnsi="仿宋" w:eastAsia="仿宋" w:cs="仿宋"/>
                <w:sz w:val="24"/>
                <w:szCs w:val="24"/>
                <w:highlight w:val="none"/>
              </w:rPr>
            </w:pPr>
          </w:p>
        </w:tc>
        <w:tc>
          <w:tcPr>
            <w:tcW w:w="1915" w:type="dxa"/>
            <w:noWrap w:val="0"/>
            <w:vAlign w:val="center"/>
          </w:tcPr>
          <w:p w14:paraId="313D234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597AE7DD">
            <w:pPr>
              <w:spacing w:line="440" w:lineRule="exact"/>
              <w:jc w:val="center"/>
              <w:rPr>
                <w:rFonts w:hint="eastAsia" w:ascii="仿宋" w:hAnsi="仿宋" w:eastAsia="仿宋" w:cs="仿宋"/>
                <w:sz w:val="24"/>
                <w:szCs w:val="24"/>
                <w:highlight w:val="none"/>
              </w:rPr>
            </w:pPr>
          </w:p>
        </w:tc>
        <w:tc>
          <w:tcPr>
            <w:tcW w:w="2140" w:type="dxa"/>
            <w:noWrap w:val="0"/>
            <w:vAlign w:val="center"/>
          </w:tcPr>
          <w:p w14:paraId="6FBBA45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407DF6B7">
            <w:pPr>
              <w:spacing w:line="440" w:lineRule="exact"/>
              <w:jc w:val="center"/>
              <w:rPr>
                <w:rFonts w:hint="eastAsia" w:ascii="仿宋" w:hAnsi="仿宋" w:eastAsia="仿宋" w:cs="仿宋"/>
                <w:sz w:val="24"/>
                <w:szCs w:val="24"/>
                <w:highlight w:val="none"/>
              </w:rPr>
            </w:pPr>
          </w:p>
        </w:tc>
      </w:tr>
      <w:tr w14:paraId="7CC6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78C905E9">
            <w:pPr>
              <w:spacing w:line="440" w:lineRule="exact"/>
              <w:jc w:val="center"/>
              <w:rPr>
                <w:rFonts w:hint="eastAsia" w:ascii="仿宋" w:hAnsi="仿宋" w:eastAsia="仿宋" w:cs="仿宋"/>
                <w:sz w:val="24"/>
                <w:szCs w:val="24"/>
                <w:highlight w:val="none"/>
              </w:rPr>
            </w:pPr>
          </w:p>
        </w:tc>
        <w:tc>
          <w:tcPr>
            <w:tcW w:w="1915" w:type="dxa"/>
            <w:noWrap w:val="0"/>
            <w:vAlign w:val="center"/>
          </w:tcPr>
          <w:p w14:paraId="2A76812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685C734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547C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36B26E6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2F774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76342733">
            <w:pPr>
              <w:spacing w:line="440" w:lineRule="exact"/>
              <w:rPr>
                <w:rFonts w:hint="eastAsia" w:ascii="仿宋" w:hAnsi="仿宋" w:eastAsia="仿宋" w:cs="仿宋"/>
                <w:sz w:val="24"/>
                <w:szCs w:val="24"/>
                <w:highlight w:val="none"/>
              </w:rPr>
            </w:pPr>
          </w:p>
        </w:tc>
      </w:tr>
    </w:tbl>
    <w:p w14:paraId="6DB24914">
      <w:pPr>
        <w:snapToGrid w:val="0"/>
        <w:spacing w:line="360" w:lineRule="auto"/>
        <w:ind w:firstLine="240" w:firstLineChars="100"/>
        <w:rPr>
          <w:rFonts w:hint="eastAsia" w:ascii="仿宋" w:hAnsi="仿宋" w:eastAsia="仿宋" w:cs="仿宋"/>
          <w:sz w:val="24"/>
          <w:szCs w:val="24"/>
          <w:highlight w:val="none"/>
        </w:rPr>
      </w:pPr>
    </w:p>
    <w:p w14:paraId="5A903BA3">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C34B82E">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042B8EA1">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147BF6EF">
      <w:pPr>
        <w:pStyle w:val="23"/>
        <w:jc w:val="center"/>
        <w:rPr>
          <w:rFonts w:hint="eastAsia" w:ascii="仿宋" w:hAnsi="仿宋" w:eastAsia="仿宋" w:cs="仿宋"/>
          <w:b/>
          <w:bCs w:val="0"/>
          <w:kern w:val="2"/>
          <w:sz w:val="30"/>
          <w:szCs w:val="30"/>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rPr>
        <w:t>生产商基本情况表</w:t>
      </w:r>
    </w:p>
    <w:tbl>
      <w:tblPr>
        <w:tblStyle w:val="4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041"/>
        <w:gridCol w:w="2690"/>
        <w:gridCol w:w="1790"/>
        <w:gridCol w:w="50"/>
        <w:gridCol w:w="539"/>
        <w:gridCol w:w="1782"/>
      </w:tblGrid>
      <w:tr w14:paraId="6396B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2647" w:type="dxa"/>
            <w:gridSpan w:val="2"/>
            <w:noWrap w:val="0"/>
            <w:vAlign w:val="center"/>
          </w:tcPr>
          <w:p w14:paraId="1200EA82">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单位名称</w:t>
            </w:r>
          </w:p>
        </w:tc>
        <w:tc>
          <w:tcPr>
            <w:tcW w:w="2690" w:type="dxa"/>
            <w:noWrap w:val="0"/>
            <w:vAlign w:val="center"/>
          </w:tcPr>
          <w:p w14:paraId="7BB404A3">
            <w:pPr>
              <w:spacing w:line="440" w:lineRule="exact"/>
              <w:jc w:val="center"/>
              <w:rPr>
                <w:rFonts w:hint="eastAsia" w:ascii="仿宋" w:hAnsi="仿宋" w:eastAsia="仿宋" w:cs="仿宋"/>
                <w:sz w:val="24"/>
                <w:highlight w:val="none"/>
              </w:rPr>
            </w:pPr>
          </w:p>
        </w:tc>
        <w:tc>
          <w:tcPr>
            <w:tcW w:w="2379" w:type="dxa"/>
            <w:gridSpan w:val="3"/>
            <w:noWrap w:val="0"/>
            <w:vAlign w:val="center"/>
          </w:tcPr>
          <w:p w14:paraId="5E32A72E">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地址</w:t>
            </w:r>
          </w:p>
        </w:tc>
        <w:tc>
          <w:tcPr>
            <w:tcW w:w="1782" w:type="dxa"/>
            <w:noWrap w:val="0"/>
            <w:vAlign w:val="center"/>
          </w:tcPr>
          <w:p w14:paraId="73B82C06">
            <w:pPr>
              <w:spacing w:line="440" w:lineRule="exact"/>
              <w:ind w:left="507"/>
              <w:jc w:val="center"/>
              <w:rPr>
                <w:rFonts w:hint="eastAsia" w:ascii="仿宋" w:hAnsi="仿宋" w:eastAsia="仿宋" w:cs="仿宋"/>
                <w:sz w:val="24"/>
                <w:highlight w:val="none"/>
              </w:rPr>
            </w:pPr>
          </w:p>
        </w:tc>
      </w:tr>
      <w:tr w14:paraId="2D56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647" w:type="dxa"/>
            <w:gridSpan w:val="2"/>
            <w:noWrap w:val="0"/>
            <w:vAlign w:val="center"/>
          </w:tcPr>
          <w:p w14:paraId="4A998768">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办公电话/传真</w:t>
            </w:r>
          </w:p>
        </w:tc>
        <w:tc>
          <w:tcPr>
            <w:tcW w:w="2690" w:type="dxa"/>
            <w:noWrap w:val="0"/>
            <w:vAlign w:val="center"/>
          </w:tcPr>
          <w:p w14:paraId="787FA4AC">
            <w:pPr>
              <w:spacing w:line="440" w:lineRule="exact"/>
              <w:jc w:val="center"/>
              <w:rPr>
                <w:rFonts w:hint="eastAsia" w:ascii="仿宋" w:hAnsi="仿宋" w:eastAsia="仿宋" w:cs="仿宋"/>
                <w:sz w:val="24"/>
                <w:highlight w:val="none"/>
              </w:rPr>
            </w:pPr>
          </w:p>
        </w:tc>
        <w:tc>
          <w:tcPr>
            <w:tcW w:w="2379" w:type="dxa"/>
            <w:gridSpan w:val="3"/>
            <w:noWrap w:val="0"/>
            <w:vAlign w:val="center"/>
          </w:tcPr>
          <w:p w14:paraId="5731FAFD">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联系人</w:t>
            </w:r>
          </w:p>
        </w:tc>
        <w:tc>
          <w:tcPr>
            <w:tcW w:w="1782" w:type="dxa"/>
            <w:noWrap w:val="0"/>
            <w:vAlign w:val="center"/>
          </w:tcPr>
          <w:p w14:paraId="7807AFA8">
            <w:pPr>
              <w:spacing w:line="440" w:lineRule="exact"/>
              <w:jc w:val="center"/>
              <w:rPr>
                <w:rFonts w:hint="eastAsia" w:ascii="仿宋" w:hAnsi="仿宋" w:eastAsia="仿宋" w:cs="仿宋"/>
                <w:sz w:val="24"/>
                <w:highlight w:val="none"/>
              </w:rPr>
            </w:pPr>
          </w:p>
        </w:tc>
      </w:tr>
      <w:tr w14:paraId="1A2D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2647" w:type="dxa"/>
            <w:gridSpan w:val="2"/>
            <w:noWrap w:val="0"/>
            <w:vAlign w:val="center"/>
          </w:tcPr>
          <w:p w14:paraId="663FAD0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所属/主管部门</w:t>
            </w:r>
          </w:p>
        </w:tc>
        <w:tc>
          <w:tcPr>
            <w:tcW w:w="6851" w:type="dxa"/>
            <w:gridSpan w:val="5"/>
            <w:noWrap w:val="0"/>
            <w:vAlign w:val="center"/>
          </w:tcPr>
          <w:p w14:paraId="4F5BB772">
            <w:pPr>
              <w:spacing w:line="440" w:lineRule="exact"/>
              <w:jc w:val="center"/>
              <w:rPr>
                <w:rFonts w:hint="eastAsia" w:ascii="仿宋" w:hAnsi="仿宋" w:eastAsia="仿宋" w:cs="仿宋"/>
                <w:sz w:val="24"/>
                <w:highlight w:val="none"/>
              </w:rPr>
            </w:pPr>
          </w:p>
        </w:tc>
      </w:tr>
      <w:tr w14:paraId="4EDA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jc w:val="center"/>
        </w:trPr>
        <w:tc>
          <w:tcPr>
            <w:tcW w:w="2647" w:type="dxa"/>
            <w:gridSpan w:val="2"/>
            <w:noWrap w:val="0"/>
            <w:vAlign w:val="center"/>
          </w:tcPr>
          <w:p w14:paraId="070F8081">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总经理</w:t>
            </w:r>
          </w:p>
        </w:tc>
        <w:tc>
          <w:tcPr>
            <w:tcW w:w="2690" w:type="dxa"/>
            <w:noWrap w:val="0"/>
            <w:vAlign w:val="center"/>
          </w:tcPr>
          <w:p w14:paraId="7EB7371E">
            <w:pPr>
              <w:spacing w:line="440" w:lineRule="exact"/>
              <w:jc w:val="center"/>
              <w:rPr>
                <w:rFonts w:hint="eastAsia" w:ascii="仿宋" w:hAnsi="仿宋" w:eastAsia="仿宋" w:cs="仿宋"/>
                <w:sz w:val="24"/>
                <w:highlight w:val="none"/>
              </w:rPr>
            </w:pPr>
          </w:p>
        </w:tc>
        <w:tc>
          <w:tcPr>
            <w:tcW w:w="1840" w:type="dxa"/>
            <w:gridSpan w:val="2"/>
            <w:noWrap w:val="0"/>
            <w:vAlign w:val="center"/>
          </w:tcPr>
          <w:p w14:paraId="4084B705">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固定办公面积（平米）</w:t>
            </w:r>
          </w:p>
        </w:tc>
        <w:tc>
          <w:tcPr>
            <w:tcW w:w="2321" w:type="dxa"/>
            <w:gridSpan w:val="2"/>
            <w:noWrap w:val="0"/>
            <w:vAlign w:val="center"/>
          </w:tcPr>
          <w:p w14:paraId="108B6912">
            <w:pPr>
              <w:spacing w:line="440" w:lineRule="exact"/>
              <w:jc w:val="center"/>
              <w:rPr>
                <w:rFonts w:hint="eastAsia" w:ascii="仿宋" w:hAnsi="仿宋" w:eastAsia="仿宋" w:cs="仿宋"/>
                <w:sz w:val="24"/>
                <w:highlight w:val="none"/>
              </w:rPr>
            </w:pPr>
          </w:p>
        </w:tc>
      </w:tr>
      <w:tr w14:paraId="46761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606" w:type="dxa"/>
            <w:vMerge w:val="restart"/>
            <w:noWrap w:val="0"/>
            <w:vAlign w:val="center"/>
          </w:tcPr>
          <w:p w14:paraId="4DBA3535">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注册情况</w:t>
            </w:r>
          </w:p>
        </w:tc>
        <w:tc>
          <w:tcPr>
            <w:tcW w:w="2041" w:type="dxa"/>
            <w:noWrap w:val="0"/>
            <w:vAlign w:val="center"/>
          </w:tcPr>
          <w:p w14:paraId="6274BC9D">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工商注册号</w:t>
            </w:r>
          </w:p>
        </w:tc>
        <w:tc>
          <w:tcPr>
            <w:tcW w:w="6851" w:type="dxa"/>
            <w:gridSpan w:val="5"/>
            <w:noWrap w:val="0"/>
            <w:vAlign w:val="center"/>
          </w:tcPr>
          <w:p w14:paraId="6E9E48F6">
            <w:pPr>
              <w:spacing w:line="440" w:lineRule="exact"/>
              <w:jc w:val="center"/>
              <w:rPr>
                <w:rFonts w:hint="eastAsia" w:ascii="仿宋" w:hAnsi="仿宋" w:eastAsia="仿宋" w:cs="仿宋"/>
                <w:sz w:val="24"/>
                <w:highlight w:val="none"/>
              </w:rPr>
            </w:pPr>
          </w:p>
        </w:tc>
      </w:tr>
      <w:tr w14:paraId="1BE78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606" w:type="dxa"/>
            <w:vMerge w:val="continue"/>
            <w:noWrap w:val="0"/>
            <w:textDirection w:val="tbRlV"/>
            <w:vAlign w:val="center"/>
          </w:tcPr>
          <w:p w14:paraId="13DC5F09">
            <w:pPr>
              <w:spacing w:line="440" w:lineRule="exact"/>
              <w:jc w:val="center"/>
              <w:rPr>
                <w:rFonts w:hint="eastAsia" w:ascii="仿宋" w:hAnsi="仿宋" w:eastAsia="仿宋" w:cs="仿宋"/>
                <w:sz w:val="24"/>
                <w:highlight w:val="none"/>
              </w:rPr>
            </w:pPr>
          </w:p>
        </w:tc>
        <w:tc>
          <w:tcPr>
            <w:tcW w:w="2041" w:type="dxa"/>
            <w:noWrap w:val="0"/>
            <w:vAlign w:val="center"/>
          </w:tcPr>
          <w:p w14:paraId="173AEFE2">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注册资本（万元）</w:t>
            </w:r>
          </w:p>
        </w:tc>
        <w:tc>
          <w:tcPr>
            <w:tcW w:w="6851" w:type="dxa"/>
            <w:gridSpan w:val="5"/>
            <w:noWrap w:val="0"/>
            <w:vAlign w:val="center"/>
          </w:tcPr>
          <w:p w14:paraId="67CC3449">
            <w:pPr>
              <w:spacing w:line="440" w:lineRule="exact"/>
              <w:jc w:val="center"/>
              <w:rPr>
                <w:rFonts w:hint="eastAsia" w:ascii="仿宋" w:hAnsi="仿宋" w:eastAsia="仿宋" w:cs="仿宋"/>
                <w:sz w:val="24"/>
                <w:highlight w:val="none"/>
              </w:rPr>
            </w:pPr>
          </w:p>
        </w:tc>
      </w:tr>
      <w:tr w14:paraId="713F6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434F0970">
            <w:pPr>
              <w:spacing w:line="440" w:lineRule="exact"/>
              <w:jc w:val="center"/>
              <w:rPr>
                <w:rFonts w:hint="eastAsia" w:ascii="仿宋" w:hAnsi="仿宋" w:eastAsia="仿宋" w:cs="仿宋"/>
                <w:sz w:val="24"/>
                <w:highlight w:val="none"/>
              </w:rPr>
            </w:pPr>
          </w:p>
        </w:tc>
        <w:tc>
          <w:tcPr>
            <w:tcW w:w="2041" w:type="dxa"/>
            <w:noWrap w:val="0"/>
            <w:vAlign w:val="center"/>
          </w:tcPr>
          <w:p w14:paraId="031468A6">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690" w:type="dxa"/>
            <w:noWrap w:val="0"/>
            <w:vAlign w:val="center"/>
          </w:tcPr>
          <w:p w14:paraId="5CCFBB75">
            <w:pPr>
              <w:spacing w:line="440" w:lineRule="exact"/>
              <w:jc w:val="center"/>
              <w:rPr>
                <w:rFonts w:hint="eastAsia" w:ascii="仿宋" w:hAnsi="仿宋" w:eastAsia="仿宋" w:cs="仿宋"/>
                <w:sz w:val="24"/>
                <w:highlight w:val="none"/>
              </w:rPr>
            </w:pPr>
          </w:p>
        </w:tc>
        <w:tc>
          <w:tcPr>
            <w:tcW w:w="1790" w:type="dxa"/>
            <w:noWrap w:val="0"/>
            <w:vAlign w:val="center"/>
          </w:tcPr>
          <w:p w14:paraId="47A3EFD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单位类型</w:t>
            </w:r>
          </w:p>
        </w:tc>
        <w:tc>
          <w:tcPr>
            <w:tcW w:w="2371" w:type="dxa"/>
            <w:gridSpan w:val="3"/>
            <w:noWrap w:val="0"/>
            <w:vAlign w:val="center"/>
          </w:tcPr>
          <w:p w14:paraId="2299AF98">
            <w:pPr>
              <w:spacing w:line="440" w:lineRule="exact"/>
              <w:jc w:val="center"/>
              <w:rPr>
                <w:rFonts w:hint="eastAsia" w:ascii="仿宋" w:hAnsi="仿宋" w:eastAsia="仿宋" w:cs="仿宋"/>
                <w:sz w:val="24"/>
                <w:highlight w:val="none"/>
              </w:rPr>
            </w:pPr>
          </w:p>
        </w:tc>
      </w:tr>
      <w:tr w14:paraId="2F67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70F0C334">
            <w:pPr>
              <w:spacing w:line="440" w:lineRule="exact"/>
              <w:jc w:val="center"/>
              <w:rPr>
                <w:rFonts w:hint="eastAsia" w:ascii="仿宋" w:hAnsi="仿宋" w:eastAsia="仿宋" w:cs="仿宋"/>
                <w:sz w:val="24"/>
                <w:highlight w:val="none"/>
              </w:rPr>
            </w:pPr>
          </w:p>
        </w:tc>
        <w:tc>
          <w:tcPr>
            <w:tcW w:w="2041" w:type="dxa"/>
            <w:noWrap w:val="0"/>
            <w:vAlign w:val="center"/>
          </w:tcPr>
          <w:p w14:paraId="6881B6F7">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成立时间</w:t>
            </w:r>
          </w:p>
        </w:tc>
        <w:tc>
          <w:tcPr>
            <w:tcW w:w="2690" w:type="dxa"/>
            <w:noWrap w:val="0"/>
            <w:vAlign w:val="center"/>
          </w:tcPr>
          <w:p w14:paraId="3D4667A1">
            <w:pPr>
              <w:spacing w:line="440" w:lineRule="exact"/>
              <w:jc w:val="center"/>
              <w:rPr>
                <w:rFonts w:hint="eastAsia" w:ascii="仿宋" w:hAnsi="仿宋" w:eastAsia="仿宋" w:cs="仿宋"/>
                <w:sz w:val="24"/>
                <w:highlight w:val="none"/>
              </w:rPr>
            </w:pPr>
          </w:p>
        </w:tc>
        <w:tc>
          <w:tcPr>
            <w:tcW w:w="1790" w:type="dxa"/>
            <w:noWrap w:val="0"/>
            <w:vAlign w:val="center"/>
          </w:tcPr>
          <w:p w14:paraId="0DCACFC2">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营业期限</w:t>
            </w:r>
          </w:p>
        </w:tc>
        <w:tc>
          <w:tcPr>
            <w:tcW w:w="2371" w:type="dxa"/>
            <w:gridSpan w:val="3"/>
            <w:noWrap w:val="0"/>
            <w:vAlign w:val="center"/>
          </w:tcPr>
          <w:p w14:paraId="152F3800">
            <w:pPr>
              <w:spacing w:line="440" w:lineRule="exact"/>
              <w:jc w:val="center"/>
              <w:rPr>
                <w:rFonts w:hint="eastAsia" w:ascii="仿宋" w:hAnsi="仿宋" w:eastAsia="仿宋" w:cs="仿宋"/>
                <w:sz w:val="24"/>
                <w:highlight w:val="none"/>
              </w:rPr>
            </w:pPr>
          </w:p>
        </w:tc>
      </w:tr>
      <w:tr w14:paraId="607BE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3E82143C">
            <w:pPr>
              <w:spacing w:line="440" w:lineRule="exact"/>
              <w:jc w:val="center"/>
              <w:rPr>
                <w:rFonts w:hint="eastAsia" w:ascii="仿宋" w:hAnsi="仿宋" w:eastAsia="仿宋" w:cs="仿宋"/>
                <w:sz w:val="24"/>
                <w:highlight w:val="none"/>
              </w:rPr>
            </w:pPr>
          </w:p>
        </w:tc>
        <w:tc>
          <w:tcPr>
            <w:tcW w:w="2041" w:type="dxa"/>
            <w:noWrap w:val="0"/>
            <w:vAlign w:val="center"/>
          </w:tcPr>
          <w:p w14:paraId="4A568147">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经营范围</w:t>
            </w:r>
          </w:p>
        </w:tc>
        <w:tc>
          <w:tcPr>
            <w:tcW w:w="6851" w:type="dxa"/>
            <w:gridSpan w:val="5"/>
            <w:noWrap w:val="0"/>
            <w:vAlign w:val="center"/>
          </w:tcPr>
          <w:p w14:paraId="6127B0A2">
            <w:pPr>
              <w:spacing w:line="440" w:lineRule="exact"/>
              <w:jc w:val="center"/>
              <w:rPr>
                <w:rFonts w:hint="eastAsia" w:ascii="仿宋" w:hAnsi="仿宋" w:eastAsia="仿宋" w:cs="仿宋"/>
                <w:sz w:val="24"/>
                <w:highlight w:val="none"/>
              </w:rPr>
            </w:pPr>
          </w:p>
        </w:tc>
      </w:tr>
      <w:tr w14:paraId="6630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jc w:val="center"/>
        </w:trPr>
        <w:tc>
          <w:tcPr>
            <w:tcW w:w="9498" w:type="dxa"/>
            <w:gridSpan w:val="7"/>
            <w:noWrap w:val="0"/>
            <w:vAlign w:val="center"/>
          </w:tcPr>
          <w:p w14:paraId="2A9896B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生产商情况简介</w:t>
            </w:r>
          </w:p>
        </w:tc>
      </w:tr>
      <w:tr w14:paraId="6D92E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9" w:hRule="atLeast"/>
          <w:jc w:val="center"/>
        </w:trPr>
        <w:tc>
          <w:tcPr>
            <w:tcW w:w="9498" w:type="dxa"/>
            <w:gridSpan w:val="7"/>
            <w:noWrap w:val="0"/>
            <w:vAlign w:val="center"/>
          </w:tcPr>
          <w:p w14:paraId="2C5B77C9">
            <w:pPr>
              <w:spacing w:line="440" w:lineRule="exact"/>
              <w:jc w:val="center"/>
              <w:rPr>
                <w:rFonts w:hint="eastAsia" w:ascii="仿宋" w:hAnsi="仿宋" w:eastAsia="仿宋" w:cs="仿宋"/>
                <w:sz w:val="24"/>
                <w:highlight w:val="none"/>
              </w:rPr>
            </w:pPr>
          </w:p>
        </w:tc>
      </w:tr>
    </w:tbl>
    <w:p w14:paraId="12CCFBA1">
      <w:pPr>
        <w:rPr>
          <w:rFonts w:hint="eastAsia" w:ascii="仿宋" w:hAnsi="仿宋" w:eastAsia="仿宋" w:cs="仿宋"/>
          <w:b/>
          <w:sz w:val="24"/>
          <w:szCs w:val="24"/>
          <w:highlight w:val="none"/>
        </w:rPr>
      </w:pPr>
      <w:r>
        <w:rPr>
          <w:rFonts w:hint="eastAsia" w:ascii="仿宋" w:hAnsi="仿宋" w:eastAsia="仿宋" w:cs="仿宋"/>
          <w:b/>
          <w:sz w:val="24"/>
          <w:szCs w:val="24"/>
          <w:highlight w:val="none"/>
        </w:rPr>
        <w:t>备注：1.投标人若为生产商仅需填写“生产商基本情况表”并后附本企业法人</w:t>
      </w:r>
      <w:bookmarkStart w:id="22" w:name="OLE_LINK5"/>
      <w:r>
        <w:rPr>
          <w:rFonts w:hint="eastAsia" w:ascii="仿宋" w:hAnsi="仿宋" w:eastAsia="仿宋" w:cs="仿宋"/>
          <w:b/>
          <w:sz w:val="24"/>
          <w:szCs w:val="24"/>
          <w:highlight w:val="none"/>
        </w:rPr>
        <w:t>营业执照</w:t>
      </w:r>
      <w:r>
        <w:rPr>
          <w:rFonts w:hint="eastAsia" w:ascii="仿宋" w:hAnsi="仿宋" w:eastAsia="仿宋" w:cs="仿宋"/>
          <w:b/>
          <w:sz w:val="24"/>
          <w:szCs w:val="24"/>
          <w:highlight w:val="none"/>
          <w:lang w:val="en-US" w:eastAsia="zh-CN"/>
        </w:rPr>
        <w:t>副本、</w:t>
      </w:r>
      <w:r>
        <w:rPr>
          <w:rFonts w:hint="eastAsia" w:ascii="仿宋" w:hAnsi="仿宋" w:eastAsia="仿宋" w:cs="仿宋"/>
          <w:b/>
          <w:sz w:val="24"/>
          <w:szCs w:val="24"/>
          <w:highlight w:val="none"/>
        </w:rPr>
        <w:t>本次采购内容</w:t>
      </w:r>
      <w:r>
        <w:rPr>
          <w:rFonts w:hint="eastAsia" w:ascii="仿宋" w:hAnsi="仿宋" w:eastAsia="仿宋" w:cs="仿宋"/>
          <w:b/>
          <w:sz w:val="24"/>
          <w:szCs w:val="24"/>
          <w:highlight w:val="none"/>
          <w:lang w:val="en-US" w:eastAsia="zh-CN"/>
        </w:rPr>
        <w:t>涉及的产品检测报告（需注明药剂状态）、资格证明文件等材料的扫描件</w:t>
      </w:r>
      <w:r>
        <w:rPr>
          <w:rFonts w:hint="eastAsia" w:ascii="仿宋" w:hAnsi="仿宋" w:eastAsia="仿宋" w:cs="仿宋"/>
          <w:b/>
          <w:sz w:val="24"/>
          <w:szCs w:val="24"/>
          <w:highlight w:val="none"/>
        </w:rPr>
        <w:t>。</w:t>
      </w:r>
    </w:p>
    <w:bookmarkEnd w:id="22"/>
    <w:p w14:paraId="172484CC">
      <w:pPr>
        <w:numPr>
          <w:ilvl w:val="0"/>
          <w:numId w:val="0"/>
        </w:num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2.</w:t>
      </w:r>
      <w:r>
        <w:rPr>
          <w:rFonts w:hint="eastAsia" w:ascii="仿宋" w:hAnsi="仿宋" w:eastAsia="仿宋" w:cs="仿宋"/>
          <w:b/>
          <w:sz w:val="24"/>
          <w:szCs w:val="24"/>
          <w:highlight w:val="none"/>
        </w:rPr>
        <w:t>投标人若为经销商需填写“投标人基本情况表”和“生产商基本情况表”并后附营业执照副本、</w:t>
      </w:r>
      <w:r>
        <w:rPr>
          <w:rFonts w:hint="eastAsia" w:ascii="仿宋" w:hAnsi="仿宋" w:eastAsia="仿宋" w:cs="仿宋"/>
          <w:b/>
          <w:sz w:val="24"/>
          <w:szCs w:val="24"/>
          <w:highlight w:val="none"/>
          <w:lang w:val="en-US" w:eastAsia="zh-CN"/>
        </w:rPr>
        <w:t>生产商授权书、本次采购内容涉及的产品检测报告（需注明药剂状态）、资格证明文件等材料的扫描件。</w:t>
      </w:r>
    </w:p>
    <w:p w14:paraId="0EE95001">
      <w:pPr>
        <w:numPr>
          <w:ilvl w:val="0"/>
          <w:numId w:val="0"/>
        </w:numPr>
        <w:rPr>
          <w:rFonts w:hint="eastAsia" w:ascii="仿宋" w:hAnsi="仿宋" w:eastAsia="仿宋" w:cs="仿宋"/>
          <w:b/>
          <w:sz w:val="24"/>
          <w:szCs w:val="24"/>
          <w:highlight w:val="none"/>
          <w:lang w:val="en-US" w:eastAsia="zh-CN"/>
        </w:rPr>
      </w:pPr>
    </w:p>
    <w:p w14:paraId="67879F12">
      <w:pPr>
        <w:snapToGrid w:val="0"/>
        <w:spacing w:line="360" w:lineRule="auto"/>
        <w:ind w:firstLine="240" w:firstLineChars="100"/>
        <w:rPr>
          <w:rFonts w:hint="default" w:ascii="仿宋" w:hAnsi="仿宋" w:eastAsia="仿宋" w:cs="仿宋"/>
          <w:sz w:val="24"/>
          <w:szCs w:val="24"/>
          <w:highlight w:val="none"/>
          <w:lang w:val="en-US" w:eastAsia="zh-CN"/>
        </w:rPr>
      </w:pPr>
    </w:p>
    <w:p w14:paraId="184BC4F2">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9818B8F">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024B8ED">
      <w:pPr>
        <w:snapToGrid w:val="0"/>
        <w:spacing w:line="360" w:lineRule="auto"/>
        <w:ind w:left="0" w:leftChars="0" w:firstLine="0" w:firstLineChars="0"/>
        <w:rPr>
          <w:rFonts w:hint="eastAsia" w:ascii="仿宋" w:hAnsi="仿宋" w:eastAsia="仿宋" w:cs="仿宋"/>
          <w:highlight w:val="none"/>
        </w:rPr>
      </w:pPr>
      <w:r>
        <w:rPr>
          <w:rFonts w:hint="eastAsia" w:ascii="仿宋" w:hAnsi="仿宋" w:eastAsia="仿宋" w:cs="仿宋"/>
          <w:sz w:val="24"/>
          <w:szCs w:val="24"/>
          <w:highlight w:val="none"/>
        </w:rPr>
        <w:t>日期：</w:t>
      </w:r>
    </w:p>
    <w:p w14:paraId="05BBEB07">
      <w:pPr>
        <w:pStyle w:val="23"/>
        <w:jc w:val="center"/>
        <w:rPr>
          <w:rFonts w:hint="eastAsia" w:ascii="仿宋" w:hAnsi="仿宋" w:eastAsia="仿宋" w:cs="仿宋"/>
          <w:b/>
          <w:bCs w:val="0"/>
          <w:kern w:val="2"/>
          <w:sz w:val="30"/>
          <w:szCs w:val="30"/>
          <w:highlight w:val="none"/>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lang w:eastAsia="zh-CN"/>
        </w:rPr>
        <w:t>投标人</w:t>
      </w:r>
      <w:r>
        <w:rPr>
          <w:rFonts w:hint="eastAsia" w:ascii="仿宋" w:hAnsi="仿宋" w:eastAsia="仿宋" w:cs="仿宋"/>
          <w:b/>
          <w:bCs w:val="0"/>
          <w:kern w:val="2"/>
          <w:sz w:val="30"/>
          <w:szCs w:val="30"/>
          <w:highlight w:val="none"/>
        </w:rPr>
        <w:t>有效的营业执照副本</w:t>
      </w:r>
      <w:r>
        <w:rPr>
          <w:rFonts w:hint="eastAsia" w:ascii="仿宋" w:hAnsi="仿宋" w:eastAsia="仿宋" w:cs="仿宋"/>
          <w:b/>
          <w:bCs w:val="0"/>
          <w:kern w:val="2"/>
          <w:sz w:val="30"/>
          <w:szCs w:val="30"/>
          <w:highlight w:val="none"/>
          <w:lang w:val="en-US" w:eastAsia="zh-CN"/>
        </w:rPr>
        <w:t>扫描件</w:t>
      </w:r>
    </w:p>
    <w:p w14:paraId="1580F1D7">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28"/>
          <w:szCs w:val="21"/>
          <w:highlight w:val="none"/>
          <w:lang w:val="en-US" w:eastAsia="zh-CN" w:bidi="ar-SA"/>
        </w:rPr>
        <w:t>关联关系声明函</w:t>
      </w:r>
    </w:p>
    <w:p w14:paraId="2E1BA4DD">
      <w:pPr>
        <w:spacing w:line="480" w:lineRule="exact"/>
        <w:rPr>
          <w:rFonts w:hint="eastAsia"/>
          <w:bCs/>
          <w:color w:val="auto"/>
          <w:highlight w:val="none"/>
        </w:rPr>
      </w:pPr>
    </w:p>
    <w:p w14:paraId="1F1C2F09">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1F5D00A7">
      <w:pPr>
        <w:spacing w:line="560" w:lineRule="exact"/>
        <w:ind w:firstLine="480" w:firstLineChars="200"/>
        <w:rPr>
          <w:rFonts w:hint="eastAsia" w:ascii="仿宋" w:hAnsi="仿宋" w:eastAsia="仿宋" w:cs="仿宋"/>
          <w:color w:val="auto"/>
          <w:sz w:val="24"/>
          <w:szCs w:val="24"/>
          <w:highlight w:val="none"/>
        </w:rPr>
      </w:pPr>
    </w:p>
    <w:p w14:paraId="67F7B706">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231FA8D2">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4CD3B2D6">
      <w:pPr>
        <w:spacing w:line="560" w:lineRule="exact"/>
        <w:rPr>
          <w:rFonts w:hint="eastAsia" w:ascii="仿宋" w:hAnsi="仿宋" w:eastAsia="仿宋" w:cs="仿宋"/>
          <w:color w:val="auto"/>
          <w:sz w:val="24"/>
          <w:szCs w:val="24"/>
          <w:highlight w:val="none"/>
        </w:rPr>
      </w:pPr>
    </w:p>
    <w:p w14:paraId="00632501">
      <w:pPr>
        <w:spacing w:line="560" w:lineRule="exact"/>
        <w:rPr>
          <w:rFonts w:hint="eastAsia" w:ascii="仿宋" w:hAnsi="仿宋" w:eastAsia="仿宋" w:cs="仿宋"/>
          <w:color w:val="auto"/>
          <w:sz w:val="24"/>
          <w:szCs w:val="24"/>
          <w:highlight w:val="none"/>
        </w:rPr>
      </w:pPr>
    </w:p>
    <w:p w14:paraId="6F7676FC">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72F37092">
      <w:pPr>
        <w:spacing w:line="560" w:lineRule="exact"/>
        <w:rPr>
          <w:rFonts w:hint="eastAsia" w:ascii="仿宋" w:hAnsi="仿宋" w:eastAsia="仿宋" w:cs="仿宋"/>
          <w:color w:val="auto"/>
          <w:sz w:val="24"/>
          <w:szCs w:val="24"/>
          <w:highlight w:val="none"/>
        </w:rPr>
      </w:pPr>
    </w:p>
    <w:p w14:paraId="41E468C2">
      <w:pPr>
        <w:spacing w:line="560" w:lineRule="exact"/>
        <w:rPr>
          <w:rFonts w:hint="eastAsia" w:ascii="仿宋" w:hAnsi="仿宋" w:eastAsia="仿宋" w:cs="仿宋"/>
          <w:color w:val="auto"/>
          <w:sz w:val="24"/>
          <w:szCs w:val="24"/>
          <w:highlight w:val="none"/>
        </w:rPr>
      </w:pPr>
    </w:p>
    <w:p w14:paraId="3E900DAE">
      <w:pPr>
        <w:pStyle w:val="12"/>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0A2C4C68">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64271B55">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50872A7D">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3CEEC2B4">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0CEB5F02">
      <w:pPr>
        <w:pStyle w:val="23"/>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6A881E01">
      <w:pPr>
        <w:pStyle w:val="23"/>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lang w:val="en-US" w:eastAsia="zh-CN"/>
        </w:rPr>
        <w:t>生产商授权书</w:t>
      </w:r>
    </w:p>
    <w:p w14:paraId="1F925561">
      <w:pPr>
        <w:pStyle w:val="23"/>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（投标人若为代理商须提供生产商授权书（授权书须注明药剂状态，授权时间需满足项目服务期要求））</w:t>
      </w:r>
    </w:p>
    <w:p w14:paraId="4B41B28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kern w:val="2"/>
          <w:sz w:val="30"/>
          <w:szCs w:val="30"/>
          <w:highlight w:val="none"/>
        </w:rPr>
        <w:br w:type="page"/>
      </w:r>
      <w:r>
        <w:rPr>
          <w:rFonts w:hint="eastAsia" w:ascii="仿宋" w:hAnsi="仿宋" w:eastAsia="仿宋" w:cs="仿宋"/>
          <w:b/>
          <w:bCs w:val="0"/>
          <w:kern w:val="2"/>
          <w:sz w:val="30"/>
          <w:szCs w:val="30"/>
          <w:highlight w:val="none"/>
          <w:lang w:val="en-US" w:eastAsia="zh-CN" w:bidi="ar-SA"/>
        </w:rPr>
        <w:t>产品检测报告（需注明药剂状态）</w:t>
      </w:r>
      <w:r>
        <w:rPr>
          <w:rFonts w:hint="eastAsia" w:ascii="仿宋" w:hAnsi="仿宋" w:eastAsia="仿宋" w:cs="仿宋"/>
          <w:b/>
          <w:bCs w:val="0"/>
          <w:kern w:val="2"/>
          <w:sz w:val="30"/>
          <w:szCs w:val="30"/>
          <w:highlight w:val="none"/>
          <w:lang w:val="en-US" w:eastAsia="zh-CN" w:bidi="ar-SA"/>
        </w:rPr>
        <w:br w:type="page"/>
      </w:r>
    </w:p>
    <w:p w14:paraId="4E974E15">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t>法定代表人身份证明</w:t>
      </w:r>
    </w:p>
    <w:p w14:paraId="33250E74">
      <w:pPr>
        <w:spacing w:line="440" w:lineRule="exact"/>
        <w:rPr>
          <w:szCs w:val="20"/>
          <w:highlight w:val="none"/>
        </w:rPr>
      </w:pPr>
    </w:p>
    <w:p w14:paraId="246FA942">
      <w:pPr>
        <w:spacing w:line="440" w:lineRule="exact"/>
        <w:rPr>
          <w:szCs w:val="21"/>
          <w:highlight w:val="none"/>
        </w:rPr>
      </w:pPr>
    </w:p>
    <w:p w14:paraId="1D2B2137">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7F0783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774E2876">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3933C1D6">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535C44B6">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5C127925">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689F995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p>
    <w:p w14:paraId="160472C0">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4883E2DA">
      <w:pPr>
        <w:spacing w:line="440" w:lineRule="exact"/>
        <w:rPr>
          <w:rFonts w:hint="eastAsia" w:ascii="仿宋" w:hAnsi="仿宋" w:eastAsia="仿宋" w:cs="仿宋"/>
          <w:sz w:val="24"/>
          <w:szCs w:val="24"/>
          <w:highlight w:val="none"/>
        </w:rPr>
      </w:pPr>
    </w:p>
    <w:p w14:paraId="3E33C1AC">
      <w:pPr>
        <w:spacing w:line="440" w:lineRule="exact"/>
        <w:rPr>
          <w:rFonts w:hint="eastAsia" w:ascii="仿宋" w:hAnsi="仿宋" w:eastAsia="仿宋" w:cs="仿宋"/>
          <w:sz w:val="24"/>
          <w:szCs w:val="24"/>
          <w:highlight w:val="none"/>
        </w:rPr>
      </w:pPr>
    </w:p>
    <w:p w14:paraId="5AD2DA2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DF23905">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2ED59651">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539564F6">
      <w:pPr>
        <w:spacing w:line="440" w:lineRule="exact"/>
        <w:rPr>
          <w:rFonts w:eastAsia="黑体"/>
          <w:szCs w:val="20"/>
          <w:highlight w:val="none"/>
        </w:rPr>
      </w:pPr>
    </w:p>
    <w:tbl>
      <w:tblPr>
        <w:tblStyle w:val="41"/>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2CC54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7E7519F7">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782A8429">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w:t>
      </w:r>
      <w:r>
        <w:rPr>
          <w:rFonts w:hint="eastAsia" w:ascii="仿宋" w:hAnsi="仿宋" w:eastAsia="仿宋" w:cs="仿宋"/>
          <w:b/>
          <w:bCs/>
          <w:sz w:val="30"/>
          <w:szCs w:val="30"/>
          <w:highlight w:val="none"/>
        </w:rPr>
        <w:t>授权委托书</w:t>
      </w:r>
    </w:p>
    <w:p w14:paraId="2D31AE95">
      <w:pPr>
        <w:pStyle w:val="23"/>
        <w:spacing w:line="520" w:lineRule="exact"/>
        <w:ind w:firstLine="1110"/>
        <w:jc w:val="center"/>
        <w:rPr>
          <w:rFonts w:ascii="仿宋" w:hAnsi="仿宋" w:eastAsia="仿宋" w:cs="仿宋"/>
          <w:b/>
          <w:bCs/>
          <w:sz w:val="24"/>
          <w:szCs w:val="24"/>
          <w:highlight w:val="none"/>
        </w:rPr>
      </w:pPr>
    </w:p>
    <w:p w14:paraId="6C4ABAF2">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15BED6AE">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1711687F">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日法定代表人签字或盖章并由被授权人签字、单位盖章生效，特此声明。</w:t>
      </w:r>
    </w:p>
    <w:p w14:paraId="0DC1CB11">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12C89AA9">
      <w:pPr>
        <w:pStyle w:val="23"/>
        <w:spacing w:line="520" w:lineRule="exact"/>
        <w:ind w:firstLine="1111"/>
        <w:rPr>
          <w:rFonts w:ascii="仿宋" w:hAnsi="仿宋" w:eastAsia="仿宋" w:cs="仿宋"/>
          <w:sz w:val="24"/>
          <w:szCs w:val="24"/>
          <w:highlight w:val="none"/>
        </w:rPr>
      </w:pPr>
    </w:p>
    <w:p w14:paraId="6BD10F3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67F1175B">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1E4A2184">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0D2D28F7">
      <w:pPr>
        <w:pStyle w:val="23"/>
        <w:spacing w:line="520" w:lineRule="exact"/>
        <w:rPr>
          <w:rFonts w:ascii="仿宋" w:hAnsi="仿宋" w:eastAsia="仿宋" w:cs="仿宋"/>
          <w:sz w:val="24"/>
          <w:szCs w:val="24"/>
          <w:highlight w:val="none"/>
        </w:rPr>
      </w:pPr>
    </w:p>
    <w:p w14:paraId="3EE059A4">
      <w:pPr>
        <w:pStyle w:val="23"/>
        <w:spacing w:line="520" w:lineRule="exact"/>
        <w:rPr>
          <w:rFonts w:ascii="仿宋" w:hAnsi="仿宋" w:eastAsia="仿宋" w:cs="仿宋"/>
          <w:sz w:val="24"/>
          <w:szCs w:val="24"/>
          <w:highlight w:val="none"/>
        </w:rPr>
      </w:pPr>
    </w:p>
    <w:tbl>
      <w:tblPr>
        <w:tblStyle w:val="41"/>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142F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34736582">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3CE2B4E0">
      <w:pPr>
        <w:snapToGrid w:val="0"/>
        <w:spacing w:line="360" w:lineRule="auto"/>
        <w:ind w:firstLine="480" w:firstLineChars="200"/>
        <w:jc w:val="left"/>
        <w:rPr>
          <w:rFonts w:hint="eastAsia" w:ascii="仿宋" w:hAnsi="仿宋" w:eastAsia="仿宋" w:cs="仿宋"/>
          <w:sz w:val="24"/>
          <w:szCs w:val="24"/>
          <w:highlight w:val="none"/>
        </w:rPr>
      </w:pPr>
    </w:p>
    <w:p w14:paraId="0D56077C">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注：若由法定代表人亲自签署投标文件并参与相关活动，则无需提供授权委托书；若为授权委托代理人，则需提供授权委托书。</w:t>
      </w:r>
    </w:p>
    <w:p w14:paraId="2DD01ADA">
      <w:pPr>
        <w:snapToGrid w:val="0"/>
        <w:spacing w:line="360" w:lineRule="auto"/>
        <w:ind w:firstLine="480" w:firstLineChars="200"/>
        <w:jc w:val="left"/>
        <w:rPr>
          <w:rFonts w:ascii="仿宋" w:hAnsi="仿宋" w:eastAsia="仿宋" w:cs="仿宋"/>
          <w:sz w:val="24"/>
          <w:szCs w:val="24"/>
          <w:highlight w:val="none"/>
        </w:rPr>
      </w:pPr>
    </w:p>
    <w:p w14:paraId="6F3693BD">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30"/>
          <w:szCs w:val="30"/>
          <w:highlight w:val="none"/>
        </w:rPr>
        <w:t>投标人参与投标的声明函</w:t>
      </w:r>
    </w:p>
    <w:p w14:paraId="66321BD4">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05D3F02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val="en-US" w:eastAsia="zh-CN"/>
        </w:rPr>
        <w:t>具有独立承担民事责任的能力</w:t>
      </w:r>
      <w:r>
        <w:rPr>
          <w:rFonts w:hint="eastAsia" w:ascii="仿宋" w:hAnsi="仿宋" w:eastAsia="仿宋" w:cs="仿宋"/>
          <w:spacing w:val="8"/>
          <w:sz w:val="24"/>
          <w:szCs w:val="24"/>
          <w:highlight w:val="none"/>
        </w:rPr>
        <w:t>；</w:t>
      </w:r>
    </w:p>
    <w:p w14:paraId="46F7FAA7">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rPr>
        <w:t>具有良好的商业信誉和健全的财务会计制度及履约能力；</w:t>
      </w:r>
    </w:p>
    <w:p w14:paraId="558292E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14:paraId="62709D1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.具有依法缴纳税收和社会保障资金的记录；</w:t>
      </w:r>
    </w:p>
    <w:p w14:paraId="788F186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.参加本次招标活动前三年内，在经营活动中没有重大违法记录（若</w:t>
      </w:r>
      <w:r>
        <w:rPr>
          <w:rFonts w:hint="eastAsia" w:ascii="仿宋" w:hAnsi="仿宋" w:eastAsia="仿宋" w:cs="仿宋"/>
          <w:spacing w:val="8"/>
          <w:sz w:val="24"/>
          <w:szCs w:val="24"/>
          <w:highlight w:val="none"/>
          <w:lang w:val="en-US" w:eastAsia="zh-CN"/>
        </w:rPr>
        <w:t>成立时间不足三年，则自成立时间至今，在经营活动中没有重大违法记录）；</w:t>
      </w:r>
    </w:p>
    <w:p w14:paraId="2987C1F3">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6.我单位及其法定代表人、委托代理人未被最高法院（查询网址为：http://zxgk.court.gov.cn/shixin/）列入失信被执行人；</w:t>
      </w:r>
    </w:p>
    <w:p w14:paraId="210D738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投标人近一年在“信用中国”或“信用中国（山东）”无严重失信记录（个体工商户可提供通过“信用中国”各省级分站网站下载的无“严重失信主体名单”记录或无“失信惩戒信息”记录的公共信用信息报告）；</w:t>
      </w:r>
    </w:p>
    <w:p w14:paraId="22BC468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8.投标人近三年内无行贿犯罪行为记录（若成立时间不足三年，则自成立时间至今，无行贿犯罪行为记录）</w:t>
      </w:r>
    </w:p>
    <w:p w14:paraId="0116E879">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9.我单位本次非联合体投标。</w:t>
      </w:r>
    </w:p>
    <w:p w14:paraId="7D28E97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57FDF574">
      <w:pPr>
        <w:snapToGrid w:val="0"/>
        <w:spacing w:line="560" w:lineRule="exact"/>
        <w:ind w:firstLine="562" w:firstLineChars="201"/>
        <w:rPr>
          <w:rFonts w:ascii="宋体" w:hAnsi="宋体"/>
          <w:sz w:val="28"/>
          <w:szCs w:val="28"/>
          <w:highlight w:val="none"/>
        </w:rPr>
      </w:pPr>
    </w:p>
    <w:p w14:paraId="3127A26B">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E961B19">
      <w:pPr>
        <w:snapToGrid w:val="0"/>
        <w:spacing w:line="360" w:lineRule="auto"/>
        <w:ind w:firstLine="240" w:firstLineChars="100"/>
        <w:outlineLvl w:val="0"/>
        <w:rPr>
          <w:rFonts w:hint="eastAsia" w:ascii="仿宋" w:hAnsi="仿宋" w:eastAsia="仿宋" w:cs="仿宋"/>
          <w:sz w:val="24"/>
          <w:szCs w:val="24"/>
          <w:highlight w:val="none"/>
        </w:rPr>
      </w:pPr>
      <w:bookmarkStart w:id="23" w:name="_Toc2784"/>
      <w:bookmarkStart w:id="24" w:name="_Toc29767"/>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bookmarkEnd w:id="23"/>
      <w:bookmarkEnd w:id="24"/>
    </w:p>
    <w:p w14:paraId="2825E151">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1F8B0C8A">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073C9765">
      <w:pPr>
        <w:snapToGrid w:val="0"/>
        <w:spacing w:line="360" w:lineRule="auto"/>
        <w:jc w:val="center"/>
        <w:rPr>
          <w:rFonts w:hint="eastAsia" w:ascii="仿宋" w:hAnsi="仿宋" w:eastAsia="仿宋" w:cs="仿宋"/>
          <w:b/>
          <w:bCs/>
          <w:sz w:val="36"/>
          <w:szCs w:val="36"/>
          <w:highlight w:val="none"/>
        </w:rPr>
      </w:pPr>
    </w:p>
    <w:p w14:paraId="2190ABE8">
      <w:pPr>
        <w:snapToGrid w:val="0"/>
        <w:spacing w:line="360" w:lineRule="auto"/>
        <w:jc w:val="center"/>
        <w:rPr>
          <w:rFonts w:hint="eastAsia" w:ascii="仿宋" w:hAnsi="仿宋" w:eastAsia="仿宋" w:cs="仿宋"/>
          <w:b/>
          <w:bCs/>
          <w:sz w:val="36"/>
          <w:szCs w:val="36"/>
          <w:highlight w:val="none"/>
        </w:rPr>
      </w:pPr>
    </w:p>
    <w:p w14:paraId="5C1759D9">
      <w:pPr>
        <w:snapToGrid w:val="0"/>
        <w:spacing w:line="360" w:lineRule="auto"/>
        <w:jc w:val="center"/>
        <w:rPr>
          <w:rFonts w:hint="eastAsia" w:ascii="仿宋" w:hAnsi="仿宋" w:eastAsia="仿宋" w:cs="仿宋"/>
          <w:b/>
          <w:bCs/>
          <w:sz w:val="36"/>
          <w:szCs w:val="36"/>
          <w:highlight w:val="none"/>
        </w:rPr>
      </w:pPr>
    </w:p>
    <w:p w14:paraId="30A7D610">
      <w:pPr>
        <w:snapToGrid w:val="0"/>
        <w:spacing w:line="360" w:lineRule="auto"/>
        <w:jc w:val="center"/>
        <w:rPr>
          <w:rFonts w:hint="eastAsia" w:ascii="仿宋" w:hAnsi="仿宋" w:eastAsia="仿宋" w:cs="仿宋"/>
          <w:b/>
          <w:bCs/>
          <w:sz w:val="36"/>
          <w:szCs w:val="36"/>
          <w:highlight w:val="none"/>
        </w:rPr>
      </w:pPr>
    </w:p>
    <w:p w14:paraId="4B65686D">
      <w:pPr>
        <w:snapToGrid w:val="0"/>
        <w:spacing w:line="360" w:lineRule="auto"/>
        <w:jc w:val="center"/>
        <w:rPr>
          <w:rFonts w:hint="eastAsia" w:ascii="仿宋" w:hAnsi="仿宋" w:eastAsia="仿宋" w:cs="仿宋"/>
          <w:b/>
          <w:bCs/>
          <w:sz w:val="36"/>
          <w:szCs w:val="36"/>
          <w:highlight w:val="none"/>
        </w:rPr>
      </w:pPr>
    </w:p>
    <w:p w14:paraId="42A3DACD">
      <w:pPr>
        <w:snapToGrid w:val="0"/>
        <w:spacing w:line="360" w:lineRule="auto"/>
        <w:jc w:val="center"/>
        <w:rPr>
          <w:rFonts w:hint="eastAsia" w:ascii="仿宋" w:hAnsi="仿宋" w:eastAsia="仿宋" w:cs="仿宋"/>
          <w:b/>
          <w:bCs/>
          <w:sz w:val="36"/>
          <w:szCs w:val="36"/>
          <w:highlight w:val="none"/>
        </w:rPr>
      </w:pPr>
    </w:p>
    <w:p w14:paraId="2E12391A">
      <w:pPr>
        <w:snapToGrid w:val="0"/>
        <w:spacing w:line="360" w:lineRule="auto"/>
        <w:jc w:val="center"/>
        <w:rPr>
          <w:rFonts w:hint="eastAsia" w:ascii="仿宋" w:hAnsi="仿宋" w:eastAsia="仿宋" w:cs="仿宋"/>
          <w:b/>
          <w:bCs/>
          <w:sz w:val="36"/>
          <w:szCs w:val="36"/>
          <w:highlight w:val="none"/>
        </w:rPr>
      </w:pPr>
    </w:p>
    <w:p w14:paraId="15BA81FA">
      <w:pPr>
        <w:snapToGrid w:val="0"/>
        <w:spacing w:line="360" w:lineRule="auto"/>
        <w:jc w:val="center"/>
        <w:rPr>
          <w:rFonts w:hint="eastAsia" w:ascii="仿宋" w:hAnsi="仿宋" w:eastAsia="仿宋" w:cs="仿宋"/>
          <w:b/>
          <w:bCs/>
          <w:sz w:val="36"/>
          <w:szCs w:val="36"/>
          <w:highlight w:val="none"/>
        </w:rPr>
      </w:pPr>
    </w:p>
    <w:p w14:paraId="2F4FC63E">
      <w:pPr>
        <w:snapToGrid w:val="0"/>
        <w:spacing w:line="360" w:lineRule="auto"/>
        <w:jc w:val="center"/>
        <w:rPr>
          <w:rFonts w:hint="eastAsia" w:ascii="仿宋" w:hAnsi="仿宋" w:eastAsia="仿宋" w:cs="仿宋"/>
          <w:b/>
          <w:bCs/>
          <w:sz w:val="36"/>
          <w:szCs w:val="36"/>
          <w:highlight w:val="none"/>
        </w:rPr>
      </w:pPr>
    </w:p>
    <w:p w14:paraId="45595592">
      <w:pPr>
        <w:snapToGrid w:val="0"/>
        <w:spacing w:line="360" w:lineRule="auto"/>
        <w:jc w:val="center"/>
        <w:rPr>
          <w:rFonts w:hint="eastAsia" w:ascii="仿宋" w:hAnsi="仿宋" w:eastAsia="仿宋" w:cs="仿宋"/>
          <w:b/>
          <w:bCs/>
          <w:sz w:val="36"/>
          <w:szCs w:val="36"/>
          <w:highlight w:val="none"/>
        </w:rPr>
      </w:pPr>
    </w:p>
    <w:p w14:paraId="23BA996F">
      <w:pPr>
        <w:snapToGrid w:val="0"/>
        <w:spacing w:line="360" w:lineRule="auto"/>
        <w:jc w:val="center"/>
        <w:rPr>
          <w:rFonts w:hint="eastAsia" w:ascii="仿宋" w:hAnsi="仿宋" w:eastAsia="仿宋" w:cs="仿宋"/>
          <w:b/>
          <w:bCs/>
          <w:sz w:val="36"/>
          <w:szCs w:val="36"/>
          <w:highlight w:val="none"/>
        </w:rPr>
      </w:pPr>
    </w:p>
    <w:p w14:paraId="46E74150">
      <w:pPr>
        <w:snapToGrid w:val="0"/>
        <w:spacing w:line="360" w:lineRule="auto"/>
        <w:jc w:val="center"/>
        <w:rPr>
          <w:rFonts w:hint="eastAsia" w:ascii="仿宋" w:hAnsi="仿宋" w:eastAsia="仿宋" w:cs="仿宋"/>
          <w:b/>
          <w:bCs/>
          <w:sz w:val="36"/>
          <w:szCs w:val="36"/>
          <w:highlight w:val="none"/>
        </w:rPr>
      </w:pPr>
    </w:p>
    <w:p w14:paraId="4107DF3D">
      <w:pPr>
        <w:snapToGrid w:val="0"/>
        <w:spacing w:line="360" w:lineRule="auto"/>
        <w:jc w:val="center"/>
        <w:rPr>
          <w:rFonts w:hint="eastAsia" w:ascii="仿宋" w:hAnsi="仿宋" w:eastAsia="仿宋" w:cs="仿宋"/>
          <w:b/>
          <w:bCs/>
          <w:sz w:val="36"/>
          <w:szCs w:val="36"/>
          <w:highlight w:val="none"/>
        </w:rPr>
      </w:pPr>
    </w:p>
    <w:p w14:paraId="757D901F">
      <w:pPr>
        <w:snapToGrid w:val="0"/>
        <w:spacing w:line="360" w:lineRule="auto"/>
        <w:jc w:val="center"/>
        <w:rPr>
          <w:rFonts w:hint="eastAsia" w:ascii="仿宋" w:hAnsi="仿宋" w:eastAsia="仿宋" w:cs="仿宋"/>
          <w:b/>
          <w:bCs/>
          <w:sz w:val="36"/>
          <w:szCs w:val="36"/>
          <w:highlight w:val="none"/>
        </w:rPr>
      </w:pPr>
    </w:p>
    <w:p w14:paraId="1C684016">
      <w:pPr>
        <w:snapToGrid w:val="0"/>
        <w:spacing w:line="360" w:lineRule="auto"/>
        <w:jc w:val="center"/>
        <w:rPr>
          <w:rFonts w:hint="eastAsia" w:ascii="仿宋" w:hAnsi="仿宋" w:eastAsia="仿宋" w:cs="仿宋"/>
          <w:b/>
          <w:bCs/>
          <w:sz w:val="36"/>
          <w:szCs w:val="36"/>
          <w:highlight w:val="none"/>
        </w:rPr>
      </w:pPr>
    </w:p>
    <w:p w14:paraId="556561F5">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2"/>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163DC981">
      <w:pPr>
        <w:snapToGrid w:val="0"/>
        <w:spacing w:line="560" w:lineRule="exact"/>
        <w:ind w:firstLine="484" w:firstLineChars="201"/>
        <w:jc w:val="center"/>
        <w:rPr>
          <w:rFonts w:hint="eastAsia" w:ascii="仿宋" w:hAnsi="仿宋" w:eastAsia="仿宋" w:cs="仿宋"/>
          <w:b/>
          <w:bCs/>
          <w:sz w:val="24"/>
          <w:szCs w:val="24"/>
          <w:highlight w:val="none"/>
        </w:rPr>
      </w:pPr>
    </w:p>
    <w:p w14:paraId="206606ED">
      <w:pPr>
        <w:pStyle w:val="16"/>
        <w:rPr>
          <w:rFonts w:hint="eastAsia"/>
          <w:highlight w:val="none"/>
        </w:rPr>
      </w:pPr>
    </w:p>
    <w:p w14:paraId="471F5D50">
      <w:pPr>
        <w:pStyle w:val="25"/>
        <w:rPr>
          <w:rFonts w:hint="eastAsia"/>
          <w:highlight w:val="none"/>
        </w:rPr>
      </w:pPr>
    </w:p>
    <w:p w14:paraId="412CF194">
      <w:pPr>
        <w:rPr>
          <w:rFonts w:hint="eastAsia"/>
          <w:highlight w:val="none"/>
        </w:rPr>
      </w:pPr>
    </w:p>
    <w:p w14:paraId="07570080">
      <w:pPr>
        <w:pStyle w:val="16"/>
        <w:rPr>
          <w:rFonts w:hint="eastAsia"/>
          <w:highlight w:val="none"/>
        </w:rPr>
      </w:pPr>
    </w:p>
    <w:p w14:paraId="7FC1122B">
      <w:pPr>
        <w:pStyle w:val="25"/>
        <w:rPr>
          <w:rFonts w:hint="eastAsia"/>
          <w:highlight w:val="none"/>
        </w:rPr>
      </w:pPr>
    </w:p>
    <w:p w14:paraId="0863EEDA">
      <w:pPr>
        <w:rPr>
          <w:rFonts w:hint="eastAsia"/>
          <w:highlight w:val="none"/>
        </w:rPr>
      </w:pPr>
    </w:p>
    <w:p w14:paraId="7BF96801">
      <w:pPr>
        <w:pStyle w:val="16"/>
        <w:rPr>
          <w:rFonts w:hint="eastAsia"/>
          <w:highlight w:val="none"/>
        </w:rPr>
      </w:pPr>
    </w:p>
    <w:p w14:paraId="76295B79">
      <w:pPr>
        <w:pStyle w:val="25"/>
        <w:rPr>
          <w:rFonts w:hint="eastAsia"/>
          <w:highlight w:val="none"/>
        </w:rPr>
      </w:pPr>
    </w:p>
    <w:p w14:paraId="210A2E2F">
      <w:pPr>
        <w:rPr>
          <w:rFonts w:hint="eastAsia"/>
          <w:highlight w:val="none"/>
        </w:rPr>
      </w:pPr>
    </w:p>
    <w:p w14:paraId="0A499B3E">
      <w:pPr>
        <w:pStyle w:val="16"/>
        <w:rPr>
          <w:rFonts w:hint="eastAsia"/>
          <w:highlight w:val="none"/>
        </w:rPr>
      </w:pPr>
    </w:p>
    <w:p w14:paraId="6422AEAC">
      <w:pPr>
        <w:pStyle w:val="25"/>
        <w:rPr>
          <w:rFonts w:hint="eastAsia"/>
          <w:highlight w:val="none"/>
        </w:rPr>
      </w:pPr>
    </w:p>
    <w:p w14:paraId="68CD5728">
      <w:pPr>
        <w:rPr>
          <w:rFonts w:hint="eastAsia"/>
          <w:highlight w:val="none"/>
        </w:rPr>
      </w:pPr>
    </w:p>
    <w:p w14:paraId="3FF40261">
      <w:pPr>
        <w:pStyle w:val="16"/>
        <w:rPr>
          <w:rFonts w:hint="eastAsia"/>
          <w:highlight w:val="none"/>
        </w:rPr>
      </w:pPr>
    </w:p>
    <w:p w14:paraId="53E305D1">
      <w:pPr>
        <w:pStyle w:val="25"/>
        <w:rPr>
          <w:rFonts w:hint="eastAsia"/>
          <w:highlight w:val="none"/>
        </w:rPr>
      </w:pPr>
    </w:p>
    <w:p w14:paraId="7170AD88">
      <w:pPr>
        <w:rPr>
          <w:rFonts w:hint="eastAsia"/>
          <w:highlight w:val="none"/>
        </w:rPr>
      </w:pPr>
    </w:p>
    <w:p w14:paraId="609F5AB4">
      <w:pPr>
        <w:pStyle w:val="16"/>
        <w:rPr>
          <w:rFonts w:hint="eastAsia"/>
          <w:highlight w:val="none"/>
        </w:rPr>
      </w:pPr>
    </w:p>
    <w:p w14:paraId="0D01FE4B">
      <w:pPr>
        <w:pStyle w:val="25"/>
        <w:rPr>
          <w:rFonts w:hint="eastAsia"/>
          <w:highlight w:val="none"/>
        </w:rPr>
      </w:pPr>
    </w:p>
    <w:p w14:paraId="685F3C2A">
      <w:pPr>
        <w:rPr>
          <w:rFonts w:hint="eastAsia"/>
          <w:highlight w:val="none"/>
        </w:rPr>
      </w:pPr>
    </w:p>
    <w:p w14:paraId="391ECD38">
      <w:pPr>
        <w:pStyle w:val="16"/>
        <w:rPr>
          <w:rFonts w:hint="eastAsia"/>
          <w:highlight w:val="none"/>
        </w:rPr>
      </w:pPr>
    </w:p>
    <w:p w14:paraId="42213AF8">
      <w:pPr>
        <w:pStyle w:val="25"/>
        <w:rPr>
          <w:rFonts w:hint="eastAsia"/>
          <w:highlight w:val="none"/>
        </w:rPr>
      </w:pPr>
    </w:p>
    <w:p w14:paraId="54522DC2">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附通过网站查询信息记录，包含投标人及其法定代表人、委托代理人失信被执行人情况网页截图（省份为全部）</w:t>
      </w:r>
    </w:p>
    <w:p w14:paraId="411FB31D">
      <w:pPr>
        <w:rPr>
          <w:rFonts w:hint="eastAsia"/>
          <w:highlight w:val="none"/>
        </w:rPr>
      </w:pPr>
    </w:p>
    <w:p w14:paraId="5DE14636">
      <w:pPr>
        <w:pStyle w:val="16"/>
        <w:rPr>
          <w:rFonts w:hint="eastAsia"/>
          <w:highlight w:val="none"/>
        </w:rPr>
      </w:pPr>
    </w:p>
    <w:p w14:paraId="52EC921C">
      <w:pPr>
        <w:pStyle w:val="25"/>
        <w:rPr>
          <w:rFonts w:hint="eastAsia"/>
          <w:highlight w:val="none"/>
        </w:rPr>
      </w:pPr>
    </w:p>
    <w:p w14:paraId="362B4969">
      <w:pPr>
        <w:rPr>
          <w:rFonts w:hint="eastAsia"/>
          <w:highlight w:val="none"/>
        </w:rPr>
      </w:pPr>
    </w:p>
    <w:p w14:paraId="7FC86530">
      <w:pPr>
        <w:pStyle w:val="16"/>
        <w:rPr>
          <w:rFonts w:hint="eastAsia"/>
          <w:highlight w:val="none"/>
        </w:rPr>
      </w:pPr>
    </w:p>
    <w:p w14:paraId="542913F1">
      <w:pPr>
        <w:pStyle w:val="25"/>
        <w:rPr>
          <w:rFonts w:hint="eastAsia"/>
          <w:highlight w:val="none"/>
        </w:rPr>
      </w:pPr>
    </w:p>
    <w:p w14:paraId="5F0B138C">
      <w:pPr>
        <w:rPr>
          <w:rFonts w:hint="eastAsia"/>
          <w:highlight w:val="none"/>
        </w:rPr>
      </w:pPr>
    </w:p>
    <w:p w14:paraId="16BEBA58">
      <w:pPr>
        <w:pStyle w:val="16"/>
        <w:rPr>
          <w:rFonts w:hint="eastAsia"/>
          <w:highlight w:val="none"/>
        </w:rPr>
      </w:pPr>
    </w:p>
    <w:p w14:paraId="3D8B9D05">
      <w:pPr>
        <w:pStyle w:val="25"/>
        <w:rPr>
          <w:rFonts w:hint="eastAsia"/>
          <w:highlight w:val="none"/>
        </w:rPr>
      </w:pPr>
    </w:p>
    <w:p w14:paraId="6CF22481">
      <w:pPr>
        <w:rPr>
          <w:rFonts w:hint="eastAsia"/>
          <w:highlight w:val="none"/>
        </w:rPr>
      </w:pPr>
    </w:p>
    <w:p w14:paraId="7137C524">
      <w:pPr>
        <w:pStyle w:val="16"/>
        <w:rPr>
          <w:rFonts w:hint="eastAsia"/>
          <w:highlight w:val="none"/>
        </w:rPr>
      </w:pPr>
    </w:p>
    <w:p w14:paraId="17B019F2">
      <w:pPr>
        <w:pStyle w:val="16"/>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0ECB7550">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个体工商户可提供通过“信用中国”各省级分站网站下载的无“严重失信主体名单”记录或无“失信惩戒信息”记录的公共信用信息报告）</w:t>
      </w:r>
    </w:p>
    <w:p w14:paraId="4D0E9AF2">
      <w:pPr>
        <w:snapToGrid w:val="0"/>
        <w:spacing w:line="360" w:lineRule="auto"/>
        <w:jc w:val="center"/>
        <w:rPr>
          <w:rFonts w:hint="eastAsia" w:ascii="仿宋" w:hAnsi="仿宋" w:eastAsia="仿宋" w:cs="仿宋"/>
          <w:b/>
          <w:bCs/>
          <w:sz w:val="24"/>
          <w:szCs w:val="24"/>
          <w:highlight w:val="none"/>
        </w:rPr>
      </w:pPr>
    </w:p>
    <w:p w14:paraId="40514BBD">
      <w:pPr>
        <w:pStyle w:val="36"/>
        <w:rPr>
          <w:rFonts w:hint="eastAsia" w:ascii="仿宋" w:hAnsi="仿宋" w:eastAsia="仿宋" w:cs="仿宋"/>
          <w:b/>
          <w:bCs/>
          <w:sz w:val="24"/>
          <w:szCs w:val="24"/>
          <w:highlight w:val="none"/>
        </w:rPr>
      </w:pPr>
    </w:p>
    <w:p w14:paraId="60C16C06">
      <w:pPr>
        <w:pStyle w:val="36"/>
        <w:rPr>
          <w:rFonts w:hint="eastAsia" w:ascii="仿宋" w:hAnsi="仿宋" w:eastAsia="仿宋" w:cs="仿宋"/>
          <w:b/>
          <w:bCs/>
          <w:sz w:val="24"/>
          <w:szCs w:val="24"/>
          <w:highlight w:val="none"/>
          <w:lang w:val="en-US" w:eastAsia="zh-CN"/>
        </w:rPr>
      </w:pPr>
    </w:p>
    <w:p w14:paraId="77A27828">
      <w:pPr>
        <w:pStyle w:val="36"/>
        <w:rPr>
          <w:rFonts w:hint="eastAsia" w:ascii="仿宋" w:hAnsi="仿宋" w:eastAsia="仿宋" w:cs="仿宋"/>
          <w:b/>
          <w:bCs/>
          <w:sz w:val="24"/>
          <w:szCs w:val="24"/>
          <w:highlight w:val="none"/>
        </w:rPr>
      </w:pPr>
    </w:p>
    <w:p w14:paraId="1C8F4C8E">
      <w:pPr>
        <w:pStyle w:val="36"/>
        <w:rPr>
          <w:rFonts w:hint="eastAsia" w:ascii="仿宋" w:hAnsi="仿宋" w:eastAsia="仿宋" w:cs="仿宋"/>
          <w:b/>
          <w:bCs/>
          <w:sz w:val="24"/>
          <w:szCs w:val="24"/>
          <w:highlight w:val="none"/>
        </w:rPr>
      </w:pPr>
    </w:p>
    <w:p w14:paraId="45BBA529">
      <w:pPr>
        <w:pStyle w:val="36"/>
        <w:rPr>
          <w:rFonts w:hint="eastAsia" w:ascii="仿宋" w:hAnsi="仿宋" w:eastAsia="仿宋" w:cs="仿宋"/>
          <w:b/>
          <w:bCs/>
          <w:sz w:val="24"/>
          <w:szCs w:val="24"/>
          <w:highlight w:val="none"/>
        </w:rPr>
      </w:pPr>
    </w:p>
    <w:p w14:paraId="581E2FAE">
      <w:pPr>
        <w:pStyle w:val="36"/>
        <w:rPr>
          <w:rFonts w:hint="eastAsia" w:ascii="仿宋" w:hAnsi="仿宋" w:eastAsia="仿宋" w:cs="仿宋"/>
          <w:b/>
          <w:bCs/>
          <w:sz w:val="24"/>
          <w:szCs w:val="24"/>
          <w:highlight w:val="none"/>
        </w:rPr>
      </w:pPr>
    </w:p>
    <w:p w14:paraId="5DBE563D">
      <w:pPr>
        <w:pStyle w:val="36"/>
        <w:rPr>
          <w:rFonts w:hint="eastAsia" w:ascii="仿宋" w:hAnsi="仿宋" w:eastAsia="仿宋" w:cs="仿宋"/>
          <w:b/>
          <w:bCs/>
          <w:sz w:val="24"/>
          <w:szCs w:val="24"/>
          <w:highlight w:val="none"/>
        </w:rPr>
      </w:pPr>
    </w:p>
    <w:p w14:paraId="32BDFC24">
      <w:pPr>
        <w:pStyle w:val="36"/>
        <w:rPr>
          <w:rFonts w:hint="eastAsia" w:ascii="仿宋" w:hAnsi="仿宋" w:eastAsia="仿宋" w:cs="仿宋"/>
          <w:b/>
          <w:bCs/>
          <w:sz w:val="24"/>
          <w:szCs w:val="24"/>
          <w:highlight w:val="none"/>
        </w:rPr>
      </w:pPr>
    </w:p>
    <w:p w14:paraId="43E6D516">
      <w:pPr>
        <w:pStyle w:val="36"/>
        <w:rPr>
          <w:rFonts w:hint="eastAsia" w:ascii="仿宋" w:hAnsi="仿宋" w:eastAsia="仿宋" w:cs="仿宋"/>
          <w:b/>
          <w:bCs/>
          <w:sz w:val="24"/>
          <w:szCs w:val="24"/>
          <w:highlight w:val="none"/>
        </w:rPr>
      </w:pPr>
    </w:p>
    <w:p w14:paraId="2D3AD927">
      <w:pPr>
        <w:pStyle w:val="36"/>
        <w:rPr>
          <w:rFonts w:hint="eastAsia" w:ascii="仿宋" w:hAnsi="仿宋" w:eastAsia="仿宋" w:cs="仿宋"/>
          <w:b/>
          <w:bCs/>
          <w:sz w:val="24"/>
          <w:szCs w:val="24"/>
          <w:highlight w:val="none"/>
        </w:rPr>
      </w:pPr>
    </w:p>
    <w:p w14:paraId="031E7A6C">
      <w:pPr>
        <w:pStyle w:val="36"/>
        <w:rPr>
          <w:rFonts w:hint="eastAsia" w:ascii="仿宋" w:hAnsi="仿宋" w:eastAsia="仿宋" w:cs="仿宋"/>
          <w:b/>
          <w:bCs/>
          <w:sz w:val="24"/>
          <w:szCs w:val="24"/>
          <w:highlight w:val="none"/>
        </w:rPr>
      </w:pPr>
    </w:p>
    <w:p w14:paraId="2C5C2444">
      <w:pPr>
        <w:pStyle w:val="36"/>
        <w:rPr>
          <w:rFonts w:hint="eastAsia" w:ascii="仿宋" w:hAnsi="仿宋" w:eastAsia="仿宋" w:cs="仿宋"/>
          <w:b/>
          <w:bCs/>
          <w:sz w:val="24"/>
          <w:szCs w:val="24"/>
          <w:highlight w:val="none"/>
        </w:rPr>
      </w:pPr>
    </w:p>
    <w:p w14:paraId="18C2423D">
      <w:pPr>
        <w:pStyle w:val="36"/>
        <w:rPr>
          <w:rFonts w:hint="eastAsia" w:ascii="仿宋" w:hAnsi="仿宋" w:eastAsia="仿宋" w:cs="仿宋"/>
          <w:b/>
          <w:bCs/>
          <w:sz w:val="24"/>
          <w:szCs w:val="24"/>
          <w:highlight w:val="none"/>
        </w:rPr>
      </w:pPr>
    </w:p>
    <w:p w14:paraId="0F19541B">
      <w:pPr>
        <w:pStyle w:val="36"/>
        <w:rPr>
          <w:rFonts w:hint="eastAsia" w:ascii="仿宋" w:hAnsi="仿宋" w:eastAsia="仿宋" w:cs="仿宋"/>
          <w:b/>
          <w:bCs/>
          <w:sz w:val="24"/>
          <w:szCs w:val="24"/>
          <w:highlight w:val="none"/>
        </w:rPr>
      </w:pPr>
    </w:p>
    <w:p w14:paraId="4416CCEC">
      <w:pPr>
        <w:pStyle w:val="36"/>
        <w:rPr>
          <w:rFonts w:hint="eastAsia" w:ascii="仿宋" w:hAnsi="仿宋" w:eastAsia="仿宋" w:cs="仿宋"/>
          <w:b/>
          <w:bCs/>
          <w:sz w:val="24"/>
          <w:szCs w:val="24"/>
          <w:highlight w:val="none"/>
        </w:rPr>
      </w:pPr>
    </w:p>
    <w:p w14:paraId="5CE5305A">
      <w:pPr>
        <w:pStyle w:val="36"/>
        <w:rPr>
          <w:rFonts w:hint="eastAsia" w:ascii="仿宋" w:hAnsi="仿宋" w:eastAsia="仿宋" w:cs="仿宋"/>
          <w:b/>
          <w:bCs/>
          <w:sz w:val="24"/>
          <w:szCs w:val="24"/>
          <w:highlight w:val="none"/>
        </w:rPr>
      </w:pPr>
    </w:p>
    <w:p w14:paraId="725A28CC">
      <w:pPr>
        <w:pStyle w:val="36"/>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b/>
          <w:bCs/>
          <w:color w:val="auto"/>
          <w:sz w:val="24"/>
          <w:szCs w:val="24"/>
          <w:highlight w:val="none"/>
          <w:lang w:eastAsia="zh-CN"/>
        </w:rPr>
        <w:t>月1日至查询日止，查询日期不早于招标文件开始获取日期。</w:t>
      </w:r>
    </w:p>
    <w:p w14:paraId="28BBE2D0">
      <w:pPr>
        <w:snapToGrid w:val="0"/>
        <w:spacing w:line="360" w:lineRule="auto"/>
        <w:jc w:val="center"/>
        <w:rPr>
          <w:rFonts w:hint="eastAsia" w:ascii="仿宋" w:hAnsi="仿宋" w:eastAsia="仿宋" w:cs="仿宋"/>
          <w:b/>
          <w:bCs/>
          <w:sz w:val="30"/>
          <w:szCs w:val="30"/>
          <w:highlight w:val="none"/>
        </w:rPr>
      </w:pPr>
    </w:p>
    <w:p w14:paraId="42B2DCFC">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投标人认为需要提供的其他资质资格证明文件</w:t>
      </w:r>
    </w:p>
    <w:p w14:paraId="08F8108C">
      <w:pPr>
        <w:snapToGrid w:val="0"/>
        <w:spacing w:line="360" w:lineRule="auto"/>
        <w:ind w:left="559" w:leftChars="266" w:firstLine="2400" w:firstLineChars="1000"/>
        <w:jc w:val="left"/>
        <w:rPr>
          <w:rFonts w:ascii="仿宋" w:hAnsi="仿宋" w:eastAsia="仿宋" w:cs="仿宋"/>
          <w:sz w:val="24"/>
          <w:szCs w:val="24"/>
          <w:highlight w:val="none"/>
        </w:rPr>
      </w:pPr>
    </w:p>
    <w:p w14:paraId="2C79E3CA">
      <w:pPr>
        <w:snapToGrid w:val="0"/>
        <w:spacing w:line="360" w:lineRule="auto"/>
        <w:ind w:left="559" w:leftChars="266" w:firstLine="2400" w:firstLineChars="1000"/>
        <w:jc w:val="left"/>
        <w:rPr>
          <w:rFonts w:ascii="仿宋" w:hAnsi="仿宋" w:eastAsia="仿宋" w:cs="仿宋"/>
          <w:sz w:val="24"/>
          <w:szCs w:val="24"/>
          <w:highlight w:val="none"/>
        </w:rPr>
      </w:pPr>
    </w:p>
    <w:p w14:paraId="799D4C29">
      <w:pPr>
        <w:snapToGrid w:val="0"/>
        <w:spacing w:line="360" w:lineRule="auto"/>
        <w:ind w:left="559" w:leftChars="266" w:firstLine="2400" w:firstLineChars="1000"/>
        <w:jc w:val="left"/>
        <w:rPr>
          <w:rFonts w:ascii="仿宋" w:hAnsi="仿宋" w:eastAsia="仿宋" w:cs="仿宋"/>
          <w:sz w:val="24"/>
          <w:szCs w:val="24"/>
          <w:highlight w:val="none"/>
        </w:rPr>
      </w:pPr>
    </w:p>
    <w:p w14:paraId="57AB5200">
      <w:pPr>
        <w:snapToGrid w:val="0"/>
        <w:spacing w:line="360" w:lineRule="auto"/>
        <w:ind w:left="559" w:leftChars="266" w:firstLine="2400" w:firstLineChars="1000"/>
        <w:jc w:val="left"/>
        <w:rPr>
          <w:rFonts w:ascii="仿宋" w:hAnsi="仿宋" w:eastAsia="仿宋" w:cs="仿宋"/>
          <w:sz w:val="24"/>
          <w:szCs w:val="24"/>
          <w:highlight w:val="none"/>
        </w:rPr>
      </w:pPr>
    </w:p>
    <w:p w14:paraId="58B398EE">
      <w:pPr>
        <w:snapToGrid w:val="0"/>
        <w:spacing w:line="360" w:lineRule="auto"/>
        <w:ind w:left="559" w:leftChars="266" w:firstLine="2400" w:firstLineChars="1000"/>
        <w:jc w:val="left"/>
        <w:rPr>
          <w:rFonts w:ascii="仿宋" w:hAnsi="仿宋" w:eastAsia="仿宋" w:cs="仿宋"/>
          <w:sz w:val="24"/>
          <w:szCs w:val="24"/>
          <w:highlight w:val="none"/>
        </w:rPr>
      </w:pPr>
    </w:p>
    <w:p w14:paraId="458ADC1B">
      <w:pPr>
        <w:snapToGrid w:val="0"/>
        <w:spacing w:line="360" w:lineRule="auto"/>
        <w:ind w:left="559" w:leftChars="266" w:firstLine="2400" w:firstLineChars="1000"/>
        <w:jc w:val="left"/>
        <w:rPr>
          <w:rFonts w:ascii="仿宋" w:hAnsi="仿宋" w:eastAsia="仿宋" w:cs="仿宋"/>
          <w:sz w:val="24"/>
          <w:szCs w:val="24"/>
          <w:highlight w:val="none"/>
        </w:rPr>
      </w:pPr>
    </w:p>
    <w:p w14:paraId="46769759">
      <w:pPr>
        <w:pStyle w:val="36"/>
        <w:rPr>
          <w:rFonts w:ascii="仿宋" w:hAnsi="仿宋" w:eastAsia="仿宋" w:cs="仿宋"/>
          <w:szCs w:val="24"/>
          <w:highlight w:val="none"/>
        </w:rPr>
      </w:pPr>
    </w:p>
    <w:p w14:paraId="1D39A614">
      <w:pPr>
        <w:pStyle w:val="36"/>
        <w:rPr>
          <w:rFonts w:ascii="仿宋" w:hAnsi="仿宋" w:eastAsia="仿宋" w:cs="仿宋"/>
          <w:szCs w:val="24"/>
          <w:highlight w:val="none"/>
        </w:rPr>
      </w:pPr>
    </w:p>
    <w:p w14:paraId="133CF298">
      <w:pPr>
        <w:pStyle w:val="36"/>
        <w:rPr>
          <w:rFonts w:ascii="仿宋" w:hAnsi="仿宋" w:eastAsia="仿宋" w:cs="仿宋"/>
          <w:szCs w:val="24"/>
          <w:highlight w:val="none"/>
        </w:rPr>
      </w:pPr>
    </w:p>
    <w:p w14:paraId="3E87A280">
      <w:pPr>
        <w:pStyle w:val="36"/>
        <w:rPr>
          <w:rFonts w:ascii="仿宋" w:hAnsi="仿宋" w:eastAsia="仿宋" w:cs="仿宋"/>
          <w:szCs w:val="24"/>
          <w:highlight w:val="none"/>
        </w:rPr>
      </w:pPr>
    </w:p>
    <w:p w14:paraId="64BD9FCF">
      <w:pPr>
        <w:pStyle w:val="36"/>
        <w:rPr>
          <w:rFonts w:ascii="仿宋" w:hAnsi="仿宋" w:eastAsia="仿宋" w:cs="仿宋"/>
          <w:szCs w:val="24"/>
          <w:highlight w:val="none"/>
        </w:rPr>
      </w:pPr>
    </w:p>
    <w:p w14:paraId="5B3DA1C9">
      <w:pPr>
        <w:pStyle w:val="36"/>
        <w:rPr>
          <w:rFonts w:ascii="仿宋" w:hAnsi="仿宋" w:eastAsia="仿宋" w:cs="仿宋"/>
          <w:szCs w:val="24"/>
          <w:highlight w:val="none"/>
        </w:rPr>
      </w:pPr>
    </w:p>
    <w:p w14:paraId="7FEB30EF">
      <w:pPr>
        <w:pStyle w:val="36"/>
        <w:rPr>
          <w:rFonts w:ascii="仿宋" w:hAnsi="仿宋" w:eastAsia="仿宋" w:cs="仿宋"/>
          <w:szCs w:val="24"/>
          <w:highlight w:val="none"/>
        </w:rPr>
      </w:pPr>
    </w:p>
    <w:p w14:paraId="08DDE325">
      <w:pPr>
        <w:pStyle w:val="36"/>
        <w:rPr>
          <w:rFonts w:ascii="仿宋" w:hAnsi="仿宋" w:eastAsia="仿宋" w:cs="仿宋"/>
          <w:szCs w:val="24"/>
          <w:highlight w:val="none"/>
        </w:rPr>
      </w:pPr>
    </w:p>
    <w:p w14:paraId="2D731703">
      <w:pPr>
        <w:pStyle w:val="36"/>
        <w:rPr>
          <w:rFonts w:ascii="仿宋" w:hAnsi="仿宋" w:eastAsia="仿宋" w:cs="仿宋"/>
          <w:szCs w:val="24"/>
          <w:highlight w:val="none"/>
        </w:rPr>
      </w:pPr>
    </w:p>
    <w:p w14:paraId="447FAD12">
      <w:pPr>
        <w:pStyle w:val="36"/>
        <w:rPr>
          <w:rFonts w:ascii="仿宋" w:hAnsi="仿宋" w:eastAsia="仿宋" w:cs="仿宋"/>
          <w:szCs w:val="24"/>
          <w:highlight w:val="none"/>
        </w:rPr>
      </w:pPr>
    </w:p>
    <w:p w14:paraId="4D4D0454">
      <w:pPr>
        <w:spacing w:line="360" w:lineRule="exact"/>
        <w:ind w:right="1120"/>
        <w:rPr>
          <w:rFonts w:hint="eastAsia" w:ascii="仿宋" w:hAnsi="仿宋" w:eastAsia="仿宋" w:cs="仿宋"/>
          <w:sz w:val="24"/>
          <w:highlight w:val="none"/>
        </w:rPr>
      </w:pPr>
    </w:p>
    <w:p w14:paraId="17BDC4E0">
      <w:pPr>
        <w:spacing w:line="360" w:lineRule="exact"/>
        <w:ind w:right="1120"/>
        <w:rPr>
          <w:rFonts w:hint="eastAsia" w:ascii="仿宋" w:hAnsi="仿宋" w:eastAsia="仿宋" w:cs="仿宋"/>
          <w:sz w:val="24"/>
          <w:highlight w:val="none"/>
        </w:rPr>
      </w:pPr>
    </w:p>
    <w:p w14:paraId="47D460CD">
      <w:pPr>
        <w:spacing w:line="360" w:lineRule="exact"/>
        <w:ind w:right="1120" w:firstLine="3000" w:firstLineChars="1250"/>
        <w:rPr>
          <w:rFonts w:hint="eastAsia" w:ascii="仿宋" w:hAnsi="仿宋" w:eastAsia="仿宋" w:cs="仿宋"/>
          <w:sz w:val="24"/>
          <w:highlight w:val="none"/>
        </w:rPr>
      </w:pPr>
    </w:p>
    <w:p w14:paraId="29133DA9">
      <w:pPr>
        <w:spacing w:line="360" w:lineRule="exact"/>
        <w:ind w:right="1120" w:firstLine="3000" w:firstLineChars="1250"/>
        <w:rPr>
          <w:rFonts w:hint="eastAsia" w:ascii="仿宋" w:hAnsi="仿宋" w:eastAsia="仿宋" w:cs="仿宋"/>
          <w:sz w:val="24"/>
          <w:highlight w:val="none"/>
        </w:rPr>
      </w:pPr>
    </w:p>
    <w:p w14:paraId="5299AA6E">
      <w:pPr>
        <w:spacing w:line="360" w:lineRule="exact"/>
        <w:ind w:right="1120" w:firstLine="3000" w:firstLineChars="1250"/>
        <w:rPr>
          <w:rFonts w:hint="eastAsia" w:ascii="仿宋" w:hAnsi="仿宋" w:eastAsia="仿宋" w:cs="仿宋"/>
          <w:sz w:val="24"/>
          <w:highlight w:val="none"/>
        </w:rPr>
      </w:pPr>
    </w:p>
    <w:p w14:paraId="63B860D6">
      <w:pPr>
        <w:spacing w:line="360" w:lineRule="exact"/>
        <w:ind w:right="1120" w:firstLine="3000" w:firstLineChars="1250"/>
        <w:rPr>
          <w:rFonts w:hint="eastAsia" w:ascii="仿宋" w:hAnsi="仿宋" w:eastAsia="仿宋" w:cs="仿宋"/>
          <w:sz w:val="24"/>
          <w:highlight w:val="none"/>
        </w:rPr>
      </w:pPr>
    </w:p>
    <w:p w14:paraId="2F2C7715">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4EF2FBF8">
      <w:pPr>
        <w:pStyle w:val="89"/>
        <w:ind w:left="480" w:firstLine="0"/>
        <w:rPr>
          <w:rFonts w:ascii="仿宋" w:hAnsi="仿宋" w:eastAsia="仿宋" w:cs="仿宋"/>
          <w:bCs/>
          <w:szCs w:val="24"/>
          <w:highlight w:val="none"/>
        </w:rPr>
      </w:pPr>
    </w:p>
    <w:p w14:paraId="291D4536">
      <w:pPr>
        <w:pStyle w:val="89"/>
        <w:ind w:firstLine="0"/>
        <w:rPr>
          <w:rFonts w:ascii="仿宋" w:hAnsi="仿宋" w:eastAsia="仿宋" w:cs="仿宋"/>
          <w:bCs/>
          <w:szCs w:val="24"/>
          <w:highlight w:val="none"/>
        </w:rPr>
      </w:pPr>
    </w:p>
    <w:p w14:paraId="1830E7F0">
      <w:pPr>
        <w:pStyle w:val="89"/>
        <w:ind w:left="480" w:firstLine="0"/>
        <w:rPr>
          <w:rFonts w:ascii="仿宋" w:hAnsi="仿宋" w:eastAsia="仿宋" w:cs="仿宋"/>
          <w:bCs/>
          <w:szCs w:val="24"/>
          <w:highlight w:val="none"/>
        </w:rPr>
      </w:pPr>
    </w:p>
    <w:p w14:paraId="45B260EF">
      <w:pPr>
        <w:pStyle w:val="23"/>
        <w:tabs>
          <w:tab w:val="left" w:pos="580"/>
        </w:tabs>
        <w:ind w:right="560"/>
        <w:jc w:val="center"/>
        <w:rPr>
          <w:rFonts w:hint="eastAsia" w:ascii="仿宋" w:hAnsi="仿宋" w:eastAsia="仿宋" w:cs="仿宋"/>
          <w:b/>
          <w:bCs/>
          <w:sz w:val="36"/>
          <w:szCs w:val="36"/>
          <w:highlight w:val="none"/>
        </w:rPr>
      </w:pPr>
    </w:p>
    <w:p w14:paraId="7F3D7568">
      <w:pPr>
        <w:pStyle w:val="23"/>
        <w:tabs>
          <w:tab w:val="left" w:pos="580"/>
        </w:tabs>
        <w:ind w:right="560"/>
        <w:jc w:val="center"/>
        <w:rPr>
          <w:rFonts w:hint="eastAsia" w:ascii="仿宋" w:hAnsi="仿宋" w:eastAsia="仿宋" w:cs="仿宋"/>
          <w:b/>
          <w:bCs/>
          <w:sz w:val="36"/>
          <w:szCs w:val="36"/>
          <w:highlight w:val="none"/>
        </w:rPr>
      </w:pPr>
    </w:p>
    <w:p w14:paraId="3D511014">
      <w:pPr>
        <w:pStyle w:val="23"/>
        <w:tabs>
          <w:tab w:val="left" w:pos="580"/>
        </w:tabs>
        <w:ind w:right="560"/>
        <w:jc w:val="center"/>
        <w:rPr>
          <w:rFonts w:hint="eastAsia" w:ascii="仿宋" w:hAnsi="仿宋" w:eastAsia="仿宋" w:cs="仿宋"/>
          <w:b/>
          <w:bCs/>
          <w:sz w:val="36"/>
          <w:szCs w:val="36"/>
          <w:highlight w:val="none"/>
        </w:rPr>
      </w:pPr>
    </w:p>
    <w:p w14:paraId="032A8CAA">
      <w:pPr>
        <w:pStyle w:val="23"/>
        <w:tabs>
          <w:tab w:val="left" w:pos="580"/>
        </w:tabs>
        <w:ind w:right="560"/>
        <w:jc w:val="center"/>
        <w:rPr>
          <w:rFonts w:hint="eastAsia" w:ascii="仿宋" w:hAnsi="仿宋" w:eastAsia="仿宋" w:cs="仿宋"/>
          <w:b/>
          <w:bCs/>
          <w:sz w:val="36"/>
          <w:szCs w:val="36"/>
          <w:highlight w:val="none"/>
        </w:rPr>
      </w:pPr>
    </w:p>
    <w:p w14:paraId="7C8FB68B">
      <w:pPr>
        <w:pStyle w:val="23"/>
        <w:tabs>
          <w:tab w:val="left" w:pos="580"/>
        </w:tabs>
        <w:ind w:right="560"/>
        <w:jc w:val="center"/>
        <w:rPr>
          <w:rFonts w:hint="eastAsia" w:ascii="仿宋" w:hAnsi="仿宋" w:eastAsia="仿宋" w:cs="仿宋"/>
          <w:b/>
          <w:bCs/>
          <w:sz w:val="36"/>
          <w:szCs w:val="36"/>
          <w:highlight w:val="none"/>
        </w:rPr>
      </w:pPr>
    </w:p>
    <w:p w14:paraId="43672F2F">
      <w:pPr>
        <w:pStyle w:val="23"/>
        <w:jc w:val="center"/>
        <w:rPr>
          <w:rFonts w:hint="eastAsia" w:ascii="仿宋" w:hAnsi="仿宋" w:eastAsia="仿宋" w:cs="仿宋"/>
          <w:b/>
          <w:bCs/>
          <w:sz w:val="30"/>
          <w:szCs w:val="30"/>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投标人或</w:t>
      </w:r>
      <w:r>
        <w:rPr>
          <w:rFonts w:hint="eastAsia" w:ascii="仿宋" w:hAnsi="仿宋" w:eastAsia="仿宋" w:cs="仿宋"/>
          <w:b/>
          <w:bCs/>
          <w:sz w:val="30"/>
          <w:szCs w:val="30"/>
          <w:highlight w:val="none"/>
          <w:lang w:val="en-US" w:eastAsia="zh-CN"/>
        </w:rPr>
        <w:t>生产厂家</w:t>
      </w:r>
      <w:r>
        <w:rPr>
          <w:rFonts w:hint="eastAsia" w:ascii="仿宋" w:hAnsi="仿宋" w:eastAsia="仿宋" w:cs="仿宋"/>
          <w:b/>
          <w:bCs/>
          <w:sz w:val="30"/>
          <w:szCs w:val="30"/>
          <w:highlight w:val="none"/>
        </w:rPr>
        <w:t>202</w:t>
      </w:r>
      <w:r>
        <w:rPr>
          <w:rFonts w:hint="eastAsia" w:ascii="仿宋" w:hAnsi="仿宋" w:eastAsia="仿宋" w:cs="仿宋"/>
          <w:b/>
          <w:bCs/>
          <w:sz w:val="30"/>
          <w:szCs w:val="30"/>
          <w:highlight w:val="none"/>
          <w:lang w:val="en-US" w:eastAsia="zh-CN"/>
        </w:rPr>
        <w:t>3</w:t>
      </w:r>
      <w:r>
        <w:rPr>
          <w:rFonts w:hint="eastAsia" w:ascii="仿宋" w:hAnsi="仿宋" w:eastAsia="仿宋" w:cs="仿宋"/>
          <w:b/>
          <w:bCs/>
          <w:sz w:val="30"/>
          <w:szCs w:val="30"/>
          <w:highlight w:val="none"/>
        </w:rPr>
        <w:t>年1月1日至今承揽的类似项目业绩表</w:t>
      </w:r>
    </w:p>
    <w:tbl>
      <w:tblPr>
        <w:tblStyle w:val="41"/>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115"/>
        <w:gridCol w:w="1761"/>
        <w:gridCol w:w="1427"/>
        <w:gridCol w:w="1426"/>
        <w:gridCol w:w="1602"/>
      </w:tblGrid>
      <w:tr w14:paraId="46040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986" w:type="dxa"/>
            <w:noWrap w:val="0"/>
            <w:vAlign w:val="center"/>
          </w:tcPr>
          <w:p w14:paraId="2814628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115" w:type="dxa"/>
            <w:noWrap w:val="0"/>
            <w:vAlign w:val="center"/>
          </w:tcPr>
          <w:p w14:paraId="0BFB74FB">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1761" w:type="dxa"/>
            <w:noWrap w:val="0"/>
            <w:vAlign w:val="center"/>
          </w:tcPr>
          <w:p w14:paraId="59CF1E7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427" w:type="dxa"/>
            <w:noWrap w:val="0"/>
            <w:vAlign w:val="center"/>
          </w:tcPr>
          <w:p w14:paraId="5A97897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签订</w:t>
            </w:r>
            <w:r>
              <w:rPr>
                <w:rFonts w:hint="eastAsia" w:ascii="仿宋" w:hAnsi="仿宋" w:eastAsia="仿宋" w:cs="仿宋"/>
                <w:sz w:val="24"/>
                <w:szCs w:val="24"/>
                <w:highlight w:val="none"/>
              </w:rPr>
              <w:t>时间</w:t>
            </w:r>
          </w:p>
        </w:tc>
        <w:tc>
          <w:tcPr>
            <w:tcW w:w="1426" w:type="dxa"/>
            <w:noWrap w:val="0"/>
            <w:vAlign w:val="center"/>
          </w:tcPr>
          <w:p w14:paraId="35000E8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合同金额</w:t>
            </w:r>
          </w:p>
        </w:tc>
        <w:tc>
          <w:tcPr>
            <w:tcW w:w="1602" w:type="dxa"/>
            <w:noWrap w:val="0"/>
            <w:vAlign w:val="center"/>
          </w:tcPr>
          <w:p w14:paraId="00B6B0E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696A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2FB5BB80">
            <w:pPr>
              <w:rPr>
                <w:rFonts w:hint="eastAsia" w:ascii="仿宋" w:hAnsi="仿宋" w:eastAsia="仿宋" w:cs="仿宋"/>
                <w:sz w:val="24"/>
                <w:szCs w:val="24"/>
                <w:highlight w:val="none"/>
              </w:rPr>
            </w:pPr>
          </w:p>
        </w:tc>
        <w:tc>
          <w:tcPr>
            <w:tcW w:w="2115" w:type="dxa"/>
            <w:noWrap w:val="0"/>
            <w:vAlign w:val="center"/>
          </w:tcPr>
          <w:p w14:paraId="1E4D1A65">
            <w:pPr>
              <w:rPr>
                <w:rFonts w:hint="eastAsia" w:ascii="仿宋" w:hAnsi="仿宋" w:eastAsia="仿宋" w:cs="仿宋"/>
                <w:sz w:val="24"/>
                <w:szCs w:val="24"/>
                <w:highlight w:val="none"/>
              </w:rPr>
            </w:pPr>
          </w:p>
        </w:tc>
        <w:tc>
          <w:tcPr>
            <w:tcW w:w="1761" w:type="dxa"/>
            <w:noWrap w:val="0"/>
            <w:vAlign w:val="center"/>
          </w:tcPr>
          <w:p w14:paraId="6083D8E7">
            <w:pPr>
              <w:rPr>
                <w:rFonts w:hint="eastAsia" w:ascii="仿宋" w:hAnsi="仿宋" w:eastAsia="仿宋" w:cs="仿宋"/>
                <w:sz w:val="24"/>
                <w:szCs w:val="24"/>
                <w:highlight w:val="none"/>
              </w:rPr>
            </w:pPr>
          </w:p>
        </w:tc>
        <w:tc>
          <w:tcPr>
            <w:tcW w:w="1427" w:type="dxa"/>
            <w:noWrap w:val="0"/>
            <w:vAlign w:val="center"/>
          </w:tcPr>
          <w:p w14:paraId="12A4FDFD">
            <w:pPr>
              <w:rPr>
                <w:rFonts w:hint="eastAsia" w:ascii="仿宋" w:hAnsi="仿宋" w:eastAsia="仿宋" w:cs="仿宋"/>
                <w:sz w:val="24"/>
                <w:szCs w:val="24"/>
                <w:highlight w:val="none"/>
              </w:rPr>
            </w:pPr>
          </w:p>
        </w:tc>
        <w:tc>
          <w:tcPr>
            <w:tcW w:w="1426" w:type="dxa"/>
            <w:noWrap w:val="0"/>
            <w:vAlign w:val="center"/>
          </w:tcPr>
          <w:p w14:paraId="047718BA">
            <w:pPr>
              <w:rPr>
                <w:rFonts w:hint="eastAsia" w:ascii="仿宋" w:hAnsi="仿宋" w:eastAsia="仿宋" w:cs="仿宋"/>
                <w:sz w:val="24"/>
                <w:szCs w:val="24"/>
                <w:highlight w:val="none"/>
              </w:rPr>
            </w:pPr>
          </w:p>
        </w:tc>
        <w:tc>
          <w:tcPr>
            <w:tcW w:w="1602" w:type="dxa"/>
            <w:noWrap w:val="0"/>
            <w:vAlign w:val="center"/>
          </w:tcPr>
          <w:p w14:paraId="37E23059">
            <w:pPr>
              <w:rPr>
                <w:rFonts w:hint="eastAsia" w:ascii="仿宋" w:hAnsi="仿宋" w:eastAsia="仿宋" w:cs="仿宋"/>
                <w:sz w:val="24"/>
                <w:szCs w:val="24"/>
                <w:highlight w:val="none"/>
              </w:rPr>
            </w:pPr>
          </w:p>
        </w:tc>
      </w:tr>
      <w:tr w14:paraId="6FED2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4B40289">
            <w:pPr>
              <w:rPr>
                <w:rFonts w:hint="eastAsia" w:ascii="仿宋" w:hAnsi="仿宋" w:eastAsia="仿宋" w:cs="仿宋"/>
                <w:sz w:val="24"/>
                <w:szCs w:val="24"/>
                <w:highlight w:val="none"/>
              </w:rPr>
            </w:pPr>
          </w:p>
        </w:tc>
        <w:tc>
          <w:tcPr>
            <w:tcW w:w="2115" w:type="dxa"/>
            <w:noWrap w:val="0"/>
            <w:vAlign w:val="center"/>
          </w:tcPr>
          <w:p w14:paraId="467CA104">
            <w:pPr>
              <w:rPr>
                <w:rFonts w:hint="eastAsia" w:ascii="仿宋" w:hAnsi="仿宋" w:eastAsia="仿宋" w:cs="仿宋"/>
                <w:sz w:val="24"/>
                <w:szCs w:val="24"/>
                <w:highlight w:val="none"/>
              </w:rPr>
            </w:pPr>
          </w:p>
        </w:tc>
        <w:tc>
          <w:tcPr>
            <w:tcW w:w="1761" w:type="dxa"/>
            <w:noWrap w:val="0"/>
            <w:vAlign w:val="center"/>
          </w:tcPr>
          <w:p w14:paraId="6F7FF438">
            <w:pPr>
              <w:rPr>
                <w:rFonts w:hint="eastAsia" w:ascii="仿宋" w:hAnsi="仿宋" w:eastAsia="仿宋" w:cs="仿宋"/>
                <w:sz w:val="24"/>
                <w:szCs w:val="24"/>
                <w:highlight w:val="none"/>
              </w:rPr>
            </w:pPr>
          </w:p>
        </w:tc>
        <w:tc>
          <w:tcPr>
            <w:tcW w:w="1427" w:type="dxa"/>
            <w:noWrap w:val="0"/>
            <w:vAlign w:val="center"/>
          </w:tcPr>
          <w:p w14:paraId="21B51D1D">
            <w:pPr>
              <w:rPr>
                <w:rFonts w:hint="eastAsia" w:ascii="仿宋" w:hAnsi="仿宋" w:eastAsia="仿宋" w:cs="仿宋"/>
                <w:sz w:val="24"/>
                <w:szCs w:val="24"/>
                <w:highlight w:val="none"/>
              </w:rPr>
            </w:pPr>
          </w:p>
        </w:tc>
        <w:tc>
          <w:tcPr>
            <w:tcW w:w="1426" w:type="dxa"/>
            <w:noWrap w:val="0"/>
            <w:vAlign w:val="center"/>
          </w:tcPr>
          <w:p w14:paraId="77711E9B">
            <w:pPr>
              <w:rPr>
                <w:rFonts w:hint="eastAsia" w:ascii="仿宋" w:hAnsi="仿宋" w:eastAsia="仿宋" w:cs="仿宋"/>
                <w:sz w:val="24"/>
                <w:szCs w:val="24"/>
                <w:highlight w:val="none"/>
              </w:rPr>
            </w:pPr>
          </w:p>
        </w:tc>
        <w:tc>
          <w:tcPr>
            <w:tcW w:w="1602" w:type="dxa"/>
            <w:noWrap w:val="0"/>
            <w:vAlign w:val="center"/>
          </w:tcPr>
          <w:p w14:paraId="6A0C1FBD">
            <w:pPr>
              <w:rPr>
                <w:rFonts w:hint="eastAsia" w:ascii="仿宋" w:hAnsi="仿宋" w:eastAsia="仿宋" w:cs="仿宋"/>
                <w:sz w:val="24"/>
                <w:szCs w:val="24"/>
                <w:highlight w:val="none"/>
              </w:rPr>
            </w:pPr>
          </w:p>
        </w:tc>
      </w:tr>
      <w:tr w14:paraId="1DA27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2C4A8D41">
            <w:pPr>
              <w:rPr>
                <w:rFonts w:hint="eastAsia" w:ascii="仿宋" w:hAnsi="仿宋" w:eastAsia="仿宋" w:cs="仿宋"/>
                <w:sz w:val="24"/>
                <w:szCs w:val="24"/>
                <w:highlight w:val="none"/>
              </w:rPr>
            </w:pPr>
          </w:p>
        </w:tc>
        <w:tc>
          <w:tcPr>
            <w:tcW w:w="2115" w:type="dxa"/>
            <w:noWrap w:val="0"/>
            <w:vAlign w:val="center"/>
          </w:tcPr>
          <w:p w14:paraId="4829E24F">
            <w:pPr>
              <w:rPr>
                <w:rFonts w:hint="eastAsia" w:ascii="仿宋" w:hAnsi="仿宋" w:eastAsia="仿宋" w:cs="仿宋"/>
                <w:sz w:val="24"/>
                <w:szCs w:val="24"/>
                <w:highlight w:val="none"/>
              </w:rPr>
            </w:pPr>
          </w:p>
        </w:tc>
        <w:tc>
          <w:tcPr>
            <w:tcW w:w="1761" w:type="dxa"/>
            <w:noWrap w:val="0"/>
            <w:vAlign w:val="center"/>
          </w:tcPr>
          <w:p w14:paraId="5D5E6BAF">
            <w:pPr>
              <w:rPr>
                <w:rFonts w:hint="eastAsia" w:ascii="仿宋" w:hAnsi="仿宋" w:eastAsia="仿宋" w:cs="仿宋"/>
                <w:sz w:val="24"/>
                <w:szCs w:val="24"/>
                <w:highlight w:val="none"/>
              </w:rPr>
            </w:pPr>
          </w:p>
        </w:tc>
        <w:tc>
          <w:tcPr>
            <w:tcW w:w="1427" w:type="dxa"/>
            <w:noWrap w:val="0"/>
            <w:vAlign w:val="center"/>
          </w:tcPr>
          <w:p w14:paraId="632D6745">
            <w:pPr>
              <w:rPr>
                <w:rFonts w:hint="eastAsia" w:ascii="仿宋" w:hAnsi="仿宋" w:eastAsia="仿宋" w:cs="仿宋"/>
                <w:sz w:val="24"/>
                <w:szCs w:val="24"/>
                <w:highlight w:val="none"/>
              </w:rPr>
            </w:pPr>
          </w:p>
        </w:tc>
        <w:tc>
          <w:tcPr>
            <w:tcW w:w="1426" w:type="dxa"/>
            <w:noWrap w:val="0"/>
            <w:vAlign w:val="center"/>
          </w:tcPr>
          <w:p w14:paraId="58214CDF">
            <w:pPr>
              <w:rPr>
                <w:rFonts w:hint="eastAsia" w:ascii="仿宋" w:hAnsi="仿宋" w:eastAsia="仿宋" w:cs="仿宋"/>
                <w:sz w:val="24"/>
                <w:szCs w:val="24"/>
                <w:highlight w:val="none"/>
              </w:rPr>
            </w:pPr>
          </w:p>
        </w:tc>
        <w:tc>
          <w:tcPr>
            <w:tcW w:w="1602" w:type="dxa"/>
            <w:noWrap w:val="0"/>
            <w:vAlign w:val="center"/>
          </w:tcPr>
          <w:p w14:paraId="0B52C9FD">
            <w:pPr>
              <w:rPr>
                <w:rFonts w:hint="eastAsia" w:ascii="仿宋" w:hAnsi="仿宋" w:eastAsia="仿宋" w:cs="仿宋"/>
                <w:sz w:val="24"/>
                <w:szCs w:val="24"/>
                <w:highlight w:val="none"/>
              </w:rPr>
            </w:pPr>
          </w:p>
        </w:tc>
      </w:tr>
      <w:tr w14:paraId="7B43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C3D5E99">
            <w:pPr>
              <w:rPr>
                <w:rFonts w:hint="eastAsia" w:ascii="仿宋" w:hAnsi="仿宋" w:eastAsia="仿宋" w:cs="仿宋"/>
                <w:sz w:val="24"/>
                <w:szCs w:val="24"/>
                <w:highlight w:val="none"/>
              </w:rPr>
            </w:pPr>
          </w:p>
        </w:tc>
        <w:tc>
          <w:tcPr>
            <w:tcW w:w="2115" w:type="dxa"/>
            <w:noWrap w:val="0"/>
            <w:vAlign w:val="center"/>
          </w:tcPr>
          <w:p w14:paraId="0776A62A">
            <w:pPr>
              <w:rPr>
                <w:rFonts w:hint="eastAsia" w:ascii="仿宋" w:hAnsi="仿宋" w:eastAsia="仿宋" w:cs="仿宋"/>
                <w:sz w:val="24"/>
                <w:szCs w:val="24"/>
                <w:highlight w:val="none"/>
              </w:rPr>
            </w:pPr>
          </w:p>
        </w:tc>
        <w:tc>
          <w:tcPr>
            <w:tcW w:w="1761" w:type="dxa"/>
            <w:noWrap w:val="0"/>
            <w:vAlign w:val="center"/>
          </w:tcPr>
          <w:p w14:paraId="21810770">
            <w:pPr>
              <w:rPr>
                <w:rFonts w:hint="eastAsia" w:ascii="仿宋" w:hAnsi="仿宋" w:eastAsia="仿宋" w:cs="仿宋"/>
                <w:sz w:val="24"/>
                <w:szCs w:val="24"/>
                <w:highlight w:val="none"/>
              </w:rPr>
            </w:pPr>
          </w:p>
        </w:tc>
        <w:tc>
          <w:tcPr>
            <w:tcW w:w="1427" w:type="dxa"/>
            <w:noWrap w:val="0"/>
            <w:vAlign w:val="center"/>
          </w:tcPr>
          <w:p w14:paraId="0A9A50B1">
            <w:pPr>
              <w:rPr>
                <w:rFonts w:hint="eastAsia" w:ascii="仿宋" w:hAnsi="仿宋" w:eastAsia="仿宋" w:cs="仿宋"/>
                <w:sz w:val="24"/>
                <w:szCs w:val="24"/>
                <w:highlight w:val="none"/>
              </w:rPr>
            </w:pPr>
          </w:p>
        </w:tc>
        <w:tc>
          <w:tcPr>
            <w:tcW w:w="1426" w:type="dxa"/>
            <w:noWrap w:val="0"/>
            <w:vAlign w:val="center"/>
          </w:tcPr>
          <w:p w14:paraId="71B3F085">
            <w:pPr>
              <w:rPr>
                <w:rFonts w:hint="eastAsia" w:ascii="仿宋" w:hAnsi="仿宋" w:eastAsia="仿宋" w:cs="仿宋"/>
                <w:sz w:val="24"/>
                <w:szCs w:val="24"/>
                <w:highlight w:val="none"/>
              </w:rPr>
            </w:pPr>
          </w:p>
        </w:tc>
        <w:tc>
          <w:tcPr>
            <w:tcW w:w="1602" w:type="dxa"/>
            <w:noWrap w:val="0"/>
            <w:vAlign w:val="center"/>
          </w:tcPr>
          <w:p w14:paraId="6EDA4185">
            <w:pPr>
              <w:rPr>
                <w:rFonts w:hint="eastAsia" w:ascii="仿宋" w:hAnsi="仿宋" w:eastAsia="仿宋" w:cs="仿宋"/>
                <w:sz w:val="24"/>
                <w:szCs w:val="24"/>
                <w:highlight w:val="none"/>
              </w:rPr>
            </w:pPr>
          </w:p>
        </w:tc>
      </w:tr>
      <w:tr w14:paraId="26D2D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692FCD73">
            <w:pPr>
              <w:rPr>
                <w:rFonts w:hint="eastAsia" w:ascii="仿宋" w:hAnsi="仿宋" w:eastAsia="仿宋" w:cs="仿宋"/>
                <w:sz w:val="24"/>
                <w:szCs w:val="24"/>
                <w:highlight w:val="none"/>
              </w:rPr>
            </w:pPr>
          </w:p>
        </w:tc>
        <w:tc>
          <w:tcPr>
            <w:tcW w:w="2115" w:type="dxa"/>
            <w:noWrap w:val="0"/>
            <w:vAlign w:val="center"/>
          </w:tcPr>
          <w:p w14:paraId="07B8FCDD">
            <w:pPr>
              <w:rPr>
                <w:rFonts w:hint="eastAsia" w:ascii="仿宋" w:hAnsi="仿宋" w:eastAsia="仿宋" w:cs="仿宋"/>
                <w:sz w:val="24"/>
                <w:szCs w:val="24"/>
                <w:highlight w:val="none"/>
              </w:rPr>
            </w:pPr>
          </w:p>
        </w:tc>
        <w:tc>
          <w:tcPr>
            <w:tcW w:w="1761" w:type="dxa"/>
            <w:noWrap w:val="0"/>
            <w:vAlign w:val="center"/>
          </w:tcPr>
          <w:p w14:paraId="502A7361">
            <w:pPr>
              <w:rPr>
                <w:rFonts w:hint="eastAsia" w:ascii="仿宋" w:hAnsi="仿宋" w:eastAsia="仿宋" w:cs="仿宋"/>
                <w:sz w:val="24"/>
                <w:szCs w:val="24"/>
                <w:highlight w:val="none"/>
              </w:rPr>
            </w:pPr>
          </w:p>
        </w:tc>
        <w:tc>
          <w:tcPr>
            <w:tcW w:w="1427" w:type="dxa"/>
            <w:noWrap w:val="0"/>
            <w:vAlign w:val="center"/>
          </w:tcPr>
          <w:p w14:paraId="15402F6C">
            <w:pPr>
              <w:rPr>
                <w:rFonts w:hint="eastAsia" w:ascii="仿宋" w:hAnsi="仿宋" w:eastAsia="仿宋" w:cs="仿宋"/>
                <w:sz w:val="24"/>
                <w:szCs w:val="24"/>
                <w:highlight w:val="none"/>
              </w:rPr>
            </w:pPr>
          </w:p>
        </w:tc>
        <w:tc>
          <w:tcPr>
            <w:tcW w:w="1426" w:type="dxa"/>
            <w:noWrap w:val="0"/>
            <w:vAlign w:val="center"/>
          </w:tcPr>
          <w:p w14:paraId="17A52776">
            <w:pPr>
              <w:rPr>
                <w:rFonts w:hint="eastAsia" w:ascii="仿宋" w:hAnsi="仿宋" w:eastAsia="仿宋" w:cs="仿宋"/>
                <w:sz w:val="24"/>
                <w:szCs w:val="24"/>
                <w:highlight w:val="none"/>
              </w:rPr>
            </w:pPr>
          </w:p>
        </w:tc>
        <w:tc>
          <w:tcPr>
            <w:tcW w:w="1602" w:type="dxa"/>
            <w:noWrap w:val="0"/>
            <w:vAlign w:val="center"/>
          </w:tcPr>
          <w:p w14:paraId="3A809D7B">
            <w:pPr>
              <w:rPr>
                <w:rFonts w:hint="eastAsia" w:ascii="仿宋" w:hAnsi="仿宋" w:eastAsia="仿宋" w:cs="仿宋"/>
                <w:sz w:val="24"/>
                <w:szCs w:val="24"/>
                <w:highlight w:val="none"/>
              </w:rPr>
            </w:pPr>
          </w:p>
        </w:tc>
      </w:tr>
      <w:tr w14:paraId="53F8C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011885A9">
            <w:pPr>
              <w:rPr>
                <w:rFonts w:hint="eastAsia" w:ascii="仿宋" w:hAnsi="仿宋" w:eastAsia="仿宋" w:cs="仿宋"/>
                <w:sz w:val="24"/>
                <w:szCs w:val="24"/>
                <w:highlight w:val="none"/>
              </w:rPr>
            </w:pPr>
          </w:p>
        </w:tc>
        <w:tc>
          <w:tcPr>
            <w:tcW w:w="2115" w:type="dxa"/>
            <w:noWrap w:val="0"/>
            <w:vAlign w:val="center"/>
          </w:tcPr>
          <w:p w14:paraId="426B9DD9">
            <w:pPr>
              <w:rPr>
                <w:rFonts w:hint="eastAsia" w:ascii="仿宋" w:hAnsi="仿宋" w:eastAsia="仿宋" w:cs="仿宋"/>
                <w:sz w:val="24"/>
                <w:szCs w:val="24"/>
                <w:highlight w:val="none"/>
              </w:rPr>
            </w:pPr>
          </w:p>
        </w:tc>
        <w:tc>
          <w:tcPr>
            <w:tcW w:w="1761" w:type="dxa"/>
            <w:noWrap w:val="0"/>
            <w:vAlign w:val="center"/>
          </w:tcPr>
          <w:p w14:paraId="44B2FCEB">
            <w:pPr>
              <w:rPr>
                <w:rFonts w:hint="eastAsia" w:ascii="仿宋" w:hAnsi="仿宋" w:eastAsia="仿宋" w:cs="仿宋"/>
                <w:sz w:val="24"/>
                <w:szCs w:val="24"/>
                <w:highlight w:val="none"/>
              </w:rPr>
            </w:pPr>
          </w:p>
        </w:tc>
        <w:tc>
          <w:tcPr>
            <w:tcW w:w="1427" w:type="dxa"/>
            <w:noWrap w:val="0"/>
            <w:vAlign w:val="center"/>
          </w:tcPr>
          <w:p w14:paraId="1629E4E1">
            <w:pPr>
              <w:rPr>
                <w:rFonts w:hint="eastAsia" w:ascii="仿宋" w:hAnsi="仿宋" w:eastAsia="仿宋" w:cs="仿宋"/>
                <w:sz w:val="24"/>
                <w:szCs w:val="24"/>
                <w:highlight w:val="none"/>
              </w:rPr>
            </w:pPr>
          </w:p>
        </w:tc>
        <w:tc>
          <w:tcPr>
            <w:tcW w:w="1426" w:type="dxa"/>
            <w:noWrap w:val="0"/>
            <w:vAlign w:val="center"/>
          </w:tcPr>
          <w:p w14:paraId="33E3335B">
            <w:pPr>
              <w:rPr>
                <w:rFonts w:hint="eastAsia" w:ascii="仿宋" w:hAnsi="仿宋" w:eastAsia="仿宋" w:cs="仿宋"/>
                <w:sz w:val="24"/>
                <w:szCs w:val="24"/>
                <w:highlight w:val="none"/>
              </w:rPr>
            </w:pPr>
          </w:p>
        </w:tc>
        <w:tc>
          <w:tcPr>
            <w:tcW w:w="1602" w:type="dxa"/>
            <w:noWrap w:val="0"/>
            <w:vAlign w:val="center"/>
          </w:tcPr>
          <w:p w14:paraId="0240D291">
            <w:pPr>
              <w:rPr>
                <w:rFonts w:hint="eastAsia" w:ascii="仿宋" w:hAnsi="仿宋" w:eastAsia="仿宋" w:cs="仿宋"/>
                <w:sz w:val="24"/>
                <w:szCs w:val="24"/>
                <w:highlight w:val="none"/>
              </w:rPr>
            </w:pPr>
          </w:p>
        </w:tc>
      </w:tr>
      <w:tr w14:paraId="2FD7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2FF2029D">
            <w:pPr>
              <w:rPr>
                <w:rFonts w:hint="eastAsia" w:ascii="仿宋" w:hAnsi="仿宋" w:eastAsia="仿宋" w:cs="仿宋"/>
                <w:sz w:val="24"/>
                <w:szCs w:val="24"/>
                <w:highlight w:val="none"/>
              </w:rPr>
            </w:pPr>
          </w:p>
        </w:tc>
        <w:tc>
          <w:tcPr>
            <w:tcW w:w="2115" w:type="dxa"/>
            <w:noWrap w:val="0"/>
            <w:vAlign w:val="center"/>
          </w:tcPr>
          <w:p w14:paraId="09364089">
            <w:pPr>
              <w:rPr>
                <w:rFonts w:hint="eastAsia" w:ascii="仿宋" w:hAnsi="仿宋" w:eastAsia="仿宋" w:cs="仿宋"/>
                <w:sz w:val="24"/>
                <w:szCs w:val="24"/>
                <w:highlight w:val="none"/>
              </w:rPr>
            </w:pPr>
          </w:p>
        </w:tc>
        <w:tc>
          <w:tcPr>
            <w:tcW w:w="1761" w:type="dxa"/>
            <w:noWrap w:val="0"/>
            <w:vAlign w:val="center"/>
          </w:tcPr>
          <w:p w14:paraId="5CB4F8A8">
            <w:pPr>
              <w:rPr>
                <w:rFonts w:hint="eastAsia" w:ascii="仿宋" w:hAnsi="仿宋" w:eastAsia="仿宋" w:cs="仿宋"/>
                <w:sz w:val="24"/>
                <w:szCs w:val="24"/>
                <w:highlight w:val="none"/>
              </w:rPr>
            </w:pPr>
          </w:p>
        </w:tc>
        <w:tc>
          <w:tcPr>
            <w:tcW w:w="1427" w:type="dxa"/>
            <w:noWrap w:val="0"/>
            <w:vAlign w:val="center"/>
          </w:tcPr>
          <w:p w14:paraId="2756619D">
            <w:pPr>
              <w:rPr>
                <w:rFonts w:hint="eastAsia" w:ascii="仿宋" w:hAnsi="仿宋" w:eastAsia="仿宋" w:cs="仿宋"/>
                <w:sz w:val="24"/>
                <w:szCs w:val="24"/>
                <w:highlight w:val="none"/>
              </w:rPr>
            </w:pPr>
          </w:p>
        </w:tc>
        <w:tc>
          <w:tcPr>
            <w:tcW w:w="1426" w:type="dxa"/>
            <w:noWrap w:val="0"/>
            <w:vAlign w:val="center"/>
          </w:tcPr>
          <w:p w14:paraId="0112F92E">
            <w:pPr>
              <w:rPr>
                <w:rFonts w:hint="eastAsia" w:ascii="仿宋" w:hAnsi="仿宋" w:eastAsia="仿宋" w:cs="仿宋"/>
                <w:sz w:val="24"/>
                <w:szCs w:val="24"/>
                <w:highlight w:val="none"/>
              </w:rPr>
            </w:pPr>
          </w:p>
        </w:tc>
        <w:tc>
          <w:tcPr>
            <w:tcW w:w="1602" w:type="dxa"/>
            <w:noWrap w:val="0"/>
            <w:vAlign w:val="center"/>
          </w:tcPr>
          <w:p w14:paraId="29D064D1">
            <w:pPr>
              <w:rPr>
                <w:rFonts w:hint="eastAsia" w:ascii="仿宋" w:hAnsi="仿宋" w:eastAsia="仿宋" w:cs="仿宋"/>
                <w:sz w:val="24"/>
                <w:szCs w:val="24"/>
                <w:highlight w:val="none"/>
              </w:rPr>
            </w:pPr>
          </w:p>
        </w:tc>
      </w:tr>
      <w:tr w14:paraId="79BDE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71C90F0C">
            <w:pPr>
              <w:rPr>
                <w:rFonts w:hint="eastAsia" w:ascii="仿宋" w:hAnsi="仿宋" w:eastAsia="仿宋" w:cs="仿宋"/>
                <w:sz w:val="24"/>
                <w:szCs w:val="24"/>
                <w:highlight w:val="none"/>
              </w:rPr>
            </w:pPr>
          </w:p>
        </w:tc>
        <w:tc>
          <w:tcPr>
            <w:tcW w:w="2115" w:type="dxa"/>
            <w:noWrap w:val="0"/>
            <w:vAlign w:val="center"/>
          </w:tcPr>
          <w:p w14:paraId="3C27E078">
            <w:pPr>
              <w:rPr>
                <w:rFonts w:hint="eastAsia" w:ascii="仿宋" w:hAnsi="仿宋" w:eastAsia="仿宋" w:cs="仿宋"/>
                <w:sz w:val="24"/>
                <w:szCs w:val="24"/>
                <w:highlight w:val="none"/>
              </w:rPr>
            </w:pPr>
          </w:p>
        </w:tc>
        <w:tc>
          <w:tcPr>
            <w:tcW w:w="1761" w:type="dxa"/>
            <w:noWrap w:val="0"/>
            <w:vAlign w:val="center"/>
          </w:tcPr>
          <w:p w14:paraId="662EB379">
            <w:pPr>
              <w:rPr>
                <w:rFonts w:hint="eastAsia" w:ascii="仿宋" w:hAnsi="仿宋" w:eastAsia="仿宋" w:cs="仿宋"/>
                <w:sz w:val="24"/>
                <w:szCs w:val="24"/>
                <w:highlight w:val="none"/>
              </w:rPr>
            </w:pPr>
          </w:p>
        </w:tc>
        <w:tc>
          <w:tcPr>
            <w:tcW w:w="1427" w:type="dxa"/>
            <w:noWrap w:val="0"/>
            <w:vAlign w:val="center"/>
          </w:tcPr>
          <w:p w14:paraId="137DEBB7">
            <w:pPr>
              <w:rPr>
                <w:rFonts w:hint="eastAsia" w:ascii="仿宋" w:hAnsi="仿宋" w:eastAsia="仿宋" w:cs="仿宋"/>
                <w:sz w:val="24"/>
                <w:szCs w:val="24"/>
                <w:highlight w:val="none"/>
              </w:rPr>
            </w:pPr>
          </w:p>
        </w:tc>
        <w:tc>
          <w:tcPr>
            <w:tcW w:w="1426" w:type="dxa"/>
            <w:noWrap w:val="0"/>
            <w:vAlign w:val="center"/>
          </w:tcPr>
          <w:p w14:paraId="43BFCDF8">
            <w:pPr>
              <w:rPr>
                <w:rFonts w:hint="eastAsia" w:ascii="仿宋" w:hAnsi="仿宋" w:eastAsia="仿宋" w:cs="仿宋"/>
                <w:sz w:val="24"/>
                <w:szCs w:val="24"/>
                <w:highlight w:val="none"/>
              </w:rPr>
            </w:pPr>
          </w:p>
        </w:tc>
        <w:tc>
          <w:tcPr>
            <w:tcW w:w="1602" w:type="dxa"/>
            <w:noWrap w:val="0"/>
            <w:vAlign w:val="center"/>
          </w:tcPr>
          <w:p w14:paraId="358EFA93">
            <w:pPr>
              <w:rPr>
                <w:rFonts w:hint="eastAsia" w:ascii="仿宋" w:hAnsi="仿宋" w:eastAsia="仿宋" w:cs="仿宋"/>
                <w:sz w:val="24"/>
                <w:szCs w:val="24"/>
                <w:highlight w:val="none"/>
              </w:rPr>
            </w:pPr>
          </w:p>
        </w:tc>
      </w:tr>
    </w:tbl>
    <w:p w14:paraId="7F654FE8">
      <w:pPr>
        <w:snapToGrid w:val="0"/>
        <w:spacing w:line="360" w:lineRule="auto"/>
        <w:ind w:firstLine="241" w:firstLineChars="1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附评标办法要求的相关证明材料扫描件，否则不得分。</w:t>
      </w:r>
    </w:p>
    <w:p w14:paraId="7A47FBAF">
      <w:pPr>
        <w:snapToGrid w:val="0"/>
        <w:spacing w:line="360" w:lineRule="auto"/>
        <w:ind w:firstLine="240" w:firstLineChars="100"/>
        <w:rPr>
          <w:rFonts w:hint="eastAsia" w:ascii="仿宋" w:hAnsi="仿宋" w:eastAsia="仿宋" w:cs="仿宋"/>
          <w:sz w:val="24"/>
          <w:szCs w:val="24"/>
          <w:highlight w:val="none"/>
        </w:rPr>
      </w:pPr>
    </w:p>
    <w:p w14:paraId="7B7B18C9">
      <w:pPr>
        <w:snapToGrid w:val="0"/>
        <w:spacing w:line="360" w:lineRule="auto"/>
        <w:ind w:firstLine="240" w:firstLineChars="100"/>
        <w:rPr>
          <w:rFonts w:hint="eastAsia" w:ascii="仿宋" w:hAnsi="仿宋" w:eastAsia="仿宋" w:cs="仿宋"/>
          <w:sz w:val="24"/>
          <w:szCs w:val="24"/>
          <w:highlight w:val="none"/>
        </w:rPr>
      </w:pPr>
    </w:p>
    <w:p w14:paraId="774534F4">
      <w:pPr>
        <w:snapToGrid w:val="0"/>
        <w:spacing w:line="360" w:lineRule="auto"/>
        <w:ind w:firstLine="240" w:firstLineChars="100"/>
        <w:rPr>
          <w:rFonts w:hint="eastAsia" w:ascii="仿宋" w:hAnsi="仿宋" w:eastAsia="仿宋" w:cs="仿宋"/>
          <w:sz w:val="24"/>
          <w:szCs w:val="24"/>
          <w:highlight w:val="none"/>
        </w:rPr>
      </w:pPr>
    </w:p>
    <w:p w14:paraId="08CD770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F632591">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6309A07">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2864DC9D">
      <w:pPr>
        <w:pStyle w:val="23"/>
        <w:spacing w:line="520" w:lineRule="exact"/>
        <w:jc w:val="center"/>
        <w:rPr>
          <w:rFonts w:hint="eastAsia" w:ascii="仿宋" w:hAnsi="仿宋" w:eastAsia="仿宋" w:cs="仿宋"/>
          <w:b/>
          <w:bCs/>
          <w:sz w:val="30"/>
          <w:szCs w:val="30"/>
          <w:highlight w:val="none"/>
        </w:rPr>
      </w:pPr>
    </w:p>
    <w:p w14:paraId="69832AE4">
      <w:pPr>
        <w:pStyle w:val="23"/>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382AE142">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1"/>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00894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327C006C">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78576C3E">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23FE026A">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2E1FB68D">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0AA06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707AD71E">
            <w:pPr>
              <w:pStyle w:val="23"/>
              <w:spacing w:line="400" w:lineRule="exact"/>
              <w:rPr>
                <w:rFonts w:ascii="仿宋" w:hAnsi="仿宋" w:eastAsia="仿宋" w:cs="仿宋"/>
                <w:sz w:val="24"/>
                <w:szCs w:val="24"/>
                <w:highlight w:val="none"/>
              </w:rPr>
            </w:pPr>
          </w:p>
        </w:tc>
        <w:tc>
          <w:tcPr>
            <w:tcW w:w="1236" w:type="dxa"/>
            <w:noWrap w:val="0"/>
            <w:vAlign w:val="top"/>
          </w:tcPr>
          <w:p w14:paraId="6EE6BF11">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4C85FD83">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489D0505">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377C1C29">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7F3A951E">
            <w:pPr>
              <w:pStyle w:val="23"/>
              <w:spacing w:line="400" w:lineRule="exact"/>
              <w:jc w:val="center"/>
              <w:rPr>
                <w:rFonts w:ascii="仿宋" w:hAnsi="仿宋" w:eastAsia="仿宋" w:cs="仿宋"/>
                <w:sz w:val="24"/>
                <w:szCs w:val="24"/>
                <w:highlight w:val="none"/>
              </w:rPr>
            </w:pPr>
          </w:p>
        </w:tc>
      </w:tr>
      <w:tr w14:paraId="3E31A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1AAE6978">
            <w:pPr>
              <w:pStyle w:val="23"/>
              <w:spacing w:line="400" w:lineRule="exact"/>
              <w:rPr>
                <w:rFonts w:ascii="仿宋" w:hAnsi="仿宋" w:eastAsia="仿宋" w:cs="仿宋"/>
                <w:sz w:val="24"/>
                <w:szCs w:val="24"/>
                <w:highlight w:val="none"/>
              </w:rPr>
            </w:pPr>
          </w:p>
        </w:tc>
        <w:tc>
          <w:tcPr>
            <w:tcW w:w="1236" w:type="dxa"/>
            <w:noWrap w:val="0"/>
            <w:vAlign w:val="top"/>
          </w:tcPr>
          <w:p w14:paraId="639BEF8C">
            <w:pPr>
              <w:pStyle w:val="23"/>
              <w:spacing w:line="400" w:lineRule="exact"/>
              <w:rPr>
                <w:rFonts w:ascii="仿宋" w:hAnsi="仿宋" w:eastAsia="仿宋" w:cs="仿宋"/>
                <w:sz w:val="24"/>
                <w:szCs w:val="24"/>
                <w:highlight w:val="none"/>
              </w:rPr>
            </w:pPr>
          </w:p>
        </w:tc>
        <w:tc>
          <w:tcPr>
            <w:tcW w:w="2657" w:type="dxa"/>
            <w:noWrap w:val="0"/>
            <w:vAlign w:val="top"/>
          </w:tcPr>
          <w:p w14:paraId="2BA0DECD">
            <w:pPr>
              <w:pStyle w:val="23"/>
              <w:spacing w:line="400" w:lineRule="exact"/>
              <w:rPr>
                <w:rFonts w:ascii="仿宋" w:hAnsi="仿宋" w:eastAsia="仿宋" w:cs="仿宋"/>
                <w:sz w:val="24"/>
                <w:szCs w:val="24"/>
                <w:highlight w:val="none"/>
              </w:rPr>
            </w:pPr>
          </w:p>
        </w:tc>
        <w:tc>
          <w:tcPr>
            <w:tcW w:w="1417" w:type="dxa"/>
            <w:noWrap w:val="0"/>
            <w:vAlign w:val="top"/>
          </w:tcPr>
          <w:p w14:paraId="42DA2292">
            <w:pPr>
              <w:pStyle w:val="23"/>
              <w:spacing w:line="400" w:lineRule="exact"/>
              <w:rPr>
                <w:rFonts w:ascii="仿宋" w:hAnsi="仿宋" w:eastAsia="仿宋" w:cs="仿宋"/>
                <w:sz w:val="24"/>
                <w:szCs w:val="24"/>
                <w:highlight w:val="none"/>
              </w:rPr>
            </w:pPr>
          </w:p>
        </w:tc>
        <w:tc>
          <w:tcPr>
            <w:tcW w:w="2694" w:type="dxa"/>
            <w:noWrap w:val="0"/>
            <w:vAlign w:val="top"/>
          </w:tcPr>
          <w:p w14:paraId="510F04AE">
            <w:pPr>
              <w:pStyle w:val="23"/>
              <w:spacing w:line="400" w:lineRule="exact"/>
              <w:rPr>
                <w:rFonts w:ascii="仿宋" w:hAnsi="仿宋" w:eastAsia="仿宋" w:cs="仿宋"/>
                <w:sz w:val="24"/>
                <w:szCs w:val="24"/>
                <w:highlight w:val="none"/>
              </w:rPr>
            </w:pPr>
          </w:p>
        </w:tc>
        <w:tc>
          <w:tcPr>
            <w:tcW w:w="1293" w:type="dxa"/>
            <w:noWrap w:val="0"/>
            <w:vAlign w:val="top"/>
          </w:tcPr>
          <w:p w14:paraId="35C605BE">
            <w:pPr>
              <w:pStyle w:val="23"/>
              <w:spacing w:line="400" w:lineRule="exact"/>
              <w:rPr>
                <w:rFonts w:ascii="仿宋" w:hAnsi="仿宋" w:eastAsia="仿宋" w:cs="仿宋"/>
                <w:sz w:val="24"/>
                <w:szCs w:val="24"/>
                <w:highlight w:val="none"/>
              </w:rPr>
            </w:pPr>
          </w:p>
        </w:tc>
      </w:tr>
      <w:tr w14:paraId="599C4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2D4A1E4D">
            <w:pPr>
              <w:pStyle w:val="23"/>
              <w:spacing w:line="400" w:lineRule="exact"/>
              <w:rPr>
                <w:rFonts w:ascii="仿宋" w:hAnsi="仿宋" w:eastAsia="仿宋" w:cs="仿宋"/>
                <w:sz w:val="24"/>
                <w:szCs w:val="24"/>
                <w:highlight w:val="none"/>
              </w:rPr>
            </w:pPr>
          </w:p>
        </w:tc>
        <w:tc>
          <w:tcPr>
            <w:tcW w:w="1236" w:type="dxa"/>
            <w:noWrap w:val="0"/>
            <w:vAlign w:val="top"/>
          </w:tcPr>
          <w:p w14:paraId="2ABE56D9">
            <w:pPr>
              <w:pStyle w:val="23"/>
              <w:spacing w:line="400" w:lineRule="exact"/>
              <w:rPr>
                <w:rFonts w:ascii="仿宋" w:hAnsi="仿宋" w:eastAsia="仿宋" w:cs="仿宋"/>
                <w:sz w:val="24"/>
                <w:szCs w:val="24"/>
                <w:highlight w:val="none"/>
              </w:rPr>
            </w:pPr>
          </w:p>
        </w:tc>
        <w:tc>
          <w:tcPr>
            <w:tcW w:w="2657" w:type="dxa"/>
            <w:noWrap w:val="0"/>
            <w:vAlign w:val="top"/>
          </w:tcPr>
          <w:p w14:paraId="3BA7611A">
            <w:pPr>
              <w:pStyle w:val="23"/>
              <w:spacing w:line="400" w:lineRule="exact"/>
              <w:rPr>
                <w:rFonts w:ascii="仿宋" w:hAnsi="仿宋" w:eastAsia="仿宋" w:cs="仿宋"/>
                <w:sz w:val="24"/>
                <w:szCs w:val="24"/>
                <w:highlight w:val="none"/>
              </w:rPr>
            </w:pPr>
          </w:p>
        </w:tc>
        <w:tc>
          <w:tcPr>
            <w:tcW w:w="1417" w:type="dxa"/>
            <w:noWrap w:val="0"/>
            <w:vAlign w:val="top"/>
          </w:tcPr>
          <w:p w14:paraId="41097764">
            <w:pPr>
              <w:pStyle w:val="23"/>
              <w:spacing w:line="400" w:lineRule="exact"/>
              <w:rPr>
                <w:rFonts w:ascii="仿宋" w:hAnsi="仿宋" w:eastAsia="仿宋" w:cs="仿宋"/>
                <w:sz w:val="24"/>
                <w:szCs w:val="24"/>
                <w:highlight w:val="none"/>
              </w:rPr>
            </w:pPr>
          </w:p>
        </w:tc>
        <w:tc>
          <w:tcPr>
            <w:tcW w:w="2694" w:type="dxa"/>
            <w:noWrap w:val="0"/>
            <w:vAlign w:val="top"/>
          </w:tcPr>
          <w:p w14:paraId="6BF450BD">
            <w:pPr>
              <w:pStyle w:val="23"/>
              <w:spacing w:line="400" w:lineRule="exact"/>
              <w:rPr>
                <w:rFonts w:ascii="仿宋" w:hAnsi="仿宋" w:eastAsia="仿宋" w:cs="仿宋"/>
                <w:sz w:val="24"/>
                <w:szCs w:val="24"/>
                <w:highlight w:val="none"/>
              </w:rPr>
            </w:pPr>
          </w:p>
        </w:tc>
        <w:tc>
          <w:tcPr>
            <w:tcW w:w="1293" w:type="dxa"/>
            <w:noWrap w:val="0"/>
            <w:vAlign w:val="top"/>
          </w:tcPr>
          <w:p w14:paraId="4970CF1A">
            <w:pPr>
              <w:pStyle w:val="23"/>
              <w:spacing w:line="400" w:lineRule="exact"/>
              <w:rPr>
                <w:rFonts w:ascii="仿宋" w:hAnsi="仿宋" w:eastAsia="仿宋" w:cs="仿宋"/>
                <w:sz w:val="24"/>
                <w:szCs w:val="24"/>
                <w:highlight w:val="none"/>
              </w:rPr>
            </w:pPr>
          </w:p>
        </w:tc>
      </w:tr>
      <w:tr w14:paraId="2145C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4D591228">
            <w:pPr>
              <w:pStyle w:val="23"/>
              <w:spacing w:line="400" w:lineRule="exact"/>
              <w:rPr>
                <w:rFonts w:ascii="仿宋" w:hAnsi="仿宋" w:eastAsia="仿宋" w:cs="仿宋"/>
                <w:sz w:val="24"/>
                <w:szCs w:val="24"/>
                <w:highlight w:val="none"/>
              </w:rPr>
            </w:pPr>
          </w:p>
        </w:tc>
        <w:tc>
          <w:tcPr>
            <w:tcW w:w="1236" w:type="dxa"/>
            <w:noWrap w:val="0"/>
            <w:vAlign w:val="top"/>
          </w:tcPr>
          <w:p w14:paraId="73188A2D">
            <w:pPr>
              <w:pStyle w:val="23"/>
              <w:spacing w:line="400" w:lineRule="exact"/>
              <w:rPr>
                <w:rFonts w:ascii="仿宋" w:hAnsi="仿宋" w:eastAsia="仿宋" w:cs="仿宋"/>
                <w:sz w:val="24"/>
                <w:szCs w:val="24"/>
                <w:highlight w:val="none"/>
              </w:rPr>
            </w:pPr>
          </w:p>
        </w:tc>
        <w:tc>
          <w:tcPr>
            <w:tcW w:w="2657" w:type="dxa"/>
            <w:noWrap w:val="0"/>
            <w:vAlign w:val="top"/>
          </w:tcPr>
          <w:p w14:paraId="11AFD954">
            <w:pPr>
              <w:pStyle w:val="23"/>
              <w:spacing w:line="400" w:lineRule="exact"/>
              <w:rPr>
                <w:rFonts w:ascii="仿宋" w:hAnsi="仿宋" w:eastAsia="仿宋" w:cs="仿宋"/>
                <w:sz w:val="24"/>
                <w:szCs w:val="24"/>
                <w:highlight w:val="none"/>
              </w:rPr>
            </w:pPr>
          </w:p>
        </w:tc>
        <w:tc>
          <w:tcPr>
            <w:tcW w:w="1417" w:type="dxa"/>
            <w:noWrap w:val="0"/>
            <w:vAlign w:val="top"/>
          </w:tcPr>
          <w:p w14:paraId="1E83CCD8">
            <w:pPr>
              <w:pStyle w:val="23"/>
              <w:spacing w:line="400" w:lineRule="exact"/>
              <w:rPr>
                <w:rFonts w:ascii="仿宋" w:hAnsi="仿宋" w:eastAsia="仿宋" w:cs="仿宋"/>
                <w:sz w:val="24"/>
                <w:szCs w:val="24"/>
                <w:highlight w:val="none"/>
              </w:rPr>
            </w:pPr>
          </w:p>
        </w:tc>
        <w:tc>
          <w:tcPr>
            <w:tcW w:w="2694" w:type="dxa"/>
            <w:noWrap w:val="0"/>
            <w:vAlign w:val="top"/>
          </w:tcPr>
          <w:p w14:paraId="4C67F038">
            <w:pPr>
              <w:pStyle w:val="23"/>
              <w:spacing w:line="400" w:lineRule="exact"/>
              <w:rPr>
                <w:rFonts w:ascii="仿宋" w:hAnsi="仿宋" w:eastAsia="仿宋" w:cs="仿宋"/>
                <w:sz w:val="24"/>
                <w:szCs w:val="24"/>
                <w:highlight w:val="none"/>
              </w:rPr>
            </w:pPr>
          </w:p>
        </w:tc>
        <w:tc>
          <w:tcPr>
            <w:tcW w:w="1293" w:type="dxa"/>
            <w:noWrap w:val="0"/>
            <w:vAlign w:val="top"/>
          </w:tcPr>
          <w:p w14:paraId="280D1FF2">
            <w:pPr>
              <w:pStyle w:val="23"/>
              <w:spacing w:line="400" w:lineRule="exact"/>
              <w:rPr>
                <w:rFonts w:ascii="仿宋" w:hAnsi="仿宋" w:eastAsia="仿宋" w:cs="仿宋"/>
                <w:sz w:val="24"/>
                <w:szCs w:val="24"/>
                <w:highlight w:val="none"/>
              </w:rPr>
            </w:pPr>
          </w:p>
        </w:tc>
      </w:tr>
      <w:tr w14:paraId="111E8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4BB031E">
            <w:pPr>
              <w:pStyle w:val="23"/>
              <w:spacing w:line="400" w:lineRule="exact"/>
              <w:rPr>
                <w:rFonts w:ascii="仿宋" w:hAnsi="仿宋" w:eastAsia="仿宋" w:cs="仿宋"/>
                <w:sz w:val="24"/>
                <w:szCs w:val="24"/>
                <w:highlight w:val="none"/>
              </w:rPr>
            </w:pPr>
          </w:p>
        </w:tc>
        <w:tc>
          <w:tcPr>
            <w:tcW w:w="1236" w:type="dxa"/>
            <w:noWrap w:val="0"/>
            <w:vAlign w:val="top"/>
          </w:tcPr>
          <w:p w14:paraId="5A2B0307">
            <w:pPr>
              <w:pStyle w:val="23"/>
              <w:spacing w:line="400" w:lineRule="exact"/>
              <w:rPr>
                <w:rFonts w:ascii="仿宋" w:hAnsi="仿宋" w:eastAsia="仿宋" w:cs="仿宋"/>
                <w:sz w:val="24"/>
                <w:szCs w:val="24"/>
                <w:highlight w:val="none"/>
              </w:rPr>
            </w:pPr>
          </w:p>
        </w:tc>
        <w:tc>
          <w:tcPr>
            <w:tcW w:w="2657" w:type="dxa"/>
            <w:noWrap w:val="0"/>
            <w:vAlign w:val="top"/>
          </w:tcPr>
          <w:p w14:paraId="60AEDF79">
            <w:pPr>
              <w:pStyle w:val="23"/>
              <w:spacing w:line="400" w:lineRule="exact"/>
              <w:rPr>
                <w:rFonts w:ascii="仿宋" w:hAnsi="仿宋" w:eastAsia="仿宋" w:cs="仿宋"/>
                <w:sz w:val="24"/>
                <w:szCs w:val="24"/>
                <w:highlight w:val="none"/>
              </w:rPr>
            </w:pPr>
          </w:p>
        </w:tc>
        <w:tc>
          <w:tcPr>
            <w:tcW w:w="1417" w:type="dxa"/>
            <w:noWrap w:val="0"/>
            <w:vAlign w:val="top"/>
          </w:tcPr>
          <w:p w14:paraId="67E8D6D3">
            <w:pPr>
              <w:pStyle w:val="23"/>
              <w:spacing w:line="400" w:lineRule="exact"/>
              <w:rPr>
                <w:rFonts w:ascii="仿宋" w:hAnsi="仿宋" w:eastAsia="仿宋" w:cs="仿宋"/>
                <w:sz w:val="24"/>
                <w:szCs w:val="24"/>
                <w:highlight w:val="none"/>
              </w:rPr>
            </w:pPr>
          </w:p>
        </w:tc>
        <w:tc>
          <w:tcPr>
            <w:tcW w:w="2694" w:type="dxa"/>
            <w:noWrap w:val="0"/>
            <w:vAlign w:val="top"/>
          </w:tcPr>
          <w:p w14:paraId="5747BB02">
            <w:pPr>
              <w:pStyle w:val="23"/>
              <w:spacing w:line="400" w:lineRule="exact"/>
              <w:rPr>
                <w:rFonts w:ascii="仿宋" w:hAnsi="仿宋" w:eastAsia="仿宋" w:cs="仿宋"/>
                <w:sz w:val="24"/>
                <w:szCs w:val="24"/>
                <w:highlight w:val="none"/>
              </w:rPr>
            </w:pPr>
          </w:p>
        </w:tc>
        <w:tc>
          <w:tcPr>
            <w:tcW w:w="1293" w:type="dxa"/>
            <w:noWrap w:val="0"/>
            <w:vAlign w:val="top"/>
          </w:tcPr>
          <w:p w14:paraId="3D03BE32">
            <w:pPr>
              <w:pStyle w:val="23"/>
              <w:spacing w:line="400" w:lineRule="exact"/>
              <w:rPr>
                <w:rFonts w:ascii="仿宋" w:hAnsi="仿宋" w:eastAsia="仿宋" w:cs="仿宋"/>
                <w:sz w:val="24"/>
                <w:szCs w:val="24"/>
                <w:highlight w:val="none"/>
              </w:rPr>
            </w:pPr>
          </w:p>
        </w:tc>
      </w:tr>
      <w:tr w14:paraId="5D943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0D7EDF14">
            <w:pPr>
              <w:pStyle w:val="23"/>
              <w:spacing w:line="400" w:lineRule="exact"/>
              <w:rPr>
                <w:rFonts w:ascii="仿宋" w:hAnsi="仿宋" w:eastAsia="仿宋" w:cs="仿宋"/>
                <w:sz w:val="24"/>
                <w:szCs w:val="24"/>
                <w:highlight w:val="none"/>
              </w:rPr>
            </w:pPr>
          </w:p>
        </w:tc>
        <w:tc>
          <w:tcPr>
            <w:tcW w:w="1236" w:type="dxa"/>
            <w:noWrap w:val="0"/>
            <w:vAlign w:val="top"/>
          </w:tcPr>
          <w:p w14:paraId="1FF05644">
            <w:pPr>
              <w:pStyle w:val="23"/>
              <w:spacing w:line="400" w:lineRule="exact"/>
              <w:rPr>
                <w:rFonts w:ascii="仿宋" w:hAnsi="仿宋" w:eastAsia="仿宋" w:cs="仿宋"/>
                <w:sz w:val="24"/>
                <w:szCs w:val="24"/>
                <w:highlight w:val="none"/>
              </w:rPr>
            </w:pPr>
          </w:p>
        </w:tc>
        <w:tc>
          <w:tcPr>
            <w:tcW w:w="2657" w:type="dxa"/>
            <w:noWrap w:val="0"/>
            <w:vAlign w:val="top"/>
          </w:tcPr>
          <w:p w14:paraId="7D16090B">
            <w:pPr>
              <w:pStyle w:val="23"/>
              <w:spacing w:line="400" w:lineRule="exact"/>
              <w:rPr>
                <w:rFonts w:ascii="仿宋" w:hAnsi="仿宋" w:eastAsia="仿宋" w:cs="仿宋"/>
                <w:sz w:val="24"/>
                <w:szCs w:val="24"/>
                <w:highlight w:val="none"/>
              </w:rPr>
            </w:pPr>
          </w:p>
        </w:tc>
        <w:tc>
          <w:tcPr>
            <w:tcW w:w="1417" w:type="dxa"/>
            <w:noWrap w:val="0"/>
            <w:vAlign w:val="top"/>
          </w:tcPr>
          <w:p w14:paraId="1509F761">
            <w:pPr>
              <w:pStyle w:val="23"/>
              <w:spacing w:line="400" w:lineRule="exact"/>
              <w:rPr>
                <w:rFonts w:ascii="仿宋" w:hAnsi="仿宋" w:eastAsia="仿宋" w:cs="仿宋"/>
                <w:sz w:val="24"/>
                <w:szCs w:val="24"/>
                <w:highlight w:val="none"/>
              </w:rPr>
            </w:pPr>
          </w:p>
        </w:tc>
        <w:tc>
          <w:tcPr>
            <w:tcW w:w="2694" w:type="dxa"/>
            <w:noWrap w:val="0"/>
            <w:vAlign w:val="top"/>
          </w:tcPr>
          <w:p w14:paraId="5BC19CEB">
            <w:pPr>
              <w:pStyle w:val="23"/>
              <w:spacing w:line="400" w:lineRule="exact"/>
              <w:rPr>
                <w:rFonts w:ascii="仿宋" w:hAnsi="仿宋" w:eastAsia="仿宋" w:cs="仿宋"/>
                <w:sz w:val="24"/>
                <w:szCs w:val="24"/>
                <w:highlight w:val="none"/>
              </w:rPr>
            </w:pPr>
          </w:p>
        </w:tc>
        <w:tc>
          <w:tcPr>
            <w:tcW w:w="1293" w:type="dxa"/>
            <w:noWrap w:val="0"/>
            <w:vAlign w:val="top"/>
          </w:tcPr>
          <w:p w14:paraId="135D4C64">
            <w:pPr>
              <w:pStyle w:val="23"/>
              <w:spacing w:line="400" w:lineRule="exact"/>
              <w:rPr>
                <w:rFonts w:ascii="仿宋" w:hAnsi="仿宋" w:eastAsia="仿宋" w:cs="仿宋"/>
                <w:sz w:val="24"/>
                <w:szCs w:val="24"/>
                <w:highlight w:val="none"/>
              </w:rPr>
            </w:pPr>
          </w:p>
        </w:tc>
      </w:tr>
      <w:tr w14:paraId="1C370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295D4039">
            <w:pPr>
              <w:pStyle w:val="23"/>
              <w:spacing w:line="400" w:lineRule="exact"/>
              <w:rPr>
                <w:rFonts w:ascii="仿宋" w:hAnsi="仿宋" w:eastAsia="仿宋" w:cs="仿宋"/>
                <w:sz w:val="24"/>
                <w:szCs w:val="24"/>
                <w:highlight w:val="none"/>
              </w:rPr>
            </w:pPr>
          </w:p>
        </w:tc>
        <w:tc>
          <w:tcPr>
            <w:tcW w:w="1236" w:type="dxa"/>
            <w:noWrap w:val="0"/>
            <w:vAlign w:val="top"/>
          </w:tcPr>
          <w:p w14:paraId="64D26CF9">
            <w:pPr>
              <w:pStyle w:val="23"/>
              <w:spacing w:line="400" w:lineRule="exact"/>
              <w:rPr>
                <w:rFonts w:ascii="仿宋" w:hAnsi="仿宋" w:eastAsia="仿宋" w:cs="仿宋"/>
                <w:sz w:val="24"/>
                <w:szCs w:val="24"/>
                <w:highlight w:val="none"/>
              </w:rPr>
            </w:pPr>
          </w:p>
        </w:tc>
        <w:tc>
          <w:tcPr>
            <w:tcW w:w="2657" w:type="dxa"/>
            <w:noWrap w:val="0"/>
            <w:vAlign w:val="top"/>
          </w:tcPr>
          <w:p w14:paraId="0B2EED9F">
            <w:pPr>
              <w:pStyle w:val="23"/>
              <w:spacing w:line="400" w:lineRule="exact"/>
              <w:rPr>
                <w:rFonts w:ascii="仿宋" w:hAnsi="仿宋" w:eastAsia="仿宋" w:cs="仿宋"/>
                <w:sz w:val="24"/>
                <w:szCs w:val="24"/>
                <w:highlight w:val="none"/>
              </w:rPr>
            </w:pPr>
          </w:p>
        </w:tc>
        <w:tc>
          <w:tcPr>
            <w:tcW w:w="1417" w:type="dxa"/>
            <w:noWrap w:val="0"/>
            <w:vAlign w:val="top"/>
          </w:tcPr>
          <w:p w14:paraId="017ADDD0">
            <w:pPr>
              <w:pStyle w:val="23"/>
              <w:spacing w:line="400" w:lineRule="exact"/>
              <w:rPr>
                <w:rFonts w:ascii="仿宋" w:hAnsi="仿宋" w:eastAsia="仿宋" w:cs="仿宋"/>
                <w:sz w:val="24"/>
                <w:szCs w:val="24"/>
                <w:highlight w:val="none"/>
              </w:rPr>
            </w:pPr>
          </w:p>
        </w:tc>
        <w:tc>
          <w:tcPr>
            <w:tcW w:w="2694" w:type="dxa"/>
            <w:noWrap w:val="0"/>
            <w:vAlign w:val="top"/>
          </w:tcPr>
          <w:p w14:paraId="2FAA70D3">
            <w:pPr>
              <w:pStyle w:val="23"/>
              <w:spacing w:line="400" w:lineRule="exact"/>
              <w:rPr>
                <w:rFonts w:ascii="仿宋" w:hAnsi="仿宋" w:eastAsia="仿宋" w:cs="仿宋"/>
                <w:sz w:val="24"/>
                <w:szCs w:val="24"/>
                <w:highlight w:val="none"/>
              </w:rPr>
            </w:pPr>
          </w:p>
        </w:tc>
        <w:tc>
          <w:tcPr>
            <w:tcW w:w="1293" w:type="dxa"/>
            <w:noWrap w:val="0"/>
            <w:vAlign w:val="top"/>
          </w:tcPr>
          <w:p w14:paraId="7CFB96D5">
            <w:pPr>
              <w:pStyle w:val="23"/>
              <w:spacing w:line="400" w:lineRule="exact"/>
              <w:rPr>
                <w:rFonts w:ascii="仿宋" w:hAnsi="仿宋" w:eastAsia="仿宋" w:cs="仿宋"/>
                <w:sz w:val="24"/>
                <w:szCs w:val="24"/>
                <w:highlight w:val="none"/>
              </w:rPr>
            </w:pPr>
          </w:p>
        </w:tc>
      </w:tr>
      <w:tr w14:paraId="08DB3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0551B4F1">
            <w:pPr>
              <w:pStyle w:val="23"/>
              <w:spacing w:line="400" w:lineRule="exact"/>
              <w:rPr>
                <w:rFonts w:ascii="仿宋" w:hAnsi="仿宋" w:eastAsia="仿宋" w:cs="仿宋"/>
                <w:sz w:val="24"/>
                <w:szCs w:val="24"/>
                <w:highlight w:val="none"/>
              </w:rPr>
            </w:pPr>
          </w:p>
        </w:tc>
        <w:tc>
          <w:tcPr>
            <w:tcW w:w="1236" w:type="dxa"/>
            <w:noWrap w:val="0"/>
            <w:vAlign w:val="top"/>
          </w:tcPr>
          <w:p w14:paraId="6B16DFF1">
            <w:pPr>
              <w:pStyle w:val="23"/>
              <w:spacing w:line="400" w:lineRule="exact"/>
              <w:rPr>
                <w:rFonts w:ascii="仿宋" w:hAnsi="仿宋" w:eastAsia="仿宋" w:cs="仿宋"/>
                <w:sz w:val="24"/>
                <w:szCs w:val="24"/>
                <w:highlight w:val="none"/>
              </w:rPr>
            </w:pPr>
          </w:p>
        </w:tc>
        <w:tc>
          <w:tcPr>
            <w:tcW w:w="2657" w:type="dxa"/>
            <w:noWrap w:val="0"/>
            <w:vAlign w:val="top"/>
          </w:tcPr>
          <w:p w14:paraId="3A6C9783">
            <w:pPr>
              <w:pStyle w:val="23"/>
              <w:spacing w:line="400" w:lineRule="exact"/>
              <w:rPr>
                <w:rFonts w:ascii="仿宋" w:hAnsi="仿宋" w:eastAsia="仿宋" w:cs="仿宋"/>
                <w:sz w:val="24"/>
                <w:szCs w:val="24"/>
                <w:highlight w:val="none"/>
              </w:rPr>
            </w:pPr>
          </w:p>
        </w:tc>
        <w:tc>
          <w:tcPr>
            <w:tcW w:w="1417" w:type="dxa"/>
            <w:noWrap w:val="0"/>
            <w:vAlign w:val="top"/>
          </w:tcPr>
          <w:p w14:paraId="2E0CD188">
            <w:pPr>
              <w:pStyle w:val="23"/>
              <w:spacing w:line="400" w:lineRule="exact"/>
              <w:rPr>
                <w:rFonts w:ascii="仿宋" w:hAnsi="仿宋" w:eastAsia="仿宋" w:cs="仿宋"/>
                <w:sz w:val="24"/>
                <w:szCs w:val="24"/>
                <w:highlight w:val="none"/>
              </w:rPr>
            </w:pPr>
          </w:p>
        </w:tc>
        <w:tc>
          <w:tcPr>
            <w:tcW w:w="2694" w:type="dxa"/>
            <w:noWrap w:val="0"/>
            <w:vAlign w:val="top"/>
          </w:tcPr>
          <w:p w14:paraId="3C6215ED">
            <w:pPr>
              <w:pStyle w:val="23"/>
              <w:spacing w:line="400" w:lineRule="exact"/>
              <w:rPr>
                <w:rFonts w:ascii="仿宋" w:hAnsi="仿宋" w:eastAsia="仿宋" w:cs="仿宋"/>
                <w:sz w:val="24"/>
                <w:szCs w:val="24"/>
                <w:highlight w:val="none"/>
              </w:rPr>
            </w:pPr>
          </w:p>
        </w:tc>
        <w:tc>
          <w:tcPr>
            <w:tcW w:w="1293" w:type="dxa"/>
            <w:noWrap w:val="0"/>
            <w:vAlign w:val="top"/>
          </w:tcPr>
          <w:p w14:paraId="4C1FEA08">
            <w:pPr>
              <w:pStyle w:val="23"/>
              <w:spacing w:line="400" w:lineRule="exact"/>
              <w:rPr>
                <w:rFonts w:ascii="仿宋" w:hAnsi="仿宋" w:eastAsia="仿宋" w:cs="仿宋"/>
                <w:sz w:val="24"/>
                <w:szCs w:val="24"/>
                <w:highlight w:val="none"/>
              </w:rPr>
            </w:pPr>
          </w:p>
        </w:tc>
      </w:tr>
      <w:tr w14:paraId="38C9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5D23DBD3">
            <w:pPr>
              <w:pStyle w:val="23"/>
              <w:spacing w:line="400" w:lineRule="exact"/>
              <w:rPr>
                <w:rFonts w:ascii="仿宋" w:hAnsi="仿宋" w:eastAsia="仿宋" w:cs="仿宋"/>
                <w:sz w:val="24"/>
                <w:szCs w:val="24"/>
                <w:highlight w:val="none"/>
              </w:rPr>
            </w:pPr>
          </w:p>
        </w:tc>
        <w:tc>
          <w:tcPr>
            <w:tcW w:w="1236" w:type="dxa"/>
            <w:noWrap w:val="0"/>
            <w:vAlign w:val="top"/>
          </w:tcPr>
          <w:p w14:paraId="2B4B12D5">
            <w:pPr>
              <w:pStyle w:val="23"/>
              <w:spacing w:line="400" w:lineRule="exact"/>
              <w:rPr>
                <w:rFonts w:ascii="仿宋" w:hAnsi="仿宋" w:eastAsia="仿宋" w:cs="仿宋"/>
                <w:sz w:val="24"/>
                <w:szCs w:val="24"/>
                <w:highlight w:val="none"/>
              </w:rPr>
            </w:pPr>
          </w:p>
        </w:tc>
        <w:tc>
          <w:tcPr>
            <w:tcW w:w="2657" w:type="dxa"/>
            <w:noWrap w:val="0"/>
            <w:vAlign w:val="top"/>
          </w:tcPr>
          <w:p w14:paraId="3DBF809F">
            <w:pPr>
              <w:pStyle w:val="23"/>
              <w:spacing w:line="400" w:lineRule="exact"/>
              <w:rPr>
                <w:rFonts w:ascii="仿宋" w:hAnsi="仿宋" w:eastAsia="仿宋" w:cs="仿宋"/>
                <w:sz w:val="24"/>
                <w:szCs w:val="24"/>
                <w:highlight w:val="none"/>
              </w:rPr>
            </w:pPr>
          </w:p>
        </w:tc>
        <w:tc>
          <w:tcPr>
            <w:tcW w:w="1417" w:type="dxa"/>
            <w:noWrap w:val="0"/>
            <w:vAlign w:val="top"/>
          </w:tcPr>
          <w:p w14:paraId="6339A268">
            <w:pPr>
              <w:pStyle w:val="23"/>
              <w:spacing w:line="400" w:lineRule="exact"/>
              <w:rPr>
                <w:rFonts w:ascii="仿宋" w:hAnsi="仿宋" w:eastAsia="仿宋" w:cs="仿宋"/>
                <w:sz w:val="24"/>
                <w:szCs w:val="24"/>
                <w:highlight w:val="none"/>
              </w:rPr>
            </w:pPr>
          </w:p>
        </w:tc>
        <w:tc>
          <w:tcPr>
            <w:tcW w:w="2694" w:type="dxa"/>
            <w:noWrap w:val="0"/>
            <w:vAlign w:val="top"/>
          </w:tcPr>
          <w:p w14:paraId="2BEF6E43">
            <w:pPr>
              <w:pStyle w:val="23"/>
              <w:spacing w:line="400" w:lineRule="exact"/>
              <w:rPr>
                <w:rFonts w:ascii="仿宋" w:hAnsi="仿宋" w:eastAsia="仿宋" w:cs="仿宋"/>
                <w:sz w:val="24"/>
                <w:szCs w:val="24"/>
                <w:highlight w:val="none"/>
              </w:rPr>
            </w:pPr>
          </w:p>
        </w:tc>
        <w:tc>
          <w:tcPr>
            <w:tcW w:w="1293" w:type="dxa"/>
            <w:noWrap w:val="0"/>
            <w:vAlign w:val="top"/>
          </w:tcPr>
          <w:p w14:paraId="72411BB4">
            <w:pPr>
              <w:pStyle w:val="23"/>
              <w:spacing w:line="400" w:lineRule="exact"/>
              <w:rPr>
                <w:rFonts w:ascii="仿宋" w:hAnsi="仿宋" w:eastAsia="仿宋" w:cs="仿宋"/>
                <w:sz w:val="24"/>
                <w:szCs w:val="24"/>
                <w:highlight w:val="none"/>
              </w:rPr>
            </w:pPr>
          </w:p>
        </w:tc>
      </w:tr>
    </w:tbl>
    <w:p w14:paraId="7EFF91E3">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5272800A">
      <w:pPr>
        <w:spacing w:line="360" w:lineRule="exact"/>
        <w:ind w:firstLine="4200" w:firstLineChars="1750"/>
        <w:rPr>
          <w:rFonts w:ascii="仿宋" w:hAnsi="仿宋" w:eastAsia="仿宋" w:cs="仿宋"/>
          <w:sz w:val="24"/>
          <w:szCs w:val="24"/>
          <w:highlight w:val="none"/>
        </w:rPr>
      </w:pPr>
    </w:p>
    <w:p w14:paraId="26962AAB">
      <w:pPr>
        <w:spacing w:line="360" w:lineRule="exact"/>
        <w:ind w:firstLine="4200" w:firstLineChars="1750"/>
        <w:rPr>
          <w:rFonts w:ascii="仿宋" w:hAnsi="仿宋" w:eastAsia="仿宋" w:cs="仿宋"/>
          <w:sz w:val="24"/>
          <w:szCs w:val="24"/>
          <w:highlight w:val="none"/>
        </w:rPr>
      </w:pPr>
    </w:p>
    <w:p w14:paraId="196D9768">
      <w:pPr>
        <w:spacing w:line="360" w:lineRule="exact"/>
        <w:ind w:firstLine="4200" w:firstLineChars="1750"/>
        <w:rPr>
          <w:rFonts w:ascii="仿宋" w:hAnsi="仿宋" w:eastAsia="仿宋" w:cs="仿宋"/>
          <w:sz w:val="24"/>
          <w:szCs w:val="24"/>
          <w:highlight w:val="none"/>
        </w:rPr>
      </w:pPr>
    </w:p>
    <w:p w14:paraId="176F22F1">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28AB05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45623D4">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77B730D7">
      <w:pPr>
        <w:spacing w:line="460" w:lineRule="exact"/>
        <w:jc w:val="center"/>
        <w:rPr>
          <w:rFonts w:hint="eastAsia" w:ascii="仿宋" w:hAnsi="仿宋" w:eastAsia="仿宋" w:cs="仿宋"/>
          <w:b/>
          <w:kern w:val="0"/>
          <w:sz w:val="36"/>
          <w:szCs w:val="36"/>
          <w:highlight w:val="none"/>
        </w:rPr>
      </w:pPr>
    </w:p>
    <w:p w14:paraId="12A9DCD4">
      <w:pPr>
        <w:spacing w:line="460" w:lineRule="exact"/>
        <w:jc w:val="center"/>
        <w:rPr>
          <w:rFonts w:hint="eastAsia" w:ascii="仿宋" w:hAnsi="仿宋" w:eastAsia="仿宋" w:cs="仿宋"/>
          <w:b/>
          <w:kern w:val="0"/>
          <w:sz w:val="36"/>
          <w:szCs w:val="36"/>
          <w:highlight w:val="none"/>
        </w:rPr>
      </w:pPr>
    </w:p>
    <w:p w14:paraId="26C393A3">
      <w:pPr>
        <w:spacing w:line="460" w:lineRule="exact"/>
        <w:jc w:val="center"/>
        <w:rPr>
          <w:rFonts w:hint="eastAsia" w:ascii="仿宋" w:hAnsi="仿宋" w:eastAsia="仿宋" w:cs="仿宋"/>
          <w:b/>
          <w:kern w:val="0"/>
          <w:sz w:val="36"/>
          <w:szCs w:val="36"/>
          <w:highlight w:val="none"/>
        </w:rPr>
      </w:pPr>
    </w:p>
    <w:p w14:paraId="452FD131">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4"/>
    <w:p w14:paraId="4C9495B3">
      <w:pPr>
        <w:pStyle w:val="23"/>
        <w:wordWrap w:val="0"/>
        <w:spacing w:line="360" w:lineRule="auto"/>
        <w:rPr>
          <w:rFonts w:hint="eastAsia" w:ascii="仿宋" w:hAnsi="仿宋" w:eastAsia="仿宋" w:cs="仿宋"/>
          <w:sz w:val="24"/>
          <w:szCs w:val="24"/>
          <w:highlight w:val="none"/>
        </w:rPr>
      </w:pPr>
      <w:bookmarkStart w:id="25" w:name="_Toc13194"/>
      <w:r>
        <w:rPr>
          <w:rFonts w:hint="eastAsia" w:ascii="仿宋" w:hAnsi="仿宋" w:eastAsia="仿宋" w:cs="仿宋"/>
          <w:sz w:val="24"/>
          <w:szCs w:val="24"/>
          <w:highlight w:val="none"/>
        </w:rPr>
        <w:t>包括但不限于以下内容：</w:t>
      </w:r>
    </w:p>
    <w:p w14:paraId="7F32B7A8">
      <w:pPr>
        <w:pStyle w:val="23"/>
        <w:wordWrap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产品技术性能</w:t>
      </w:r>
    </w:p>
    <w:p w14:paraId="5BF9B3E5">
      <w:pPr>
        <w:pStyle w:val="23"/>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、供货方案</w:t>
      </w:r>
    </w:p>
    <w:p w14:paraId="734EC9D3">
      <w:pPr>
        <w:pStyle w:val="23"/>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、售后服务承诺</w:t>
      </w:r>
    </w:p>
    <w:p w14:paraId="6324C274">
      <w:pPr>
        <w:pStyle w:val="23"/>
        <w:tabs>
          <w:tab w:val="left" w:pos="3375"/>
        </w:tabs>
        <w:wordWrap w:val="0"/>
        <w:spacing w:line="360" w:lineRule="auto"/>
        <w:jc w:val="center"/>
        <w:rPr>
          <w:rFonts w:hint="eastAsia"/>
          <w:highlight w:val="none"/>
          <w:lang w:eastAsia="zh-CN"/>
        </w:rPr>
      </w:pPr>
      <w:r>
        <w:rPr>
          <w:rFonts w:hint="eastAsia" w:ascii="仿宋" w:hAnsi="仿宋" w:eastAsia="仿宋" w:cs="仿宋"/>
          <w:sz w:val="24"/>
          <w:szCs w:val="24"/>
          <w:highlight w:val="none"/>
          <w:lang w:eastAsia="zh-CN"/>
        </w:rPr>
        <w:br w:type="page"/>
      </w:r>
      <w:r>
        <w:rPr>
          <w:rFonts w:hint="eastAsia" w:ascii="黑体" w:hAnsi="黑体" w:eastAsia="仿宋" w:cs="Times New Roman"/>
          <w:b/>
          <w:kern w:val="2"/>
          <w:sz w:val="30"/>
          <w:szCs w:val="22"/>
          <w:highlight w:val="none"/>
          <w:lang w:val="en-US" w:eastAsia="zh-CN" w:bidi="ar-SA"/>
        </w:rPr>
        <w:t>第六部分  合同（范本）</w:t>
      </w:r>
      <w:bookmarkEnd w:id="25"/>
    </w:p>
    <w:p w14:paraId="11B941A2">
      <w:pPr>
        <w:pStyle w:val="37"/>
        <w:pageBreakBefore w:val="0"/>
        <w:kinsoku/>
        <w:wordWrap/>
        <w:overflowPunct/>
        <w:topLinePunct w:val="0"/>
        <w:autoSpaceDE/>
        <w:autoSpaceDN/>
        <w:bidi w:val="0"/>
        <w:adjustRightInd/>
        <w:snapToGrid/>
        <w:spacing w:before="0" w:beforeAutospacing="0" w:after="0" w:afterAutospacing="0" w:line="480" w:lineRule="exact"/>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合同编号：</w:t>
      </w:r>
    </w:p>
    <w:p w14:paraId="1776616B">
      <w:pPr>
        <w:pStyle w:val="37"/>
        <w:pageBreakBefore w:val="0"/>
        <w:kinsoku/>
        <w:wordWrap/>
        <w:overflowPunct/>
        <w:topLinePunct w:val="0"/>
        <w:autoSpaceDE/>
        <w:autoSpaceDN/>
        <w:bidi w:val="0"/>
        <w:adjustRightInd/>
        <w:snapToGrid/>
        <w:spacing w:before="0" w:beforeAutospacing="0" w:after="0" w:afterAutospacing="0" w:line="480" w:lineRule="exact"/>
        <w:jc w:val="right"/>
        <w:rPr>
          <w:rFonts w:hint="eastAsia" w:ascii="仿宋" w:hAnsi="仿宋" w:eastAsia="仿宋" w:cs="仿宋"/>
          <w:b/>
          <w:bCs/>
          <w:kern w:val="44"/>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sz w:val="24"/>
          <w:szCs w:val="24"/>
          <w:highlight w:val="none"/>
        </w:rPr>
        <w:t xml:space="preserve">        </w:t>
      </w:r>
      <w:r>
        <w:rPr>
          <w:rFonts w:hint="eastAsia" w:ascii="仿宋" w:hAnsi="仿宋" w:eastAsia="仿宋" w:cs="仿宋"/>
          <w:kern w:val="44"/>
          <w:sz w:val="24"/>
          <w:szCs w:val="24"/>
          <w:highlight w:val="none"/>
          <w:lang w:val="en-US" w:eastAsia="zh-CN"/>
        </w:rPr>
        <w:t xml:space="preserve">                         </w:t>
      </w:r>
    </w:p>
    <w:p w14:paraId="559BD4DA">
      <w:pPr>
        <w:keepNext w:val="0"/>
        <w:keepLines w:val="0"/>
        <w:pageBreakBefore w:val="0"/>
        <w:kinsoku/>
        <w:wordWrap/>
        <w:overflowPunct/>
        <w:topLinePunct w:val="0"/>
        <w:autoSpaceDE/>
        <w:autoSpaceDN/>
        <w:bidi w:val="0"/>
        <w:snapToGrid/>
        <w:spacing w:line="410" w:lineRule="exact"/>
        <w:contextualSpacing/>
        <w:jc w:val="center"/>
        <w:textAlignment w:val="auto"/>
        <w:rPr>
          <w:rFonts w:hint="eastAsia" w:ascii="仿宋" w:hAnsi="仿宋" w:eastAsia="仿宋" w:cs="仿宋"/>
          <w:b/>
          <w:bCs/>
          <w:kern w:val="44"/>
          <w:sz w:val="32"/>
          <w:szCs w:val="32"/>
          <w:highlight w:val="none"/>
          <w:lang w:eastAsia="zh-CN"/>
        </w:rPr>
      </w:pPr>
      <w:r>
        <w:rPr>
          <w:rFonts w:hint="eastAsia" w:ascii="仿宋" w:hAnsi="仿宋" w:eastAsia="仿宋" w:cs="仿宋"/>
          <w:b/>
          <w:bCs/>
          <w:kern w:val="44"/>
          <w:sz w:val="32"/>
          <w:szCs w:val="32"/>
          <w:highlight w:val="none"/>
          <w:lang w:eastAsia="zh-CN"/>
        </w:rPr>
        <w:t>威海市水务集团有限公司选定聚氯化铝年度供应商合同</w:t>
      </w:r>
    </w:p>
    <w:p w14:paraId="31FC238F">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p>
    <w:p w14:paraId="49372128">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Style w:val="44"/>
          <w:rFonts w:hint="eastAsia" w:ascii="仿宋" w:hAnsi="仿宋" w:eastAsia="仿宋" w:cs="仿宋"/>
          <w:sz w:val="24"/>
          <w:szCs w:val="24"/>
          <w:highlight w:val="none"/>
        </w:rPr>
        <w:t>甲方（买方）：</w:t>
      </w:r>
      <w:r>
        <w:rPr>
          <w:rStyle w:val="44"/>
          <w:rFonts w:hint="eastAsia" w:ascii="仿宋" w:hAnsi="仿宋" w:eastAsia="仿宋" w:cs="仿宋"/>
          <w:highlight w:val="none"/>
          <w:lang w:val="en-US" w:eastAsia="zh-CN"/>
        </w:rPr>
        <w:t>威海市水务集团有限公司</w:t>
      </w:r>
    </w:p>
    <w:p w14:paraId="42D28621">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r>
        <w:rPr>
          <w:rStyle w:val="44"/>
          <w:rFonts w:hint="eastAsia" w:ascii="仿宋" w:hAnsi="仿宋" w:eastAsia="仿宋" w:cs="仿宋"/>
          <w:sz w:val="24"/>
          <w:szCs w:val="24"/>
          <w:highlight w:val="none"/>
        </w:rPr>
        <w:t>乙方（卖方）：</w:t>
      </w:r>
    </w:p>
    <w:p w14:paraId="43BFD383">
      <w:pPr>
        <w:pStyle w:val="4"/>
        <w:pageBreakBefore w:val="0"/>
        <w:widowControl/>
        <w:numPr>
          <w:ilvl w:val="0"/>
          <w:numId w:val="0"/>
        </w:numPr>
        <w:kinsoku/>
        <w:wordWrap/>
        <w:overflowPunct/>
        <w:topLinePunct w:val="0"/>
        <w:autoSpaceDE/>
        <w:autoSpaceDN/>
        <w:bidi w:val="0"/>
        <w:adjustRightInd/>
        <w:snapToGrid/>
        <w:spacing w:before="0" w:after="0" w:line="480" w:lineRule="exact"/>
        <w:ind w:leftChars="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甲乙双方根据《中华人民共和国民法典》等相关法律、法规和政策的规定，在平等互利、协商一致的基础上，约定甲方不定期向乙方购买本合同项下产品，签订本合同。</w:t>
      </w:r>
    </w:p>
    <w:p w14:paraId="1C144426">
      <w:pPr>
        <w:pStyle w:val="4"/>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after="0" w:line="480" w:lineRule="exact"/>
        <w:jc w:val="both"/>
        <w:rPr>
          <w:rStyle w:val="44"/>
          <w:rFonts w:hint="eastAsia" w:ascii="仿宋" w:hAnsi="仿宋" w:eastAsia="仿宋" w:cs="仿宋"/>
          <w:b/>
          <w:bCs/>
          <w:sz w:val="24"/>
          <w:szCs w:val="24"/>
          <w:highlight w:val="none"/>
        </w:rPr>
      </w:pPr>
      <w:r>
        <w:rPr>
          <w:rStyle w:val="44"/>
          <w:rFonts w:hint="eastAsia" w:ascii="仿宋" w:hAnsi="仿宋" w:eastAsia="仿宋" w:cs="仿宋"/>
          <w:b/>
          <w:bCs/>
          <w:sz w:val="24"/>
          <w:szCs w:val="24"/>
          <w:highlight w:val="none"/>
        </w:rPr>
        <w:t>第</w:t>
      </w:r>
      <w:r>
        <w:rPr>
          <w:rStyle w:val="44"/>
          <w:rFonts w:hint="eastAsia" w:ascii="仿宋" w:hAnsi="仿宋" w:eastAsia="仿宋" w:cs="仿宋"/>
          <w:b/>
          <w:bCs/>
          <w:sz w:val="24"/>
          <w:szCs w:val="24"/>
          <w:highlight w:val="none"/>
          <w:lang w:val="en-US" w:eastAsia="zh-CN"/>
        </w:rPr>
        <w:t>1</w:t>
      </w:r>
      <w:r>
        <w:rPr>
          <w:rStyle w:val="44"/>
          <w:rFonts w:hint="eastAsia" w:ascii="仿宋" w:hAnsi="仿宋" w:eastAsia="仿宋" w:cs="仿宋"/>
          <w:b/>
          <w:bCs/>
          <w:sz w:val="24"/>
          <w:szCs w:val="24"/>
          <w:highlight w:val="none"/>
        </w:rPr>
        <w:t>条</w:t>
      </w:r>
      <w:r>
        <w:rPr>
          <w:rStyle w:val="44"/>
          <w:rFonts w:hint="eastAsia" w:ascii="仿宋" w:hAnsi="仿宋" w:eastAsia="仿宋" w:cs="仿宋"/>
          <w:b/>
          <w:bCs/>
          <w:sz w:val="24"/>
          <w:szCs w:val="24"/>
          <w:highlight w:val="none"/>
          <w:lang w:val="en-US" w:eastAsia="zh-CN"/>
        </w:rPr>
        <w:t xml:space="preserve"> </w:t>
      </w:r>
      <w:r>
        <w:rPr>
          <w:rStyle w:val="44"/>
          <w:rFonts w:hint="eastAsia" w:ascii="仿宋" w:hAnsi="仿宋" w:eastAsia="仿宋" w:cs="仿宋"/>
          <w:b/>
          <w:bCs/>
          <w:sz w:val="24"/>
          <w:szCs w:val="24"/>
          <w:highlight w:val="none"/>
        </w:rPr>
        <w:t>产品规格及价格</w:t>
      </w:r>
    </w:p>
    <w:tbl>
      <w:tblPr>
        <w:tblStyle w:val="41"/>
        <w:tblpPr w:leftFromText="180" w:rightFromText="180" w:vertAnchor="text" w:horzAnchor="page" w:tblpX="1038" w:tblpY="102"/>
        <w:tblOverlap w:val="never"/>
        <w:tblW w:w="103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4"/>
        <w:gridCol w:w="1403"/>
        <w:gridCol w:w="964"/>
        <w:gridCol w:w="642"/>
        <w:gridCol w:w="832"/>
        <w:gridCol w:w="1185"/>
        <w:gridCol w:w="1397"/>
        <w:gridCol w:w="1030"/>
        <w:gridCol w:w="944"/>
        <w:gridCol w:w="1410"/>
      </w:tblGrid>
      <w:tr w14:paraId="74E8D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exact"/>
        </w:trPr>
        <w:tc>
          <w:tcPr>
            <w:tcW w:w="584" w:type="dxa"/>
            <w:noWrap w:val="0"/>
            <w:vAlign w:val="center"/>
          </w:tcPr>
          <w:p w14:paraId="6EF05E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序号</w:t>
            </w:r>
          </w:p>
        </w:tc>
        <w:tc>
          <w:tcPr>
            <w:tcW w:w="1403" w:type="dxa"/>
            <w:noWrap w:val="0"/>
            <w:vAlign w:val="center"/>
          </w:tcPr>
          <w:p w14:paraId="7C439BE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产品名称</w:t>
            </w:r>
          </w:p>
        </w:tc>
        <w:tc>
          <w:tcPr>
            <w:tcW w:w="964" w:type="dxa"/>
            <w:noWrap w:val="0"/>
            <w:vAlign w:val="center"/>
          </w:tcPr>
          <w:p w14:paraId="2BD48C8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规格</w:t>
            </w:r>
          </w:p>
          <w:p w14:paraId="5D2B245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型号</w:t>
            </w:r>
          </w:p>
        </w:tc>
        <w:tc>
          <w:tcPr>
            <w:tcW w:w="642" w:type="dxa"/>
            <w:noWrap w:val="0"/>
            <w:vAlign w:val="center"/>
          </w:tcPr>
          <w:p w14:paraId="632E031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单位</w:t>
            </w:r>
          </w:p>
        </w:tc>
        <w:tc>
          <w:tcPr>
            <w:tcW w:w="832" w:type="dxa"/>
            <w:noWrap w:val="0"/>
            <w:vAlign w:val="center"/>
          </w:tcPr>
          <w:p w14:paraId="619E45B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暂定</w:t>
            </w:r>
          </w:p>
          <w:p w14:paraId="703DB1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数量</w:t>
            </w:r>
          </w:p>
        </w:tc>
        <w:tc>
          <w:tcPr>
            <w:tcW w:w="1185" w:type="dxa"/>
            <w:noWrap w:val="0"/>
            <w:vAlign w:val="center"/>
          </w:tcPr>
          <w:p w14:paraId="35F83F2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不含税</w:t>
            </w:r>
            <w:r>
              <w:rPr>
                <w:rFonts w:hint="eastAsia" w:ascii="仿宋" w:hAnsi="仿宋" w:eastAsia="仿宋" w:cs="仿宋"/>
                <w:color w:val="auto"/>
                <w:kern w:val="0"/>
                <w:sz w:val="21"/>
                <w:szCs w:val="21"/>
                <w:highlight w:val="none"/>
              </w:rPr>
              <w:t>单价（元）</w:t>
            </w:r>
          </w:p>
        </w:tc>
        <w:tc>
          <w:tcPr>
            <w:tcW w:w="1397" w:type="dxa"/>
            <w:noWrap w:val="0"/>
            <w:vAlign w:val="center"/>
          </w:tcPr>
          <w:p w14:paraId="4B9DE3F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含税</w:t>
            </w:r>
            <w:r>
              <w:rPr>
                <w:rFonts w:hint="eastAsia" w:ascii="仿宋" w:hAnsi="仿宋" w:eastAsia="仿宋" w:cs="仿宋"/>
                <w:color w:val="auto"/>
                <w:kern w:val="0"/>
                <w:sz w:val="21"/>
                <w:szCs w:val="21"/>
                <w:highlight w:val="none"/>
              </w:rPr>
              <w:t>单价</w:t>
            </w:r>
          </w:p>
          <w:p w14:paraId="667D29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（元）</w:t>
            </w:r>
          </w:p>
        </w:tc>
        <w:tc>
          <w:tcPr>
            <w:tcW w:w="1030" w:type="dxa"/>
            <w:noWrap w:val="0"/>
            <w:vAlign w:val="center"/>
          </w:tcPr>
          <w:p w14:paraId="3CFEE6B8">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暂定含税合</w:t>
            </w:r>
            <w:r>
              <w:rPr>
                <w:rFonts w:hint="eastAsia" w:ascii="仿宋" w:hAnsi="仿宋" w:eastAsia="仿宋" w:cs="仿宋"/>
                <w:color w:val="auto"/>
                <w:kern w:val="0"/>
                <w:sz w:val="21"/>
                <w:szCs w:val="21"/>
                <w:highlight w:val="none"/>
              </w:rPr>
              <w:t>价（元）</w:t>
            </w:r>
          </w:p>
        </w:tc>
        <w:tc>
          <w:tcPr>
            <w:tcW w:w="944" w:type="dxa"/>
            <w:noWrap w:val="0"/>
            <w:vAlign w:val="center"/>
          </w:tcPr>
          <w:p w14:paraId="6355AB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品牌</w:t>
            </w:r>
          </w:p>
        </w:tc>
        <w:tc>
          <w:tcPr>
            <w:tcW w:w="1410" w:type="dxa"/>
            <w:noWrap w:val="0"/>
            <w:vAlign w:val="center"/>
          </w:tcPr>
          <w:p w14:paraId="2DD501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生产厂家</w:t>
            </w:r>
          </w:p>
        </w:tc>
      </w:tr>
      <w:tr w14:paraId="5A3B2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7" w:hRule="exact"/>
        </w:trPr>
        <w:tc>
          <w:tcPr>
            <w:tcW w:w="584" w:type="dxa"/>
            <w:tcBorders>
              <w:bottom w:val="single" w:color="auto" w:sz="4" w:space="0"/>
            </w:tcBorders>
            <w:noWrap w:val="0"/>
            <w:vAlign w:val="center"/>
          </w:tcPr>
          <w:p w14:paraId="4430ECD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1</w:t>
            </w:r>
          </w:p>
        </w:tc>
        <w:tc>
          <w:tcPr>
            <w:tcW w:w="1403" w:type="dxa"/>
            <w:tcBorders>
              <w:bottom w:val="single" w:color="auto" w:sz="4" w:space="0"/>
            </w:tcBorders>
            <w:noWrap w:val="0"/>
            <w:vAlign w:val="center"/>
          </w:tcPr>
          <w:p w14:paraId="7DDD6D8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964" w:type="dxa"/>
            <w:tcBorders>
              <w:bottom w:val="single" w:color="auto" w:sz="4" w:space="0"/>
            </w:tcBorders>
            <w:noWrap w:val="0"/>
            <w:vAlign w:val="center"/>
          </w:tcPr>
          <w:p w14:paraId="57E6EE9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642" w:type="dxa"/>
            <w:tcBorders>
              <w:bottom w:val="single" w:color="auto" w:sz="4" w:space="0"/>
            </w:tcBorders>
            <w:noWrap w:val="0"/>
            <w:vAlign w:val="center"/>
          </w:tcPr>
          <w:p w14:paraId="1A0A712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832" w:type="dxa"/>
            <w:tcBorders>
              <w:bottom w:val="single" w:color="auto" w:sz="4" w:space="0"/>
            </w:tcBorders>
            <w:noWrap w:val="0"/>
            <w:vAlign w:val="center"/>
          </w:tcPr>
          <w:p w14:paraId="5EA0045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1185" w:type="dxa"/>
            <w:tcBorders>
              <w:bottom w:val="single" w:color="auto" w:sz="4" w:space="0"/>
            </w:tcBorders>
            <w:noWrap w:val="0"/>
            <w:vAlign w:val="center"/>
          </w:tcPr>
          <w:p w14:paraId="7AF3739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1397" w:type="dxa"/>
            <w:tcBorders>
              <w:bottom w:val="single" w:color="auto" w:sz="4" w:space="0"/>
            </w:tcBorders>
            <w:noWrap w:val="0"/>
            <w:vAlign w:val="center"/>
          </w:tcPr>
          <w:p w14:paraId="7FBF748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1030" w:type="dxa"/>
            <w:tcBorders>
              <w:bottom w:val="single" w:color="auto" w:sz="4" w:space="0"/>
            </w:tcBorders>
            <w:noWrap w:val="0"/>
            <w:vAlign w:val="center"/>
          </w:tcPr>
          <w:p w14:paraId="33941AF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944" w:type="dxa"/>
            <w:tcBorders>
              <w:bottom w:val="single" w:color="auto" w:sz="4" w:space="0"/>
            </w:tcBorders>
            <w:noWrap w:val="0"/>
            <w:vAlign w:val="center"/>
          </w:tcPr>
          <w:p w14:paraId="5AEECAF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c>
          <w:tcPr>
            <w:tcW w:w="1410" w:type="dxa"/>
            <w:tcBorders>
              <w:bottom w:val="single" w:color="auto" w:sz="4" w:space="0"/>
            </w:tcBorders>
            <w:noWrap w:val="0"/>
            <w:vAlign w:val="center"/>
          </w:tcPr>
          <w:p w14:paraId="0A5FA7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kern w:val="0"/>
                <w:sz w:val="21"/>
                <w:szCs w:val="21"/>
                <w:highlight w:val="none"/>
                <w:lang w:val="en-US" w:eastAsia="zh-CN"/>
              </w:rPr>
            </w:pPr>
          </w:p>
        </w:tc>
      </w:tr>
      <w:tr w14:paraId="7D859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trPr>
        <w:tc>
          <w:tcPr>
            <w:tcW w:w="584" w:type="dxa"/>
            <w:tcBorders>
              <w:top w:val="single" w:color="auto" w:sz="4" w:space="0"/>
              <w:bottom w:val="single" w:color="auto" w:sz="4" w:space="0"/>
            </w:tcBorders>
            <w:noWrap w:val="0"/>
            <w:vAlign w:val="center"/>
          </w:tcPr>
          <w:p w14:paraId="50529DE0">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备注</w:t>
            </w:r>
          </w:p>
        </w:tc>
        <w:tc>
          <w:tcPr>
            <w:tcW w:w="9807" w:type="dxa"/>
            <w:gridSpan w:val="9"/>
            <w:tcBorders>
              <w:top w:val="single" w:color="auto" w:sz="4" w:space="0"/>
              <w:left w:val="single" w:color="000000" w:sz="4" w:space="0"/>
              <w:bottom w:val="single" w:color="auto" w:sz="4" w:space="0"/>
              <w:right w:val="single" w:color="000000" w:sz="4" w:space="0"/>
            </w:tcBorders>
            <w:noWrap w:val="0"/>
            <w:vAlign w:val="center"/>
          </w:tcPr>
          <w:p w14:paraId="434CF46E">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合同有效期限内由甲方根据实际需求而调整采购数量，不排除在服务期限内甲方对乙方零采购情况的风险，乙方对此谅解且不追究责任。</w:t>
            </w:r>
          </w:p>
        </w:tc>
      </w:tr>
    </w:tbl>
    <w:p w14:paraId="6EE188C3">
      <w:pPr>
        <w:pStyle w:val="63"/>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1.1产品的质量标准按照国家标准、行业标准或</w:t>
      </w:r>
      <w:r>
        <w:rPr>
          <w:rFonts w:hint="eastAsia" w:ascii="仿宋" w:hAnsi="仿宋" w:eastAsia="仿宋" w:cs="仿宋"/>
          <w:sz w:val="24"/>
          <w:szCs w:val="24"/>
          <w:highlight w:val="none"/>
          <w:lang w:val="en-US" w:eastAsia="zh-CN"/>
        </w:rPr>
        <w:t>生产</w:t>
      </w:r>
      <w:r>
        <w:rPr>
          <w:rFonts w:hint="eastAsia" w:ascii="仿宋" w:hAnsi="仿宋" w:eastAsia="仿宋" w:cs="仿宋"/>
          <w:sz w:val="24"/>
          <w:szCs w:val="24"/>
          <w:highlight w:val="none"/>
        </w:rPr>
        <w:t>厂家企业标准确定，上述标准不一致的，以严格的标准为准。没有国家标准、行业标准和企业标准的，按照通常标准或者符合合同目的的特定标准确定，甲方有技术要求的按甲方技术标准的要求执行。</w:t>
      </w:r>
    </w:p>
    <w:p w14:paraId="2296C272">
      <w:pPr>
        <w:pStyle w:val="4"/>
        <w:pageBreakBefore w:val="0"/>
        <w:numPr>
          <w:ilvl w:val="2"/>
          <w:numId w:val="0"/>
        </w:numPr>
        <w:kinsoku/>
        <w:wordWrap/>
        <w:overflowPunct/>
        <w:topLinePunct w:val="0"/>
        <w:autoSpaceDE/>
        <w:autoSpaceDN/>
        <w:bidi w:val="0"/>
        <w:adjustRightInd/>
        <w:snapToGrid/>
        <w:spacing w:before="0" w:after="0" w:line="480" w:lineRule="exact"/>
        <w:ind w:leftChars="0"/>
        <w:jc w:val="both"/>
        <w:rPr>
          <w:rStyle w:val="44"/>
          <w:rFonts w:hint="eastAsia" w:ascii="仿宋" w:hAnsi="仿宋" w:eastAsia="仿宋" w:cs="仿宋"/>
          <w:b/>
          <w:bCs/>
          <w:sz w:val="24"/>
          <w:szCs w:val="24"/>
          <w:highlight w:val="none"/>
        </w:rPr>
      </w:pPr>
      <w:r>
        <w:rPr>
          <w:rStyle w:val="44"/>
          <w:rFonts w:hint="eastAsia" w:ascii="仿宋" w:hAnsi="仿宋" w:eastAsia="仿宋" w:cs="仿宋"/>
          <w:b/>
          <w:bCs/>
          <w:sz w:val="24"/>
          <w:szCs w:val="24"/>
          <w:highlight w:val="none"/>
        </w:rPr>
        <w:t>第2条 合同价款及支付方式</w:t>
      </w:r>
    </w:p>
    <w:p w14:paraId="51477EFC">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b/>
          <w:bCs/>
          <w:highlight w:val="none"/>
          <w:lang w:eastAsia="zh-CN"/>
        </w:rPr>
      </w:pPr>
      <w:r>
        <w:rPr>
          <w:rFonts w:hint="eastAsia" w:ascii="仿宋" w:hAnsi="仿宋" w:eastAsia="仿宋" w:cs="仿宋"/>
          <w:b/>
          <w:bCs/>
          <w:highlight w:val="none"/>
        </w:rPr>
        <w:t>2.1</w:t>
      </w:r>
      <w:r>
        <w:rPr>
          <w:rFonts w:hint="eastAsia" w:ascii="仿宋" w:hAnsi="仿宋" w:eastAsia="仿宋" w:cs="仿宋"/>
          <w:b/>
          <w:bCs/>
          <w:highlight w:val="none"/>
          <w:lang w:val="en-US" w:eastAsia="zh-CN"/>
        </w:rPr>
        <w:t>本合同暂定含税总价款：人民币（大写）</w:t>
      </w:r>
      <w:r>
        <w:rPr>
          <w:rFonts w:hint="eastAsia" w:ascii="仿宋" w:hAnsi="仿宋" w:eastAsia="仿宋" w:cs="仿宋"/>
          <w:b/>
          <w:bCs/>
          <w:highlight w:val="none"/>
          <w:u w:val="single"/>
          <w:lang w:val="en-US" w:eastAsia="zh-CN"/>
        </w:rPr>
        <w:t xml:space="preserve">  （￥  元</w:t>
      </w:r>
      <w:r>
        <w:rPr>
          <w:rFonts w:hint="eastAsia" w:ascii="仿宋" w:hAnsi="仿宋" w:eastAsia="仿宋" w:cs="仿宋"/>
          <w:b/>
          <w:bCs/>
          <w:highlight w:val="none"/>
          <w:lang w:val="en-US" w:eastAsia="zh-CN"/>
        </w:rPr>
        <w:t>）。</w:t>
      </w:r>
    </w:p>
    <w:p w14:paraId="35FEC705">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2.</w:t>
      </w:r>
      <w:r>
        <w:rPr>
          <w:rFonts w:hint="eastAsia" w:ascii="仿宋" w:hAnsi="仿宋" w:eastAsia="仿宋" w:cs="仿宋"/>
          <w:bCs/>
          <w:color w:val="auto"/>
          <w:sz w:val="24"/>
          <w:szCs w:val="24"/>
          <w:highlight w:val="none"/>
          <w:lang w:val="en-US" w:eastAsia="zh-CN"/>
        </w:rPr>
        <w:t>2产品验收合格后招标人办理入库手续，中标人按照招标人出具的入库单开具增值税发票。招标人每年付款三次，每次付款比例不超过账面应付账款的25%。招标人付至挂账总金额的95%时暂停付款，剩余5%款项待双方合作到期且最后一批货物质保期满后无息付清。</w:t>
      </w:r>
    </w:p>
    <w:p w14:paraId="7BAC45B1">
      <w:pPr>
        <w:pStyle w:val="3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2.</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lang w:eastAsia="zh-CN"/>
        </w:rPr>
        <w:t>甲方付款前，乙方应提供</w:t>
      </w:r>
      <w:r>
        <w:rPr>
          <w:rFonts w:hint="eastAsia" w:ascii="仿宋" w:hAnsi="仿宋" w:eastAsia="仿宋" w:cs="仿宋"/>
          <w:bCs/>
          <w:color w:val="auto"/>
          <w:sz w:val="24"/>
          <w:szCs w:val="24"/>
          <w:highlight w:val="none"/>
          <w:u w:val="single"/>
          <w:lang w:val="en-US" w:eastAsia="zh-CN"/>
        </w:rPr>
        <w:t>增值税专用</w:t>
      </w:r>
      <w:r>
        <w:rPr>
          <w:rFonts w:hint="eastAsia" w:ascii="仿宋" w:hAnsi="仿宋" w:eastAsia="仿宋" w:cs="仿宋"/>
          <w:bCs/>
          <w:color w:val="auto"/>
          <w:sz w:val="24"/>
          <w:szCs w:val="24"/>
          <w:highlight w:val="none"/>
          <w:lang w:eastAsia="zh-CN"/>
        </w:rPr>
        <w:t>发票，税率为</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税率根据国家政策适时调整，</w:t>
      </w:r>
      <w:r>
        <w:rPr>
          <w:rFonts w:hint="eastAsia" w:ascii="仿宋" w:hAnsi="仿宋" w:eastAsia="仿宋" w:cs="仿宋"/>
          <w:bCs/>
          <w:color w:val="auto"/>
          <w:sz w:val="24"/>
          <w:szCs w:val="24"/>
          <w:highlight w:val="none"/>
          <w:lang w:eastAsia="zh-CN"/>
        </w:rPr>
        <w:t>否则甲方的付款期限顺延，</w:t>
      </w:r>
      <w:r>
        <w:rPr>
          <w:rFonts w:hint="eastAsia" w:ascii="仿宋" w:hAnsi="仿宋" w:eastAsia="仿宋" w:cs="仿宋"/>
          <w:bCs/>
          <w:color w:val="auto"/>
          <w:sz w:val="24"/>
          <w:szCs w:val="24"/>
          <w:highlight w:val="none"/>
          <w:lang w:val="en-US" w:eastAsia="zh-CN"/>
        </w:rPr>
        <w:t>税率调整产生的损益由甲方承担</w:t>
      </w:r>
      <w:r>
        <w:rPr>
          <w:rFonts w:hint="eastAsia" w:ascii="仿宋" w:hAnsi="仿宋" w:eastAsia="仿宋" w:cs="仿宋"/>
          <w:bCs/>
          <w:color w:val="auto"/>
          <w:sz w:val="24"/>
          <w:szCs w:val="24"/>
          <w:highlight w:val="none"/>
          <w:lang w:eastAsia="zh-CN"/>
        </w:rPr>
        <w:t>。乙方应当确保发票真实无误且合法有效，如发票出现任何问题由乙方承担责任，赔偿甲方由此遭受的全部损失。如因乙方发票未按期提供或发票不合规等原因，导致甲方增值税无法正常抵扣的，乙方同意承担由此对甲方造成的一切损失（包括但不限于因票据问题导致甲方无法抵扣的税款，以及由此产生的须由甲方支付的滞纳金、行政罚款等）。</w:t>
      </w:r>
    </w:p>
    <w:p w14:paraId="0330CEF6">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2.4本合同价款包括但不限于采购、加工、包装、运输、保管、装卸、检测、验收、售后服务及其他服务，以及在质量保证期内发生的任何缺陷的修复工作等与合同有关的所有内容。</w:t>
      </w:r>
    </w:p>
    <w:p w14:paraId="1A40F131">
      <w:pPr>
        <w:pStyle w:val="37"/>
        <w:pageBreakBefore w:val="0"/>
        <w:numPr>
          <w:ilvl w:val="0"/>
          <w:numId w:val="0"/>
        </w:numPr>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2.5</w:t>
      </w:r>
      <w:r>
        <w:rPr>
          <w:rFonts w:hint="eastAsia" w:ascii="仿宋" w:hAnsi="仿宋" w:eastAsia="仿宋" w:cs="仿宋"/>
          <w:bCs/>
          <w:color w:val="auto"/>
          <w:sz w:val="24"/>
          <w:szCs w:val="24"/>
          <w:highlight w:val="none"/>
        </w:rPr>
        <w:t>由于市场不确定因素等造成价格上调或下调超过5%时，甲乙双方协商并提交书面调价函，经市场调研并上报</w:t>
      </w:r>
      <w:r>
        <w:rPr>
          <w:rFonts w:hint="eastAsia" w:ascii="仿宋" w:hAnsi="仿宋" w:eastAsia="仿宋" w:cs="仿宋"/>
          <w:bCs/>
          <w:color w:val="auto"/>
          <w:sz w:val="24"/>
          <w:szCs w:val="24"/>
          <w:highlight w:val="none"/>
          <w:lang w:val="en-US" w:eastAsia="zh-CN"/>
        </w:rPr>
        <w:t>甲方</w:t>
      </w:r>
      <w:r>
        <w:rPr>
          <w:rFonts w:hint="eastAsia" w:ascii="仿宋" w:hAnsi="仿宋" w:eastAsia="仿宋" w:cs="仿宋"/>
          <w:bCs/>
          <w:color w:val="auto"/>
          <w:sz w:val="24"/>
          <w:szCs w:val="24"/>
          <w:highlight w:val="none"/>
        </w:rPr>
        <w:t>同意方可调整。</w:t>
      </w:r>
    </w:p>
    <w:p w14:paraId="4C12FCF9">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2.6甲方有权选择通过电汇、支票、网上支付、银行承兑汇票等方式对乙方进行付款，如果甲方通过银行承兑汇票付款，除合同另有约定外，贴现费由乙方承担。</w:t>
      </w:r>
    </w:p>
    <w:p w14:paraId="3C5E4EF4">
      <w:pPr>
        <w:pStyle w:val="4"/>
        <w:pageBreakBefore w:val="0"/>
        <w:numPr>
          <w:ilvl w:val="0"/>
          <w:numId w:val="0"/>
        </w:numPr>
        <w:kinsoku/>
        <w:wordWrap/>
        <w:overflowPunct/>
        <w:topLinePunct w:val="0"/>
        <w:autoSpaceDE/>
        <w:autoSpaceDN/>
        <w:bidi w:val="0"/>
        <w:adjustRightInd/>
        <w:snapToGrid/>
        <w:spacing w:before="0" w:after="0" w:line="480" w:lineRule="exact"/>
        <w:ind w:leftChars="0"/>
        <w:jc w:val="both"/>
        <w:rPr>
          <w:rStyle w:val="44"/>
          <w:rFonts w:hint="eastAsia" w:ascii="仿宋" w:hAnsi="仿宋" w:eastAsia="仿宋" w:cs="仿宋"/>
          <w:b/>
          <w:bCs w:val="0"/>
          <w:color w:val="auto"/>
          <w:sz w:val="24"/>
          <w:szCs w:val="24"/>
          <w:highlight w:val="none"/>
        </w:rPr>
      </w:pPr>
      <w:r>
        <w:rPr>
          <w:rStyle w:val="44"/>
          <w:rFonts w:hint="eastAsia" w:ascii="仿宋" w:hAnsi="仿宋" w:eastAsia="仿宋" w:cs="仿宋"/>
          <w:b/>
          <w:bCs w:val="0"/>
          <w:color w:val="auto"/>
          <w:sz w:val="24"/>
          <w:szCs w:val="24"/>
          <w:highlight w:val="none"/>
          <w:lang w:val="en-US" w:eastAsia="zh-CN"/>
        </w:rPr>
        <w:t xml:space="preserve">第3条 </w:t>
      </w:r>
      <w:r>
        <w:rPr>
          <w:rStyle w:val="44"/>
          <w:rFonts w:hint="eastAsia" w:ascii="仿宋" w:hAnsi="仿宋" w:eastAsia="仿宋" w:cs="仿宋"/>
          <w:b/>
          <w:bCs w:val="0"/>
          <w:color w:val="auto"/>
          <w:sz w:val="24"/>
          <w:szCs w:val="24"/>
          <w:highlight w:val="none"/>
        </w:rPr>
        <w:t>运输</w:t>
      </w:r>
      <w:r>
        <w:rPr>
          <w:rStyle w:val="44"/>
          <w:rFonts w:hint="eastAsia" w:ascii="仿宋" w:hAnsi="仿宋" w:eastAsia="仿宋" w:cs="仿宋"/>
          <w:b/>
          <w:bCs w:val="0"/>
          <w:color w:val="auto"/>
          <w:sz w:val="24"/>
          <w:szCs w:val="24"/>
          <w:highlight w:val="none"/>
          <w:lang w:val="en-US" w:eastAsia="zh-CN"/>
        </w:rPr>
        <w:t>及到货</w:t>
      </w:r>
      <w:r>
        <w:rPr>
          <w:rStyle w:val="44"/>
          <w:rFonts w:hint="eastAsia" w:ascii="仿宋" w:hAnsi="仿宋" w:eastAsia="仿宋" w:cs="仿宋"/>
          <w:b/>
          <w:bCs w:val="0"/>
          <w:color w:val="auto"/>
          <w:sz w:val="24"/>
          <w:szCs w:val="24"/>
          <w:highlight w:val="none"/>
        </w:rPr>
        <w:t>验收</w:t>
      </w:r>
    </w:p>
    <w:p w14:paraId="697A4C4D">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3.1乙方应按国家标准或行业标准对产品进行包装，包装应确保货物安全，装卸、运输方便，符合安全、环保、卫生标准要求，由此产生的费用由乙方承担，且包装物原则上不予回收。</w:t>
      </w:r>
    </w:p>
    <w:p w14:paraId="59F586BE">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bCs/>
          <w:color w:val="auto"/>
          <w:sz w:val="24"/>
          <w:szCs w:val="24"/>
          <w:highlight w:val="none"/>
        </w:rPr>
        <w:t>合同有效期内，</w:t>
      </w:r>
      <w:r>
        <w:rPr>
          <w:rFonts w:hint="eastAsia" w:ascii="仿宋" w:hAnsi="仿宋" w:eastAsia="仿宋" w:cs="仿宋"/>
          <w:bCs/>
          <w:color w:val="auto"/>
          <w:sz w:val="24"/>
          <w:szCs w:val="24"/>
          <w:highlight w:val="none"/>
          <w:lang w:val="en-US" w:eastAsia="zh-CN"/>
        </w:rPr>
        <w:t>乙方按照甲方要求分批次供货。</w:t>
      </w:r>
      <w:r>
        <w:rPr>
          <w:rFonts w:hint="eastAsia" w:ascii="仿宋" w:hAnsi="仿宋" w:eastAsia="仿宋" w:cs="仿宋"/>
          <w:bCs/>
          <w:color w:val="auto"/>
          <w:sz w:val="24"/>
          <w:szCs w:val="24"/>
          <w:highlight w:val="none"/>
        </w:rPr>
        <w:t>乙方应自甲方通知之日起</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none"/>
          <w:lang w:val="en-US" w:eastAsia="zh-CN"/>
        </w:rPr>
        <w:t>日</w:t>
      </w:r>
      <w:r>
        <w:rPr>
          <w:rFonts w:hint="eastAsia" w:ascii="仿宋" w:hAnsi="仿宋" w:eastAsia="仿宋" w:cs="仿宋"/>
          <w:bCs/>
          <w:color w:val="auto"/>
          <w:sz w:val="24"/>
          <w:szCs w:val="24"/>
          <w:highlight w:val="none"/>
        </w:rPr>
        <w:t>内，按照通知的要求将</w:t>
      </w:r>
      <w:r>
        <w:rPr>
          <w:rFonts w:hint="eastAsia" w:ascii="仿宋" w:hAnsi="仿宋" w:eastAsia="仿宋" w:cs="仿宋"/>
          <w:bCs/>
          <w:color w:val="auto"/>
          <w:sz w:val="24"/>
          <w:szCs w:val="24"/>
          <w:highlight w:val="none"/>
          <w:lang w:val="en-US" w:eastAsia="zh-CN"/>
        </w:rPr>
        <w:t>产品</w:t>
      </w:r>
      <w:r>
        <w:rPr>
          <w:rFonts w:hint="eastAsia" w:ascii="仿宋" w:hAnsi="仿宋" w:eastAsia="仿宋" w:cs="仿宋"/>
          <w:bCs/>
          <w:color w:val="auto"/>
          <w:sz w:val="24"/>
          <w:szCs w:val="24"/>
          <w:highlight w:val="none"/>
        </w:rPr>
        <w:t>运抵甲方指定地点，</w:t>
      </w:r>
      <w:r>
        <w:rPr>
          <w:rFonts w:hint="eastAsia" w:ascii="仿宋" w:hAnsi="仿宋" w:eastAsia="仿宋" w:cs="仿宋"/>
          <w:bCs/>
          <w:color w:val="auto"/>
          <w:sz w:val="24"/>
          <w:szCs w:val="24"/>
          <w:highlight w:val="none"/>
          <w:lang w:val="en-US" w:eastAsia="zh-CN"/>
        </w:rPr>
        <w:t>甲方不再另行支付其他任何费用</w:t>
      </w:r>
      <w:r>
        <w:rPr>
          <w:rFonts w:hint="eastAsia" w:ascii="仿宋" w:hAnsi="仿宋" w:eastAsia="仿宋" w:cs="仿宋"/>
          <w:bCs/>
          <w:color w:val="auto"/>
          <w:sz w:val="24"/>
          <w:szCs w:val="24"/>
          <w:highlight w:val="none"/>
        </w:rPr>
        <w:t>。逾期将按照第</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rPr>
        <w:t>条规定执行。</w:t>
      </w:r>
    </w:p>
    <w:p w14:paraId="73E0F1B6">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val="en-US" w:eastAsia="zh-CN"/>
        </w:rPr>
        <w:t>每批次产品</w:t>
      </w:r>
      <w:r>
        <w:rPr>
          <w:rFonts w:hint="eastAsia" w:ascii="仿宋" w:hAnsi="仿宋" w:eastAsia="仿宋" w:cs="仿宋"/>
          <w:color w:val="auto"/>
          <w:sz w:val="24"/>
          <w:szCs w:val="24"/>
          <w:highlight w:val="none"/>
        </w:rPr>
        <w:t>到达</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指定地点后</w:t>
      </w:r>
      <w:r>
        <w:rPr>
          <w:rFonts w:hint="eastAsia" w:ascii="仿宋" w:hAnsi="仿宋" w:eastAsia="仿宋" w:cs="仿宋"/>
          <w:color w:val="auto"/>
          <w:sz w:val="24"/>
          <w:szCs w:val="24"/>
          <w:highlight w:val="none"/>
          <w:u w:val="single"/>
          <w:lang w:val="en-US" w:eastAsia="zh-CN"/>
        </w:rPr>
        <w:t xml:space="preserve"> 3 </w:t>
      </w:r>
      <w:r>
        <w:rPr>
          <w:rFonts w:hint="eastAsia" w:ascii="仿宋" w:hAnsi="仿宋" w:eastAsia="仿宋" w:cs="仿宋"/>
          <w:color w:val="auto"/>
          <w:sz w:val="24"/>
          <w:szCs w:val="24"/>
          <w:highlight w:val="none"/>
          <w:lang w:val="en-US" w:eastAsia="zh-CN"/>
        </w:rPr>
        <w:t>日内</w:t>
      </w:r>
      <w:r>
        <w:rPr>
          <w:rFonts w:hint="eastAsia" w:ascii="仿宋" w:hAnsi="仿宋" w:eastAsia="仿宋" w:cs="仿宋"/>
          <w:color w:val="auto"/>
          <w:sz w:val="24"/>
          <w:szCs w:val="24"/>
          <w:highlight w:val="none"/>
        </w:rPr>
        <w:t>，甲方有权对产品的数量、包装、规格、品牌、质量、随付单证等</w:t>
      </w:r>
      <w:r>
        <w:rPr>
          <w:rFonts w:hint="eastAsia" w:ascii="仿宋" w:hAnsi="仿宋" w:eastAsia="仿宋" w:cs="仿宋"/>
          <w:color w:val="auto"/>
          <w:sz w:val="24"/>
          <w:szCs w:val="24"/>
          <w:highlight w:val="none"/>
          <w:lang w:val="en-US" w:eastAsia="zh-CN"/>
        </w:rPr>
        <w:t>完成</w:t>
      </w:r>
      <w:r>
        <w:rPr>
          <w:rFonts w:hint="eastAsia" w:ascii="仿宋" w:hAnsi="仿宋" w:eastAsia="仿宋" w:cs="仿宋"/>
          <w:color w:val="auto"/>
          <w:sz w:val="24"/>
          <w:szCs w:val="24"/>
          <w:highlight w:val="none"/>
        </w:rPr>
        <w:t>清点验收，验收合格后甲方需指定员工向乙方签署《产品到货验收单》</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该验收不代表产品质量的最终确认，双方还应按照合同约定进行后续的检验和验收，质量验收确认不能免除乙方的质量保证责任</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sz w:val="24"/>
          <w:szCs w:val="24"/>
          <w:highlight w:val="none"/>
        </w:rPr>
        <w:t>如果产品数量、包装、规格、品牌、质量、随附单证等与合同约定不一致的，视为交付不合格，甲方有权拒绝接受不合格产品。乙方需在甲方要求的时间内无条件更换、补足，由此产生的费用由乙方承担；或者甲方有权直接退货，乙方应退还甲方已支付的全部价款</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给甲方造成损失的，乙方还应另行赔付甲方的实际损失。</w:t>
      </w:r>
    </w:p>
    <w:p w14:paraId="1ADE141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对甲方提出的质量异议，乙方有权将相关产品送国家检测部门检测。如检测合格的，检测费用由甲方承担，并承担由此给乙方造成的损失；如检测不合格的，则由乙方承担检测费用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并承担由此给</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造成的损失。</w:t>
      </w:r>
    </w:p>
    <w:p w14:paraId="40FE114A">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3.5甲方有权随机抽取部分货物送至第三方检测机构进行检测（具体检测项目按照甲方要求执行），如果抽取货物数量影响甲方使用的，乙方应无条件补足给甲方，由此产生的一切费用均由乙方承担。</w:t>
      </w:r>
    </w:p>
    <w:p w14:paraId="0F5E1EB9">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3.6交货完毕并经甲方验收合格前产品毁损、灭失的全部风险与相关费用均由乙方自行承担。</w:t>
      </w:r>
    </w:p>
    <w:p w14:paraId="56D53904">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3.7乙方若采取第三方运输，须向甲方提供相应的物流运输凭证。</w:t>
      </w:r>
    </w:p>
    <w:p w14:paraId="50635DF0">
      <w:pPr>
        <w:pStyle w:val="4"/>
        <w:pageBreakBefore w:val="0"/>
        <w:numPr>
          <w:ilvl w:val="0"/>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color w:val="auto"/>
          <w:sz w:val="24"/>
          <w:szCs w:val="24"/>
          <w:highlight w:val="none"/>
        </w:rPr>
      </w:pPr>
      <w:r>
        <w:rPr>
          <w:rStyle w:val="44"/>
          <w:rFonts w:hint="eastAsia" w:ascii="仿宋" w:hAnsi="仿宋" w:eastAsia="仿宋" w:cs="仿宋"/>
          <w:b/>
          <w:bCs w:val="0"/>
          <w:color w:val="auto"/>
          <w:sz w:val="24"/>
          <w:szCs w:val="24"/>
          <w:highlight w:val="none"/>
        </w:rPr>
        <w:t>第</w:t>
      </w:r>
      <w:r>
        <w:rPr>
          <w:rStyle w:val="44"/>
          <w:rFonts w:hint="eastAsia" w:ascii="仿宋" w:hAnsi="仿宋" w:eastAsia="仿宋" w:cs="仿宋"/>
          <w:b/>
          <w:bCs w:val="0"/>
          <w:color w:val="auto"/>
          <w:sz w:val="24"/>
          <w:szCs w:val="24"/>
          <w:highlight w:val="none"/>
          <w:lang w:val="en-US" w:eastAsia="zh-CN"/>
        </w:rPr>
        <w:t>4</w:t>
      </w:r>
      <w:r>
        <w:rPr>
          <w:rStyle w:val="44"/>
          <w:rFonts w:hint="eastAsia" w:ascii="仿宋" w:hAnsi="仿宋" w:eastAsia="仿宋" w:cs="仿宋"/>
          <w:b/>
          <w:bCs w:val="0"/>
          <w:color w:val="auto"/>
          <w:sz w:val="24"/>
          <w:szCs w:val="24"/>
          <w:highlight w:val="none"/>
        </w:rPr>
        <w:t>条 伴随服务</w:t>
      </w:r>
    </w:p>
    <w:p w14:paraId="5C32E3E8">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.1乙方应提供本产品的各类认证证明、质量检测报告、产品合格证书、授权代理书、服务指南等，这些文件应随同</w:t>
      </w:r>
      <w:r>
        <w:rPr>
          <w:rFonts w:hint="eastAsia" w:ascii="仿宋" w:hAnsi="仿宋" w:eastAsia="仿宋" w:cs="仿宋"/>
          <w:color w:val="auto"/>
          <w:sz w:val="24"/>
          <w:szCs w:val="24"/>
          <w:highlight w:val="none"/>
          <w:lang w:val="en-US" w:eastAsia="zh-CN"/>
        </w:rPr>
        <w:t>货物</w:t>
      </w:r>
      <w:r>
        <w:rPr>
          <w:rFonts w:hint="eastAsia" w:ascii="仿宋" w:hAnsi="仿宋" w:eastAsia="仿宋" w:cs="仿宋"/>
          <w:color w:val="auto"/>
          <w:sz w:val="24"/>
          <w:szCs w:val="24"/>
          <w:highlight w:val="none"/>
        </w:rPr>
        <w:t>一起交至甲方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否则视为产品不合格，甲方有权拒收产品</w:t>
      </w:r>
      <w:r>
        <w:rPr>
          <w:rFonts w:hint="eastAsia" w:ascii="仿宋" w:hAnsi="仿宋" w:eastAsia="仿宋" w:cs="仿宋"/>
          <w:color w:val="auto"/>
          <w:sz w:val="24"/>
          <w:szCs w:val="24"/>
          <w:highlight w:val="none"/>
        </w:rPr>
        <w:t>。同时，乙方确认提供的相关所有材料的真实性，否则造成的一切后果以及产生的相关费用均由乙方承担。</w:t>
      </w:r>
    </w:p>
    <w:p w14:paraId="448C75CE">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.2乙方应派专业技术人员在项目现场对甲方使用人员进行产品的使用、维护等的培训或指导，并按要求安排培训计划</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所需任何费用均由乙方自行承担</w:t>
      </w:r>
      <w:r>
        <w:rPr>
          <w:rFonts w:hint="eastAsia" w:ascii="仿宋" w:hAnsi="仿宋" w:eastAsia="仿宋" w:cs="仿宋"/>
          <w:color w:val="auto"/>
          <w:sz w:val="24"/>
          <w:szCs w:val="24"/>
          <w:highlight w:val="none"/>
        </w:rPr>
        <w:t>。</w:t>
      </w:r>
    </w:p>
    <w:p w14:paraId="7E21A353">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textAlignment w:val="auto"/>
        <w:rPr>
          <w:rStyle w:val="44"/>
          <w:rFonts w:hint="eastAsia" w:ascii="仿宋" w:hAnsi="仿宋" w:eastAsia="仿宋" w:cs="仿宋"/>
          <w:b/>
          <w:color w:val="auto"/>
          <w:sz w:val="24"/>
          <w:szCs w:val="24"/>
          <w:highlight w:val="none"/>
        </w:rPr>
      </w:pPr>
      <w:r>
        <w:rPr>
          <w:rStyle w:val="44"/>
          <w:rFonts w:hint="eastAsia" w:ascii="仿宋" w:hAnsi="仿宋" w:eastAsia="仿宋" w:cs="仿宋"/>
          <w:b/>
          <w:color w:val="auto"/>
          <w:sz w:val="24"/>
          <w:szCs w:val="24"/>
          <w:highlight w:val="none"/>
        </w:rPr>
        <w:t>第</w:t>
      </w:r>
      <w:r>
        <w:rPr>
          <w:rStyle w:val="44"/>
          <w:rFonts w:hint="eastAsia" w:ascii="仿宋" w:hAnsi="仿宋" w:eastAsia="仿宋" w:cs="仿宋"/>
          <w:b/>
          <w:color w:val="auto"/>
          <w:sz w:val="24"/>
          <w:szCs w:val="24"/>
          <w:highlight w:val="none"/>
          <w:lang w:val="en-US" w:eastAsia="zh-CN"/>
        </w:rPr>
        <w:t>5</w:t>
      </w:r>
      <w:r>
        <w:rPr>
          <w:rStyle w:val="44"/>
          <w:rFonts w:hint="eastAsia" w:ascii="仿宋" w:hAnsi="仿宋" w:eastAsia="仿宋" w:cs="仿宋"/>
          <w:b/>
          <w:color w:val="auto"/>
          <w:sz w:val="24"/>
          <w:szCs w:val="24"/>
          <w:highlight w:val="none"/>
        </w:rPr>
        <w:t>条 质量保证及售后服务</w:t>
      </w:r>
    </w:p>
    <w:p w14:paraId="562C0023">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.1乙方向甲方提供的产品应当符合国家有关标准、制造厂标准及合同技术标准的要求及《产品质量法》的有关规定并且乙方应保证所供产品是全新的、未使用过的</w:t>
      </w:r>
      <w:r>
        <w:rPr>
          <w:rFonts w:hint="eastAsia" w:ascii="仿宋" w:hAnsi="仿宋" w:eastAsia="仿宋" w:cs="仿宋"/>
          <w:color w:val="auto"/>
          <w:sz w:val="24"/>
          <w:szCs w:val="24"/>
          <w:highlight w:val="none"/>
          <w:lang w:val="en-US" w:eastAsia="zh-CN"/>
        </w:rPr>
        <w:t>原生产厂家生产的合格正品。</w:t>
      </w:r>
      <w:r>
        <w:rPr>
          <w:rFonts w:hint="eastAsia" w:ascii="仿宋" w:hAnsi="仿宋" w:eastAsia="仿宋" w:cs="仿宋"/>
          <w:color w:val="auto"/>
          <w:sz w:val="24"/>
          <w:szCs w:val="24"/>
          <w:highlight w:val="none"/>
        </w:rPr>
        <w:t>若甲方要求，乙方需提供产品样本供甲方留存，该样本作为本合同的附件。若产品交付后其质量或规格与合同要求或样本不符，或证实其是有缺陷的，包括潜在的缺陷或使用不符合要求的材料等，乙方应在接到甲方通知后</w:t>
      </w:r>
      <w:r>
        <w:rPr>
          <w:rFonts w:hint="eastAsia" w:ascii="仿宋" w:hAnsi="仿宋" w:eastAsia="仿宋" w:cs="仿宋"/>
          <w:color w:val="auto"/>
          <w:sz w:val="24"/>
          <w:szCs w:val="24"/>
          <w:highlight w:val="none"/>
          <w:u w:val="single"/>
          <w:lang w:val="en-US" w:eastAsia="zh-CN"/>
        </w:rPr>
        <w:t xml:space="preserve"> 3 </w:t>
      </w:r>
      <w:r>
        <w:rPr>
          <w:rFonts w:hint="eastAsia" w:ascii="仿宋" w:hAnsi="仿宋" w:eastAsia="仿宋" w:cs="仿宋"/>
          <w:color w:val="auto"/>
          <w:sz w:val="24"/>
          <w:szCs w:val="24"/>
          <w:highlight w:val="none"/>
          <w:lang w:val="en-US" w:eastAsia="zh-CN"/>
        </w:rPr>
        <w:t>日</w:t>
      </w:r>
      <w:r>
        <w:rPr>
          <w:rFonts w:hint="eastAsia" w:ascii="仿宋" w:hAnsi="仿宋" w:eastAsia="仿宋" w:cs="仿宋"/>
          <w:color w:val="auto"/>
          <w:sz w:val="24"/>
          <w:szCs w:val="24"/>
          <w:highlight w:val="none"/>
        </w:rPr>
        <w:t>内负责采用符合合同约定的规格、质量和性能要求的新产品来更换有缺陷的部分或修补缺陷部分，其费用由乙方负担。</w:t>
      </w:r>
    </w:p>
    <w:p w14:paraId="6C6B0604">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.2产品的质保期：自</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验收合格之日起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个月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乙方应保证所供货物在使用寿命期内一直具有符合甲方实现合同目的所需求的性能参数</w:t>
      </w:r>
      <w:r>
        <w:rPr>
          <w:rFonts w:hint="eastAsia" w:ascii="仿宋" w:hAnsi="仿宋" w:eastAsia="仿宋" w:cs="仿宋"/>
          <w:color w:val="auto"/>
          <w:sz w:val="24"/>
          <w:szCs w:val="24"/>
          <w:highlight w:val="none"/>
        </w:rPr>
        <w:t>。在质保期内，货物出现质量问题，乙方应当在甲方通知之日起</w:t>
      </w:r>
      <w:r>
        <w:rPr>
          <w:rFonts w:hint="eastAsia" w:ascii="仿宋" w:hAnsi="仿宋" w:eastAsia="仿宋" w:cs="仿宋"/>
          <w:b/>
          <w:bCs/>
          <w:color w:val="auto"/>
          <w:sz w:val="24"/>
          <w:szCs w:val="24"/>
          <w:highlight w:val="none"/>
          <w:u w:val="single"/>
        </w:rPr>
        <w:t>24</w:t>
      </w:r>
      <w:r>
        <w:rPr>
          <w:rFonts w:hint="eastAsia" w:ascii="仿宋" w:hAnsi="仿宋" w:eastAsia="仿宋" w:cs="仿宋"/>
          <w:color w:val="auto"/>
          <w:sz w:val="24"/>
          <w:szCs w:val="24"/>
          <w:highlight w:val="none"/>
        </w:rPr>
        <w:t>小时内免费上门进行更换，如产品质量问题严重，影响甲方正常使用的，甲方有权要求乙方无条件退货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给甲方造成损失的，乙方还应另行赔付甲方的实际损失</w:t>
      </w:r>
      <w:r>
        <w:rPr>
          <w:rFonts w:hint="eastAsia" w:ascii="仿宋" w:hAnsi="仿宋" w:eastAsia="仿宋" w:cs="仿宋"/>
          <w:color w:val="auto"/>
          <w:sz w:val="24"/>
          <w:szCs w:val="24"/>
          <w:highlight w:val="none"/>
        </w:rPr>
        <w:t>。</w:t>
      </w:r>
    </w:p>
    <w:p w14:paraId="7943467F">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.3乙方响应时间</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u w:val="single"/>
        </w:rPr>
        <w:t>1</w:t>
      </w:r>
      <w:r>
        <w:rPr>
          <w:rFonts w:hint="eastAsia" w:ascii="仿宋" w:hAnsi="仿宋" w:eastAsia="仿宋" w:cs="仿宋"/>
          <w:color w:val="auto"/>
          <w:sz w:val="24"/>
          <w:szCs w:val="24"/>
          <w:highlight w:val="none"/>
        </w:rPr>
        <w:t>小时，到场时间</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u w:val="single"/>
        </w:rPr>
        <w:t>12</w:t>
      </w:r>
      <w:r>
        <w:rPr>
          <w:rFonts w:hint="eastAsia" w:ascii="仿宋" w:hAnsi="仿宋" w:eastAsia="仿宋" w:cs="仿宋"/>
          <w:color w:val="auto"/>
          <w:sz w:val="24"/>
          <w:szCs w:val="24"/>
          <w:highlight w:val="none"/>
        </w:rPr>
        <w:t>小时（战争、地震及海啸等不可抗拒力量下除外）。</w:t>
      </w:r>
    </w:p>
    <w:p w14:paraId="58E2E588">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5.4验收合格后，在正常使用过程中，无论是在质保期内还是质保期外，甲方发现产品存在隐蔽性缺陷、材质不合格或不符合合同约定的技术标准等质量问题，乙方仍应承担全部责任。</w:t>
      </w:r>
    </w:p>
    <w:p w14:paraId="44C79B4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若产品发生可疑不良事件（甲方或第三方认为，乙方的产品可能存在质量问题，或在使用过程中可能造成使用者身体或财产损害的情况），乙方有义务协同甲方进行事件的追查及后期处理、培训，若乙方存有推脱、不及时提供售后服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甲方有权利立即终止本</w:t>
      </w:r>
      <w:r>
        <w:rPr>
          <w:rFonts w:hint="eastAsia" w:ascii="仿宋" w:hAnsi="仿宋" w:eastAsia="仿宋" w:cs="仿宋"/>
          <w:color w:val="auto"/>
          <w:sz w:val="24"/>
          <w:szCs w:val="24"/>
          <w:highlight w:val="none"/>
          <w:lang w:val="en-US" w:eastAsia="zh-CN"/>
        </w:rPr>
        <w:t>合同</w:t>
      </w:r>
      <w:r>
        <w:rPr>
          <w:rFonts w:hint="eastAsia" w:ascii="仿宋" w:hAnsi="仿宋" w:eastAsia="仿宋" w:cs="仿宋"/>
          <w:color w:val="auto"/>
          <w:sz w:val="24"/>
          <w:szCs w:val="24"/>
          <w:highlight w:val="none"/>
        </w:rPr>
        <w:t>，并根据对甲方造成的影响，追究乙方违约赔偿的权利。</w:t>
      </w:r>
    </w:p>
    <w:p w14:paraId="7BC7B38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产品经过维修后，自维修合格送还</w:t>
      </w:r>
      <w:r>
        <w:rPr>
          <w:rFonts w:hint="eastAsia" w:ascii="仿宋" w:hAnsi="仿宋" w:eastAsia="仿宋" w:cs="仿宋"/>
          <w:color w:val="auto"/>
          <w:sz w:val="24"/>
          <w:szCs w:val="24"/>
          <w:highlight w:val="none"/>
          <w:lang w:val="en-US" w:eastAsia="zh-CN"/>
        </w:rPr>
        <w:t>至</w:t>
      </w: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val="en-US" w:eastAsia="zh-CN"/>
        </w:rPr>
        <w:t>并保证甲方正常使用</w:t>
      </w:r>
      <w:r>
        <w:rPr>
          <w:rFonts w:hint="eastAsia" w:ascii="仿宋" w:hAnsi="仿宋" w:eastAsia="仿宋" w:cs="仿宋"/>
          <w:color w:val="auto"/>
          <w:sz w:val="24"/>
          <w:szCs w:val="24"/>
          <w:highlight w:val="none"/>
        </w:rPr>
        <w:t>之日起，</w:t>
      </w:r>
      <w:r>
        <w:rPr>
          <w:rFonts w:hint="eastAsia" w:ascii="仿宋" w:hAnsi="仿宋" w:eastAsia="仿宋" w:cs="仿宋"/>
          <w:color w:val="auto"/>
          <w:sz w:val="24"/>
          <w:szCs w:val="24"/>
          <w:highlight w:val="none"/>
          <w:lang w:val="en-US" w:eastAsia="zh-CN"/>
        </w:rPr>
        <w:t>维修部分的质保期按5.2条约定的质保期</w:t>
      </w:r>
      <w:r>
        <w:rPr>
          <w:rFonts w:hint="eastAsia" w:ascii="仿宋" w:hAnsi="仿宋" w:eastAsia="仿宋" w:cs="仿宋"/>
          <w:color w:val="auto"/>
          <w:sz w:val="24"/>
          <w:szCs w:val="24"/>
          <w:highlight w:val="none"/>
        </w:rPr>
        <w:t>重新开始计算。</w:t>
      </w:r>
    </w:p>
    <w:p w14:paraId="0427427A">
      <w:pPr>
        <w:pStyle w:val="4"/>
        <w:pageBreakBefore w:val="0"/>
        <w:numPr>
          <w:ilvl w:val="0"/>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color w:val="auto"/>
          <w:sz w:val="24"/>
          <w:szCs w:val="24"/>
          <w:highlight w:val="none"/>
        </w:rPr>
      </w:pPr>
      <w:r>
        <w:rPr>
          <w:rStyle w:val="44"/>
          <w:rFonts w:hint="eastAsia" w:ascii="仿宋" w:hAnsi="仿宋" w:eastAsia="仿宋" w:cs="仿宋"/>
          <w:b/>
          <w:bCs w:val="0"/>
          <w:color w:val="auto"/>
          <w:sz w:val="24"/>
          <w:szCs w:val="24"/>
          <w:highlight w:val="none"/>
        </w:rPr>
        <w:t>第</w:t>
      </w:r>
      <w:r>
        <w:rPr>
          <w:rStyle w:val="44"/>
          <w:rFonts w:hint="eastAsia" w:ascii="仿宋" w:hAnsi="仿宋" w:eastAsia="仿宋" w:cs="仿宋"/>
          <w:b/>
          <w:bCs w:val="0"/>
          <w:color w:val="auto"/>
          <w:sz w:val="24"/>
          <w:szCs w:val="24"/>
          <w:highlight w:val="none"/>
          <w:lang w:val="en-US" w:eastAsia="zh-CN"/>
        </w:rPr>
        <w:t>6</w:t>
      </w:r>
      <w:r>
        <w:rPr>
          <w:rStyle w:val="44"/>
          <w:rFonts w:hint="eastAsia" w:ascii="仿宋" w:hAnsi="仿宋" w:eastAsia="仿宋" w:cs="仿宋"/>
          <w:b/>
          <w:bCs w:val="0"/>
          <w:color w:val="auto"/>
          <w:sz w:val="24"/>
          <w:szCs w:val="24"/>
          <w:highlight w:val="none"/>
        </w:rPr>
        <w:t>条 特别约定</w:t>
      </w:r>
    </w:p>
    <w:p w14:paraId="4B1BC131">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.1甲乙双方必须严格遵守国家法律、</w:t>
      </w:r>
      <w:r>
        <w:rPr>
          <w:rFonts w:hint="eastAsia" w:ascii="仿宋" w:hAnsi="仿宋" w:eastAsia="仿宋" w:cs="仿宋"/>
          <w:color w:val="auto"/>
          <w:sz w:val="24"/>
          <w:szCs w:val="24"/>
          <w:highlight w:val="none"/>
          <w:lang w:val="en-US" w:eastAsia="zh-CN"/>
        </w:rPr>
        <w:t>法规</w:t>
      </w:r>
      <w:r>
        <w:rPr>
          <w:rFonts w:hint="eastAsia" w:ascii="仿宋" w:hAnsi="仿宋" w:eastAsia="仿宋" w:cs="仿宋"/>
          <w:color w:val="auto"/>
          <w:sz w:val="24"/>
          <w:szCs w:val="24"/>
          <w:highlight w:val="none"/>
        </w:rPr>
        <w:t>和相关政策</w:t>
      </w:r>
      <w:r>
        <w:rPr>
          <w:rFonts w:hint="eastAsia" w:ascii="仿宋" w:hAnsi="仿宋" w:eastAsia="仿宋" w:cs="仿宋"/>
          <w:color w:val="auto"/>
          <w:sz w:val="24"/>
          <w:szCs w:val="24"/>
          <w:highlight w:val="none"/>
          <w:lang w:val="en-US" w:eastAsia="zh-CN"/>
        </w:rPr>
        <w:t>的规定</w:t>
      </w:r>
      <w:r>
        <w:rPr>
          <w:rFonts w:hint="eastAsia" w:ascii="仿宋" w:hAnsi="仿宋" w:eastAsia="仿宋" w:cs="仿宋"/>
          <w:color w:val="auto"/>
          <w:sz w:val="24"/>
          <w:szCs w:val="24"/>
          <w:highlight w:val="none"/>
        </w:rPr>
        <w:t>，诚实守信，严格执行双方确定的合同。甲方工作人员不得以任何形式向乙方索要和收受回扣等好处费。乙方不得向甲方工作人员送“红包”，如遇甲方工作人员提出索要好处费等违规要求，乙方应坚决予以拒绝。</w:t>
      </w:r>
    </w:p>
    <w:p w14:paraId="07DC07F1">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.2乙方不可擅自接收甲方除</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采购</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部门以外的部门及个人订单，否则甲方可单方面解除合同并取消其在甲方的继续供应权。</w:t>
      </w:r>
    </w:p>
    <w:p w14:paraId="5D236E45">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6.3乙方应严格遵守</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威海市水务集团有限公司</w:t>
      </w:r>
      <w:r>
        <w:rPr>
          <w:rFonts w:hint="eastAsia" w:ascii="仿宋" w:hAnsi="仿宋" w:eastAsia="仿宋" w:cs="仿宋"/>
          <w:color w:val="auto"/>
          <w:sz w:val="24"/>
          <w:szCs w:val="24"/>
          <w:highlight w:val="none"/>
        </w:rPr>
        <w:t>供应商管理办法》</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lang w:val="en-US" w:eastAsia="zh-CN"/>
        </w:rPr>
        <w:t>规定，如有违反其规定的情形，甲方有权按照</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威海市水务集团有限公司</w:t>
      </w:r>
      <w:r>
        <w:rPr>
          <w:rFonts w:hint="eastAsia" w:ascii="仿宋" w:hAnsi="仿宋" w:eastAsia="仿宋" w:cs="仿宋"/>
          <w:color w:val="auto"/>
          <w:sz w:val="24"/>
          <w:szCs w:val="24"/>
          <w:highlight w:val="none"/>
        </w:rPr>
        <w:t>供应商管理办法》</w:t>
      </w:r>
      <w:r>
        <w:rPr>
          <w:rFonts w:hint="eastAsia" w:ascii="仿宋" w:hAnsi="仿宋" w:eastAsia="仿宋" w:cs="仿宋"/>
          <w:color w:val="auto"/>
          <w:sz w:val="24"/>
          <w:szCs w:val="24"/>
          <w:highlight w:val="none"/>
          <w:lang w:val="en-US" w:eastAsia="zh-CN"/>
        </w:rPr>
        <w:t>对乙方进行处理，乙方应无条件接受。</w:t>
      </w:r>
    </w:p>
    <w:p w14:paraId="137CB8B3">
      <w:pPr>
        <w:pStyle w:val="4"/>
        <w:pageBreakBefore w:val="0"/>
        <w:numPr>
          <w:ilvl w:val="0"/>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color w:val="auto"/>
          <w:sz w:val="24"/>
          <w:szCs w:val="24"/>
          <w:highlight w:val="none"/>
          <w:lang w:val="en-US" w:eastAsia="zh-CN"/>
        </w:rPr>
      </w:pPr>
      <w:r>
        <w:rPr>
          <w:rStyle w:val="44"/>
          <w:rFonts w:hint="eastAsia" w:ascii="仿宋" w:hAnsi="仿宋" w:eastAsia="仿宋" w:cs="仿宋"/>
          <w:b/>
          <w:bCs w:val="0"/>
          <w:color w:val="auto"/>
          <w:sz w:val="24"/>
          <w:szCs w:val="24"/>
          <w:highlight w:val="none"/>
        </w:rPr>
        <w:t>第</w:t>
      </w:r>
      <w:r>
        <w:rPr>
          <w:rStyle w:val="44"/>
          <w:rFonts w:hint="eastAsia" w:ascii="仿宋" w:hAnsi="仿宋" w:eastAsia="仿宋" w:cs="仿宋"/>
          <w:b/>
          <w:bCs w:val="0"/>
          <w:color w:val="auto"/>
          <w:sz w:val="24"/>
          <w:szCs w:val="24"/>
          <w:highlight w:val="none"/>
          <w:lang w:val="en-US" w:eastAsia="zh-CN"/>
        </w:rPr>
        <w:t>7</w:t>
      </w:r>
      <w:r>
        <w:rPr>
          <w:rStyle w:val="44"/>
          <w:rFonts w:hint="eastAsia" w:ascii="仿宋" w:hAnsi="仿宋" w:eastAsia="仿宋" w:cs="仿宋"/>
          <w:b/>
          <w:bCs w:val="0"/>
          <w:color w:val="auto"/>
          <w:sz w:val="24"/>
          <w:szCs w:val="24"/>
          <w:highlight w:val="none"/>
        </w:rPr>
        <w:t xml:space="preserve">条 </w:t>
      </w:r>
      <w:r>
        <w:rPr>
          <w:rStyle w:val="44"/>
          <w:rFonts w:hint="eastAsia" w:ascii="仿宋" w:hAnsi="仿宋" w:eastAsia="仿宋" w:cs="仿宋"/>
          <w:b/>
          <w:bCs w:val="0"/>
          <w:color w:val="auto"/>
          <w:sz w:val="24"/>
          <w:szCs w:val="24"/>
          <w:highlight w:val="none"/>
          <w:lang w:val="en-US" w:eastAsia="zh-CN"/>
        </w:rPr>
        <w:t>违约责任及索赔条款</w:t>
      </w:r>
    </w:p>
    <w:p w14:paraId="3F53FC46">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.1如果乙方没有按照合同约定或甲方通知要求的时间交货或因为产品质量不合格造成交货日期延误的（战争、地震及海啸等不可抗拒力量下除外），甲方可从乙方的货款中扣除延期违约金，每延期一日，按应交付</w:t>
      </w:r>
      <w:r>
        <w:rPr>
          <w:rFonts w:hint="eastAsia" w:ascii="仿宋" w:hAnsi="仿宋" w:eastAsia="仿宋" w:cs="仿宋"/>
          <w:color w:val="auto"/>
          <w:sz w:val="24"/>
          <w:szCs w:val="24"/>
          <w:highlight w:val="none"/>
          <w:lang w:val="en-US" w:eastAsia="zh-CN"/>
        </w:rPr>
        <w:t>该批次产品总价款的</w:t>
      </w:r>
      <w:r>
        <w:rPr>
          <w:rFonts w:hint="eastAsia" w:ascii="仿宋" w:hAnsi="仿宋" w:eastAsia="仿宋" w:cs="仿宋"/>
          <w:color w:val="auto"/>
          <w:sz w:val="24"/>
          <w:szCs w:val="24"/>
          <w:highlight w:val="none"/>
          <w:u w:val="single"/>
          <w:lang w:val="en-US" w:eastAsia="zh-CN"/>
        </w:rPr>
        <w:t xml:space="preserve"> 0.05 </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计收，但延期违约金的最高限额不超过</w:t>
      </w:r>
      <w:r>
        <w:rPr>
          <w:rFonts w:hint="eastAsia" w:ascii="仿宋" w:hAnsi="仿宋" w:eastAsia="仿宋" w:cs="仿宋"/>
          <w:color w:val="auto"/>
          <w:sz w:val="24"/>
          <w:szCs w:val="24"/>
          <w:highlight w:val="none"/>
          <w:lang w:val="en-US" w:eastAsia="zh-CN"/>
        </w:rPr>
        <w:t>该批次产品总价款的</w:t>
      </w:r>
      <w:r>
        <w:rPr>
          <w:rFonts w:hint="eastAsia" w:ascii="仿宋" w:hAnsi="仿宋" w:eastAsia="仿宋" w:cs="仿宋"/>
          <w:color w:val="auto"/>
          <w:sz w:val="24"/>
          <w:szCs w:val="24"/>
          <w:highlight w:val="none"/>
        </w:rPr>
        <w:t>20%，一旦达到延期违约金的最高限额，甲方有权终止合同。</w:t>
      </w:r>
    </w:p>
    <w:p w14:paraId="021B348D">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2乙方提供产品质量不合格或不满足合同的约定或甲方的实际需要，甲方有权要求乙方按照</w:t>
      </w:r>
      <w:r>
        <w:rPr>
          <w:rFonts w:hint="eastAsia" w:ascii="仿宋" w:hAnsi="仿宋" w:eastAsia="仿宋" w:cs="仿宋"/>
          <w:color w:val="auto"/>
          <w:sz w:val="24"/>
          <w:szCs w:val="24"/>
          <w:highlight w:val="none"/>
        </w:rPr>
        <w:t>下列一种或多种方式解决：</w:t>
      </w:r>
    </w:p>
    <w:p w14:paraId="1DCA050F">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7.2.1甲方有权</w:t>
      </w:r>
      <w:r>
        <w:rPr>
          <w:rFonts w:hint="eastAsia" w:ascii="仿宋" w:hAnsi="仿宋" w:eastAsia="仿宋" w:cs="仿宋"/>
          <w:color w:val="auto"/>
          <w:sz w:val="24"/>
          <w:szCs w:val="24"/>
          <w:highlight w:val="none"/>
          <w:lang w:eastAsia="zh-CN"/>
        </w:rPr>
        <w:t>拒绝接收不合格产品，乙方</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lang w:eastAsia="zh-CN"/>
        </w:rPr>
        <w:t>按照甲方要求无条件更换、补足</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lang w:eastAsia="zh-CN"/>
        </w:rPr>
        <w:t>修理，由此产生的费用由乙方承担，因此延误交货期的乙方承担相应的违约责任，</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lang w:eastAsia="zh-CN"/>
        </w:rPr>
        <w:t>逾期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5</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日仍未更换、</w:t>
      </w:r>
      <w:r>
        <w:rPr>
          <w:rFonts w:hint="eastAsia" w:ascii="仿宋" w:hAnsi="仿宋" w:eastAsia="仿宋" w:cs="仿宋"/>
          <w:color w:val="auto"/>
          <w:sz w:val="24"/>
          <w:szCs w:val="24"/>
          <w:highlight w:val="none"/>
          <w:lang w:val="en-US" w:eastAsia="zh-CN"/>
        </w:rPr>
        <w:t>补足或维修</w:t>
      </w:r>
      <w:r>
        <w:rPr>
          <w:rFonts w:hint="eastAsia" w:ascii="仿宋" w:hAnsi="仿宋" w:eastAsia="仿宋" w:cs="仿宋"/>
          <w:color w:val="auto"/>
          <w:sz w:val="24"/>
          <w:szCs w:val="24"/>
          <w:highlight w:val="none"/>
          <w:lang w:eastAsia="zh-CN"/>
        </w:rPr>
        <w:t>或更换、</w:t>
      </w:r>
      <w:r>
        <w:rPr>
          <w:rFonts w:hint="eastAsia" w:ascii="仿宋" w:hAnsi="仿宋" w:eastAsia="仿宋" w:cs="仿宋"/>
          <w:color w:val="auto"/>
          <w:sz w:val="24"/>
          <w:szCs w:val="24"/>
          <w:highlight w:val="none"/>
          <w:lang w:val="en-US" w:eastAsia="zh-CN"/>
        </w:rPr>
        <w:t>补足或维修</w:t>
      </w:r>
      <w:r>
        <w:rPr>
          <w:rFonts w:hint="eastAsia" w:ascii="仿宋" w:hAnsi="仿宋" w:eastAsia="仿宋" w:cs="仿宋"/>
          <w:color w:val="auto"/>
          <w:sz w:val="24"/>
          <w:szCs w:val="24"/>
          <w:highlight w:val="none"/>
          <w:lang w:eastAsia="zh-CN"/>
        </w:rPr>
        <w:t>后仍不符合合同约定的，甲方有权选择单方解除本合同或部分解除本合同。</w:t>
      </w:r>
    </w:p>
    <w:p w14:paraId="753E940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同意甲方退货并将全额货款</w:t>
      </w:r>
      <w:r>
        <w:rPr>
          <w:rFonts w:hint="eastAsia" w:ascii="仿宋" w:hAnsi="仿宋" w:eastAsia="仿宋" w:cs="仿宋"/>
          <w:color w:val="auto"/>
          <w:sz w:val="24"/>
          <w:szCs w:val="24"/>
          <w:highlight w:val="none"/>
          <w:lang w:val="en-US" w:eastAsia="zh-CN"/>
        </w:rPr>
        <w:t>在5日内日</w:t>
      </w:r>
      <w:r>
        <w:rPr>
          <w:rFonts w:hint="eastAsia" w:ascii="仿宋" w:hAnsi="仿宋" w:eastAsia="仿宋" w:cs="仿宋"/>
          <w:color w:val="auto"/>
          <w:sz w:val="24"/>
          <w:szCs w:val="24"/>
          <w:highlight w:val="none"/>
        </w:rPr>
        <w:t>退还甲方，并负担因退货而发生的一切直接损失和费用。</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rPr>
        <w:t>无法退货的，乙方应当向甲方支付</w:t>
      </w:r>
      <w:r>
        <w:rPr>
          <w:rFonts w:hint="eastAsia" w:ascii="仿宋" w:hAnsi="仿宋" w:eastAsia="仿宋" w:cs="仿宋"/>
          <w:color w:val="auto"/>
          <w:sz w:val="24"/>
          <w:szCs w:val="24"/>
          <w:highlight w:val="none"/>
          <w:lang w:val="en-US" w:eastAsia="zh-CN"/>
        </w:rPr>
        <w:t>本批次产品</w:t>
      </w:r>
      <w:r>
        <w:rPr>
          <w:rFonts w:hint="eastAsia" w:ascii="仿宋" w:hAnsi="仿宋" w:eastAsia="仿宋" w:cs="仿宋"/>
          <w:color w:val="auto"/>
          <w:sz w:val="24"/>
          <w:szCs w:val="24"/>
          <w:highlight w:val="none"/>
        </w:rPr>
        <w:t>总金额的</w:t>
      </w:r>
      <w:r>
        <w:rPr>
          <w:rFonts w:hint="eastAsia" w:ascii="仿宋" w:hAnsi="仿宋" w:eastAsia="仿宋" w:cs="仿宋"/>
          <w:color w:val="auto"/>
          <w:sz w:val="24"/>
          <w:szCs w:val="24"/>
          <w:highlight w:val="none"/>
          <w:u w:val="single"/>
        </w:rPr>
        <w:t>10%</w:t>
      </w:r>
      <w:r>
        <w:rPr>
          <w:rFonts w:hint="eastAsia" w:ascii="仿宋" w:hAnsi="仿宋" w:eastAsia="仿宋" w:cs="仿宋"/>
          <w:color w:val="auto"/>
          <w:sz w:val="24"/>
          <w:szCs w:val="24"/>
          <w:highlight w:val="none"/>
        </w:rPr>
        <w:t>作为违约金</w:t>
      </w:r>
      <w:r>
        <w:rPr>
          <w:rFonts w:hint="eastAsia" w:ascii="仿宋" w:hAnsi="仿宋" w:eastAsia="仿宋" w:cs="仿宋"/>
          <w:color w:val="auto"/>
          <w:sz w:val="24"/>
          <w:szCs w:val="24"/>
          <w:highlight w:val="none"/>
          <w:lang w:eastAsia="zh-CN"/>
        </w:rPr>
        <w:t>。</w:t>
      </w:r>
    </w:p>
    <w:p w14:paraId="761557AB">
      <w:pPr>
        <w:pStyle w:val="37"/>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根据本产品的质量状况以及甲方所遭受的损失，经过甲乙双方商定降低本产品的价格。</w:t>
      </w:r>
    </w:p>
    <w:p w14:paraId="45B0450C">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甲方按《</w:t>
      </w:r>
      <w:r>
        <w:rPr>
          <w:rFonts w:hint="eastAsia" w:ascii="仿宋" w:hAnsi="仿宋" w:eastAsia="仿宋" w:cs="仿宋"/>
          <w:color w:val="auto"/>
          <w:sz w:val="24"/>
          <w:szCs w:val="24"/>
          <w:highlight w:val="none"/>
          <w:lang w:val="en-US" w:eastAsia="zh-CN"/>
        </w:rPr>
        <w:t>威海市水务集团有限公司</w:t>
      </w:r>
      <w:r>
        <w:rPr>
          <w:rFonts w:hint="eastAsia" w:ascii="仿宋" w:hAnsi="仿宋" w:eastAsia="仿宋" w:cs="仿宋"/>
          <w:color w:val="auto"/>
          <w:sz w:val="24"/>
          <w:szCs w:val="24"/>
          <w:highlight w:val="none"/>
        </w:rPr>
        <w:t>供应商管理办法》对乙方进行处理。乙方应缴纳质量违约金，质量违约金为问题批次款项的五倍。</w:t>
      </w:r>
    </w:p>
    <w:p w14:paraId="2B123B1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乙方逾期未按</w:t>
      </w:r>
      <w:r>
        <w:rPr>
          <w:rFonts w:hint="eastAsia" w:ascii="仿宋" w:hAnsi="仿宋" w:eastAsia="仿宋" w:cs="仿宋"/>
          <w:color w:val="auto"/>
          <w:sz w:val="24"/>
          <w:szCs w:val="24"/>
          <w:highlight w:val="none"/>
          <w:lang w:val="en-US" w:eastAsia="zh-CN"/>
        </w:rPr>
        <w:t>本合同7.2.1</w:t>
      </w:r>
      <w:r>
        <w:rPr>
          <w:rFonts w:hint="eastAsia" w:ascii="仿宋" w:hAnsi="仿宋" w:eastAsia="仿宋" w:cs="仿宋"/>
          <w:color w:val="auto"/>
          <w:sz w:val="24"/>
          <w:szCs w:val="24"/>
          <w:highlight w:val="none"/>
        </w:rPr>
        <w:t>约定进行更换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补足或维修</w:t>
      </w:r>
      <w:r>
        <w:rPr>
          <w:rFonts w:hint="eastAsia" w:ascii="仿宋" w:hAnsi="仿宋" w:eastAsia="仿宋" w:cs="仿宋"/>
          <w:color w:val="auto"/>
          <w:sz w:val="24"/>
          <w:szCs w:val="24"/>
          <w:highlight w:val="none"/>
        </w:rPr>
        <w:t>或更换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补足或维修</w:t>
      </w:r>
      <w:r>
        <w:rPr>
          <w:rFonts w:hint="eastAsia" w:ascii="仿宋" w:hAnsi="仿宋" w:eastAsia="仿宋" w:cs="仿宋"/>
          <w:color w:val="auto"/>
          <w:sz w:val="24"/>
          <w:szCs w:val="24"/>
          <w:highlight w:val="none"/>
        </w:rPr>
        <w:t>后仍不符合合同约定的，甲方有权自行或委托第三人进行更换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补足或维修或其他服务</w:t>
      </w:r>
      <w:r>
        <w:rPr>
          <w:rFonts w:hint="eastAsia" w:ascii="仿宋" w:hAnsi="仿宋" w:eastAsia="仿宋" w:cs="仿宋"/>
          <w:color w:val="auto"/>
          <w:sz w:val="24"/>
          <w:szCs w:val="24"/>
          <w:highlight w:val="none"/>
        </w:rPr>
        <w:t>，由此产生的费用由乙方承担。经过甲方或第三人更换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补足或</w:t>
      </w:r>
      <w:r>
        <w:rPr>
          <w:rFonts w:hint="eastAsia" w:ascii="仿宋" w:hAnsi="仿宋" w:eastAsia="仿宋" w:cs="仿宋"/>
          <w:color w:val="auto"/>
          <w:sz w:val="24"/>
          <w:szCs w:val="24"/>
          <w:highlight w:val="none"/>
        </w:rPr>
        <w:t>维修后的产品，乙方继续按本合同约定承担质量保修责任。乙方未及时履行保修义务导致的损失均由乙方承担。</w:t>
      </w:r>
      <w:r>
        <w:rPr>
          <w:rFonts w:hint="eastAsia" w:ascii="仿宋" w:hAnsi="仿宋" w:eastAsia="仿宋" w:cs="仿宋"/>
          <w:color w:val="auto"/>
          <w:sz w:val="24"/>
          <w:szCs w:val="24"/>
          <w:highlight w:val="none"/>
          <w:lang w:val="en-US" w:eastAsia="zh-CN"/>
        </w:rPr>
        <w:t>甲方有权从乙方应付款项中直接扣除相应费用，如果乙方应付款项不足以支付该费用，乙方应予以现金补足。</w:t>
      </w:r>
    </w:p>
    <w:p w14:paraId="4EDC0130">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7.3乙方未按照合同的约定完成售后服务，每出现一次，乙方应向甲方支付该批次产品价款</w:t>
      </w:r>
      <w:r>
        <w:rPr>
          <w:rFonts w:hint="eastAsia" w:ascii="仿宋" w:hAnsi="仿宋" w:eastAsia="仿宋" w:cs="仿宋"/>
          <w:color w:val="auto"/>
          <w:sz w:val="24"/>
          <w:szCs w:val="24"/>
          <w:highlight w:val="none"/>
          <w:u w:val="single"/>
          <w:lang w:val="en-US" w:eastAsia="zh-CN"/>
        </w:rPr>
        <w:t xml:space="preserve"> 10 </w:t>
      </w:r>
      <w:r>
        <w:rPr>
          <w:rFonts w:hint="eastAsia" w:ascii="仿宋" w:hAnsi="仿宋" w:eastAsia="仿宋" w:cs="仿宋"/>
          <w:color w:val="auto"/>
          <w:sz w:val="24"/>
          <w:szCs w:val="24"/>
          <w:highlight w:val="none"/>
          <w:lang w:val="en-US" w:eastAsia="zh-CN"/>
        </w:rPr>
        <w:t>%的违约金。上述情况出现2次，甲方有权解除合同并要求乙方承担损失。</w:t>
      </w:r>
    </w:p>
    <w:p w14:paraId="4A09977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乙方对其交付产品的质量承担保证责任，因产品生产工艺、材料缺陷、安装不当等原因发生质量故障的，无论产品</w:t>
      </w:r>
      <w:r>
        <w:rPr>
          <w:rFonts w:hint="eastAsia" w:ascii="仿宋" w:hAnsi="仿宋" w:eastAsia="仿宋" w:cs="仿宋"/>
          <w:color w:val="auto"/>
          <w:sz w:val="24"/>
          <w:szCs w:val="24"/>
          <w:highlight w:val="none"/>
          <w:lang w:val="en-US" w:eastAsia="zh-CN"/>
        </w:rPr>
        <w:t>是否在</w:t>
      </w:r>
      <w:r>
        <w:rPr>
          <w:rFonts w:hint="eastAsia" w:ascii="仿宋" w:hAnsi="仿宋" w:eastAsia="仿宋" w:cs="仿宋"/>
          <w:color w:val="auto"/>
          <w:sz w:val="24"/>
          <w:szCs w:val="24"/>
          <w:highlight w:val="none"/>
        </w:rPr>
        <w:t>保修期</w:t>
      </w:r>
      <w:r>
        <w:rPr>
          <w:rFonts w:hint="eastAsia" w:ascii="仿宋" w:hAnsi="仿宋" w:eastAsia="仿宋" w:cs="仿宋"/>
          <w:color w:val="auto"/>
          <w:sz w:val="24"/>
          <w:szCs w:val="24"/>
          <w:highlight w:val="none"/>
          <w:lang w:val="en-US" w:eastAsia="zh-CN"/>
        </w:rPr>
        <w:t>内</w:t>
      </w:r>
      <w:r>
        <w:rPr>
          <w:rFonts w:hint="eastAsia" w:ascii="仿宋" w:hAnsi="仿宋" w:eastAsia="仿宋" w:cs="仿宋"/>
          <w:color w:val="auto"/>
          <w:sz w:val="24"/>
          <w:szCs w:val="24"/>
          <w:highlight w:val="none"/>
        </w:rPr>
        <w:t>，均由乙方承担责任，赔偿由此给甲方、第三人造成的全部损失。</w:t>
      </w:r>
    </w:p>
    <w:p w14:paraId="066F4288">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7.5</w:t>
      </w:r>
      <w:r>
        <w:rPr>
          <w:rFonts w:hint="eastAsia" w:ascii="仿宋" w:hAnsi="仿宋" w:eastAsia="仿宋" w:cs="仿宋"/>
          <w:color w:val="auto"/>
          <w:sz w:val="24"/>
          <w:szCs w:val="24"/>
          <w:highlight w:val="none"/>
        </w:rPr>
        <w:t>乙方应保证甲方和使用部门在使用该产品或其任何一部分时</w:t>
      </w:r>
      <w:r>
        <w:rPr>
          <w:rFonts w:hint="eastAsia" w:ascii="仿宋" w:hAnsi="仿宋" w:eastAsia="仿宋" w:cs="仿宋"/>
          <w:color w:val="auto"/>
          <w:sz w:val="24"/>
          <w:szCs w:val="24"/>
          <w:highlight w:val="none"/>
          <w:lang w:eastAsia="zh-CN"/>
        </w:rPr>
        <w:t>，不会因此侵犯到第三人的所有权、知识产权等一切权利，属于第三人拥有知识产权的已经取得第三人合法授权，甲方有权不受限制地使用。</w:t>
      </w:r>
      <w:r>
        <w:rPr>
          <w:rFonts w:hint="eastAsia" w:ascii="仿宋" w:hAnsi="仿宋" w:eastAsia="仿宋" w:cs="仿宋"/>
          <w:color w:val="auto"/>
          <w:sz w:val="24"/>
          <w:szCs w:val="24"/>
          <w:highlight w:val="none"/>
          <w:lang w:val="en-US" w:eastAsia="zh-CN"/>
        </w:rPr>
        <w:t>如果任何第三方提出关于知识产权侵权指控均与甲方无关，乙方需与第三方交涉并承担可能发生的一切责任与费用（包括但不限于诉讼费、律师费、公证费、保全费、担保费、鉴定费、评估费、赔偿费等全部费用）。</w:t>
      </w:r>
      <w:r>
        <w:rPr>
          <w:rFonts w:hint="eastAsia" w:ascii="仿宋" w:hAnsi="仿宋" w:eastAsia="仿宋" w:cs="仿宋"/>
          <w:color w:val="auto"/>
          <w:sz w:val="24"/>
          <w:szCs w:val="24"/>
          <w:highlight w:val="none"/>
        </w:rPr>
        <w:t>如果不能取得使用许可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需要另行购买产品的，所需费用由乙方承担，并赔偿甲方因此受到的损失。</w:t>
      </w:r>
    </w:p>
    <w:p w14:paraId="3B2B2995">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7.6乙方违反本合同约定或</w:t>
      </w:r>
      <w:r>
        <w:rPr>
          <w:rFonts w:hint="eastAsia" w:ascii="仿宋" w:hAnsi="仿宋" w:eastAsia="仿宋" w:cs="仿宋"/>
          <w:color w:val="auto"/>
          <w:sz w:val="24"/>
          <w:szCs w:val="24"/>
          <w:highlight w:val="none"/>
        </w:rPr>
        <w:t>法律、</w:t>
      </w:r>
      <w:r>
        <w:rPr>
          <w:rFonts w:hint="eastAsia" w:ascii="仿宋" w:hAnsi="仿宋" w:eastAsia="仿宋" w:cs="仿宋"/>
          <w:color w:val="auto"/>
          <w:sz w:val="24"/>
          <w:szCs w:val="24"/>
          <w:highlight w:val="none"/>
          <w:lang w:val="en-US" w:eastAsia="zh-CN"/>
        </w:rPr>
        <w:t>法规</w:t>
      </w:r>
      <w:r>
        <w:rPr>
          <w:rFonts w:hint="eastAsia" w:ascii="仿宋" w:hAnsi="仿宋" w:eastAsia="仿宋" w:cs="仿宋"/>
          <w:color w:val="auto"/>
          <w:sz w:val="24"/>
          <w:szCs w:val="24"/>
          <w:highlight w:val="none"/>
        </w:rPr>
        <w:t>和相关政策</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lang w:val="en-US" w:eastAsia="zh-CN"/>
        </w:rPr>
        <w:t>规定，应当赔偿给甲方造成的全部损失，包括但不限于直接损失、预期利益损失、甲方向第三人支付的违约金、赔偿金及甲方为索赔支出的诉讼费、律师费、公证费、保全费、担保费、鉴定费、评估费等全部费用。</w:t>
      </w:r>
    </w:p>
    <w:p w14:paraId="6CDCE711">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7.7本合同签订及履行过程中，未经甲方书面同意，乙方不得将本合同的权利义务以任何方式转让给第三人，否则甲方有权选择单方解除本合同并要求乙方支付合同总价款的</w:t>
      </w:r>
      <w:r>
        <w:rPr>
          <w:rFonts w:hint="eastAsia" w:ascii="仿宋" w:hAnsi="仿宋" w:eastAsia="仿宋" w:cs="仿宋"/>
          <w:color w:val="auto"/>
          <w:sz w:val="24"/>
          <w:szCs w:val="24"/>
          <w:highlight w:val="none"/>
          <w:u w:val="single"/>
          <w:lang w:val="en-US" w:eastAsia="zh-CN"/>
        </w:rPr>
        <w:t>20%</w:t>
      </w:r>
      <w:r>
        <w:rPr>
          <w:rFonts w:hint="eastAsia" w:ascii="仿宋" w:hAnsi="仿宋" w:eastAsia="仿宋" w:cs="仿宋"/>
          <w:color w:val="auto"/>
          <w:sz w:val="24"/>
          <w:szCs w:val="24"/>
          <w:highlight w:val="none"/>
          <w:lang w:val="en-US" w:eastAsia="zh-CN"/>
        </w:rPr>
        <w:t>作为违约金。</w:t>
      </w:r>
    </w:p>
    <w:p w14:paraId="179531A1">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7.8本合同签订后，乙方在合同履行期间无不正当理由单方面解除合同的(或明确表示不履约或其行为表明不再履行合同的)，视为乙方严重违约，甲方有权解除合同，乙方需支付签约合同总价款的</w:t>
      </w:r>
      <w:r>
        <w:rPr>
          <w:rFonts w:hint="eastAsia" w:ascii="仿宋" w:hAnsi="仿宋" w:eastAsia="仿宋" w:cs="仿宋"/>
          <w:color w:val="auto"/>
          <w:sz w:val="24"/>
          <w:szCs w:val="24"/>
          <w:highlight w:val="none"/>
          <w:u w:val="single"/>
          <w:lang w:val="en-US" w:eastAsia="zh-CN"/>
        </w:rPr>
        <w:t>20%</w:t>
      </w:r>
      <w:r>
        <w:rPr>
          <w:rFonts w:hint="eastAsia" w:ascii="仿宋" w:hAnsi="仿宋" w:eastAsia="仿宋" w:cs="仿宋"/>
          <w:color w:val="auto"/>
          <w:sz w:val="24"/>
          <w:szCs w:val="24"/>
          <w:highlight w:val="none"/>
          <w:u w:val="none"/>
          <w:lang w:val="en-US" w:eastAsia="zh-CN"/>
        </w:rPr>
        <w:t>作为</w:t>
      </w:r>
      <w:r>
        <w:rPr>
          <w:rFonts w:hint="eastAsia" w:ascii="仿宋" w:hAnsi="仿宋" w:eastAsia="仿宋" w:cs="仿宋"/>
          <w:color w:val="auto"/>
          <w:sz w:val="24"/>
          <w:szCs w:val="24"/>
          <w:highlight w:val="none"/>
          <w:lang w:val="en-US" w:eastAsia="zh-CN"/>
        </w:rPr>
        <w:t>违约金，给甲方造成损失的，乙方还应另行赔付甲方的实际损失。</w:t>
      </w:r>
    </w:p>
    <w:p w14:paraId="52671B33">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7.9甲方逾期付款的，每逾期一日，甲方按照1年期贷款市场报价利率计算违约金。</w:t>
      </w:r>
    </w:p>
    <w:p w14:paraId="535B1C90">
      <w:pPr>
        <w:pStyle w:val="4"/>
        <w:pageBreakBefore w:val="0"/>
        <w:numPr>
          <w:ilvl w:val="0"/>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color w:val="auto"/>
          <w:sz w:val="24"/>
          <w:szCs w:val="24"/>
          <w:highlight w:val="none"/>
        </w:rPr>
      </w:pPr>
      <w:r>
        <w:rPr>
          <w:rStyle w:val="44"/>
          <w:rFonts w:hint="eastAsia" w:ascii="仿宋" w:hAnsi="仿宋" w:eastAsia="仿宋" w:cs="仿宋"/>
          <w:b/>
          <w:bCs w:val="0"/>
          <w:color w:val="auto"/>
          <w:sz w:val="24"/>
          <w:szCs w:val="24"/>
          <w:highlight w:val="none"/>
        </w:rPr>
        <w:t>第</w:t>
      </w:r>
      <w:r>
        <w:rPr>
          <w:rStyle w:val="44"/>
          <w:rFonts w:hint="eastAsia" w:ascii="仿宋" w:hAnsi="仿宋" w:eastAsia="仿宋" w:cs="仿宋"/>
          <w:b/>
          <w:bCs w:val="0"/>
          <w:color w:val="auto"/>
          <w:sz w:val="24"/>
          <w:szCs w:val="24"/>
          <w:highlight w:val="none"/>
          <w:lang w:val="en-US" w:eastAsia="zh-CN"/>
        </w:rPr>
        <w:t>8</w:t>
      </w:r>
      <w:r>
        <w:rPr>
          <w:rStyle w:val="44"/>
          <w:rFonts w:hint="eastAsia" w:ascii="仿宋" w:hAnsi="仿宋" w:eastAsia="仿宋" w:cs="仿宋"/>
          <w:b/>
          <w:bCs w:val="0"/>
          <w:color w:val="auto"/>
          <w:sz w:val="24"/>
          <w:szCs w:val="24"/>
          <w:highlight w:val="none"/>
        </w:rPr>
        <w:t>条 争端的解决</w:t>
      </w:r>
    </w:p>
    <w:p w14:paraId="6D51A5A7">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8.1本合同的签订、解释及其在履行过程中出现的、或与本合同有关的纠纷的解决，受中华人民共和国现行有效的法律约束。</w:t>
      </w:r>
    </w:p>
    <w:p w14:paraId="427FEE4E">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8.2</w:t>
      </w:r>
      <w:r>
        <w:rPr>
          <w:rFonts w:hint="eastAsia" w:ascii="仿宋" w:hAnsi="仿宋" w:eastAsia="仿宋" w:cs="仿宋"/>
          <w:color w:val="auto"/>
          <w:sz w:val="24"/>
          <w:szCs w:val="24"/>
          <w:highlight w:val="none"/>
        </w:rPr>
        <w:t>因本合同引起的或与本合同有关的任何争议，由合同各方协商解决，也可由有关部门调解。协商或调解不成的，应向</w:t>
      </w:r>
      <w:r>
        <w:rPr>
          <w:rFonts w:hint="eastAsia" w:ascii="仿宋" w:hAnsi="仿宋" w:eastAsia="仿宋" w:cs="仿宋"/>
          <w:color w:val="auto"/>
          <w:sz w:val="24"/>
          <w:szCs w:val="24"/>
          <w:highlight w:val="none"/>
          <w:u w:val="single"/>
        </w:rPr>
        <w:t> 甲方 </w:t>
      </w:r>
      <w:r>
        <w:rPr>
          <w:rFonts w:hint="eastAsia" w:ascii="仿宋" w:hAnsi="仿宋" w:eastAsia="仿宋" w:cs="仿宋"/>
          <w:color w:val="auto"/>
          <w:sz w:val="24"/>
          <w:szCs w:val="24"/>
          <w:highlight w:val="none"/>
        </w:rPr>
        <w:t>所在地有管辖权的人民法院起诉。</w:t>
      </w:r>
    </w:p>
    <w:p w14:paraId="7241C614">
      <w:pPr>
        <w:pStyle w:val="4"/>
        <w:pageBreakBefore w:val="0"/>
        <w:numPr>
          <w:ilvl w:val="2"/>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sz w:val="24"/>
          <w:szCs w:val="24"/>
          <w:highlight w:val="none"/>
        </w:rPr>
      </w:pPr>
      <w:r>
        <w:rPr>
          <w:rStyle w:val="44"/>
          <w:rFonts w:hint="eastAsia" w:ascii="仿宋" w:hAnsi="仿宋" w:eastAsia="仿宋" w:cs="仿宋"/>
          <w:b/>
          <w:bCs/>
          <w:sz w:val="24"/>
          <w:szCs w:val="24"/>
          <w:highlight w:val="none"/>
        </w:rPr>
        <w:t>第9条 通知送达</w:t>
      </w:r>
    </w:p>
    <w:p w14:paraId="015F68D8">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为更好的履行本合同，双方提供如下联系方式：</w:t>
      </w:r>
    </w:p>
    <w:p w14:paraId="775A881B">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甲方联系方式</w:t>
      </w:r>
    </w:p>
    <w:p w14:paraId="795FB7B4">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邮寄地址：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eastAsia="zh-CN"/>
        </w:rPr>
        <w:t>；</w:t>
      </w:r>
    </w:p>
    <w:p w14:paraId="1E8462F6">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eastAsia="zh-CN"/>
        </w:rPr>
        <w:t>；</w:t>
      </w:r>
    </w:p>
    <w:p w14:paraId="40695551">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FFA1D4B">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乙方联系方式</w:t>
      </w:r>
    </w:p>
    <w:p w14:paraId="6134121B">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邮寄地址：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eastAsia="zh-CN"/>
        </w:rPr>
        <w:t>；</w:t>
      </w:r>
    </w:p>
    <w:p w14:paraId="0D7DF2F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eastAsia="zh-CN"/>
        </w:rPr>
        <w:t>；</w:t>
      </w:r>
    </w:p>
    <w:p w14:paraId="0F99AB84">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195FF12">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双方通过上述联系方式就本合同有关事项向对方发送相关书面通知等，均视为有效送达与告知对方。无论对方是否实际查阅，上述邮寄送达地址同时作为有效司法送达地址。一方变更通知或通讯地址，应自变更之日起三日内，以书面形式通知对方；否则，由未通知方承担由此而产生的相关责任。</w:t>
      </w:r>
    </w:p>
    <w:p w14:paraId="344671FC">
      <w:pPr>
        <w:pStyle w:val="4"/>
        <w:pageBreakBefore w:val="0"/>
        <w:numPr>
          <w:ilvl w:val="2"/>
          <w:numId w:val="0"/>
        </w:numPr>
        <w:kinsoku/>
        <w:wordWrap/>
        <w:overflowPunct/>
        <w:topLinePunct w:val="0"/>
        <w:autoSpaceDE/>
        <w:autoSpaceDN/>
        <w:bidi w:val="0"/>
        <w:adjustRightInd/>
        <w:snapToGrid/>
        <w:spacing w:before="0" w:after="0" w:line="480" w:lineRule="exact"/>
        <w:ind w:leftChars="0"/>
        <w:jc w:val="both"/>
        <w:rPr>
          <w:rStyle w:val="44"/>
          <w:rFonts w:hint="eastAsia" w:ascii="仿宋" w:hAnsi="仿宋" w:eastAsia="仿宋" w:cs="仿宋"/>
          <w:b/>
          <w:bCs/>
          <w:sz w:val="24"/>
          <w:szCs w:val="24"/>
          <w:highlight w:val="none"/>
        </w:rPr>
      </w:pPr>
      <w:r>
        <w:rPr>
          <w:rStyle w:val="44"/>
          <w:rFonts w:hint="eastAsia" w:ascii="仿宋" w:hAnsi="仿宋" w:eastAsia="仿宋" w:cs="仿宋"/>
          <w:b/>
          <w:bCs/>
          <w:sz w:val="24"/>
          <w:szCs w:val="24"/>
          <w:highlight w:val="none"/>
        </w:rPr>
        <w:t>第10条 不可抗力</w:t>
      </w:r>
    </w:p>
    <w:p w14:paraId="3E74112C">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10.1不可抗力是指合同当事人在签订合同时不可预见，在合同履行过程中不可避免且不能克服的自然灾害和社会性突发事件，如地震、海啸、瘟疫、骚乱、戒严、暴动、战争和因政府重大活动或重污染天气通知暂停生产、施工以及其他情形。</w:t>
      </w:r>
    </w:p>
    <w:p w14:paraId="5594DEBC">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10.2不可抗力发生后，合同当事人均应采取措施尽量避免和减少损失的扩大，任何一方当事人没有采取有效措施导致损失扩大的，应对扩大的损失承担责任。</w:t>
      </w:r>
    </w:p>
    <w:p w14:paraId="0124A130">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10.3合同一方当事人遇到不可抗力事件，使其履行合同义务受到阻碍时，应立即通知合同另一方当事人，书面说明不可抗力和受阻碍的详细情况，并提供必要的证明；不可抗力持续发生的，合同一方当事人应及时向合同另一方当事人提交中间报告，说明不可抗力和履行合同受阻的情况，并于不可抗力事件结束后28天内提交最终报告及有关资料。</w:t>
      </w:r>
    </w:p>
    <w:p w14:paraId="3E3FD85A">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10.4因不可抗力导致合同无法履行连续超过30天或累计超过90天的，甲方和乙方均有权单方面解除合同。</w:t>
      </w:r>
    </w:p>
    <w:p w14:paraId="0FCCB15B">
      <w:pPr>
        <w:pStyle w:val="4"/>
        <w:pageBreakBefore w:val="0"/>
        <w:numPr>
          <w:ilvl w:val="2"/>
          <w:numId w:val="0"/>
        </w:numPr>
        <w:kinsoku/>
        <w:wordWrap/>
        <w:overflowPunct/>
        <w:topLinePunct w:val="0"/>
        <w:autoSpaceDE/>
        <w:autoSpaceDN/>
        <w:bidi w:val="0"/>
        <w:adjustRightInd/>
        <w:snapToGrid/>
        <w:spacing w:before="0" w:after="0" w:line="480" w:lineRule="exact"/>
        <w:ind w:leftChars="0"/>
        <w:jc w:val="both"/>
        <w:rPr>
          <w:rFonts w:hint="eastAsia" w:ascii="仿宋" w:hAnsi="仿宋" w:eastAsia="仿宋" w:cs="仿宋"/>
          <w:sz w:val="24"/>
          <w:szCs w:val="24"/>
          <w:highlight w:val="none"/>
        </w:rPr>
      </w:pPr>
      <w:r>
        <w:rPr>
          <w:rStyle w:val="44"/>
          <w:rFonts w:hint="eastAsia" w:ascii="仿宋" w:hAnsi="仿宋" w:eastAsia="仿宋" w:cs="仿宋"/>
          <w:b/>
          <w:bCs/>
          <w:sz w:val="24"/>
          <w:szCs w:val="24"/>
          <w:highlight w:val="none"/>
        </w:rPr>
        <w:t>第11条 合同生效</w:t>
      </w:r>
    </w:p>
    <w:p w14:paraId="5DA655F0">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11.1本合同在甲、乙双方法定代表人或授权代理人签字并加盖公章后生效。</w:t>
      </w:r>
    </w:p>
    <w:p w14:paraId="4500819B">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11.2本合同壹式:</w:t>
      </w:r>
      <w:r>
        <w:rPr>
          <w:rFonts w:hint="eastAsia" w:ascii="仿宋" w:hAnsi="仿宋" w:eastAsia="仿宋" w:cs="仿宋"/>
          <w:sz w:val="24"/>
          <w:szCs w:val="24"/>
          <w:highlight w:val="none"/>
          <w:u w:val="single"/>
        </w:rPr>
        <w:t xml:space="preserve"> 叁 </w:t>
      </w:r>
      <w:r>
        <w:rPr>
          <w:rFonts w:hint="eastAsia" w:ascii="仿宋" w:hAnsi="仿宋" w:eastAsia="仿宋" w:cs="仿宋"/>
          <w:sz w:val="24"/>
          <w:szCs w:val="24"/>
          <w:highlight w:val="none"/>
        </w:rPr>
        <w:t>份，以中文书就，签约后甲方执</w:t>
      </w:r>
      <w:r>
        <w:rPr>
          <w:rFonts w:hint="eastAsia" w:ascii="仿宋" w:hAnsi="仿宋" w:eastAsia="仿宋" w:cs="仿宋"/>
          <w:sz w:val="24"/>
          <w:szCs w:val="24"/>
          <w:highlight w:val="none"/>
          <w:u w:val="single"/>
        </w:rPr>
        <w:t xml:space="preserve"> 贰 </w:t>
      </w:r>
      <w:r>
        <w:rPr>
          <w:rFonts w:hint="eastAsia" w:ascii="仿宋" w:hAnsi="仿宋" w:eastAsia="仿宋" w:cs="仿宋"/>
          <w:sz w:val="24"/>
          <w:szCs w:val="24"/>
          <w:highlight w:val="none"/>
        </w:rPr>
        <w:t>份，乙方执</w:t>
      </w:r>
      <w:r>
        <w:rPr>
          <w:rFonts w:hint="eastAsia" w:ascii="仿宋" w:hAnsi="仿宋" w:eastAsia="仿宋" w:cs="仿宋"/>
          <w:sz w:val="24"/>
          <w:szCs w:val="24"/>
          <w:highlight w:val="none"/>
          <w:u w:val="single"/>
        </w:rPr>
        <w:t xml:space="preserve"> 壹 </w:t>
      </w:r>
      <w:r>
        <w:rPr>
          <w:rFonts w:hint="eastAsia" w:ascii="仿宋" w:hAnsi="仿宋" w:eastAsia="仿宋" w:cs="仿宋"/>
          <w:sz w:val="24"/>
          <w:szCs w:val="24"/>
          <w:highlight w:val="none"/>
        </w:rPr>
        <w:t>份，具有相同的法律效力。</w:t>
      </w:r>
    </w:p>
    <w:p w14:paraId="64A0AB27">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11.3在本合同有效期内，乙方销售产品的授权到期，本合同将自动终止，乙方须负责产品的保修直至质保期满为止。</w:t>
      </w:r>
    </w:p>
    <w:p w14:paraId="317BB4AD">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11.4乙方未按甲方要求及时维护产品或未及时办理有关产品相关证照及登记手续的，甲方有权单方面终止本合同。</w:t>
      </w:r>
    </w:p>
    <w:p w14:paraId="68F7CCE7">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11.5本合同有效期自</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日至自</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r>
        <w:rPr>
          <w:rFonts w:hint="eastAsia" w:ascii="仿宋" w:hAnsi="仿宋" w:eastAsia="仿宋" w:cs="仿宋"/>
          <w:sz w:val="24"/>
          <w:szCs w:val="24"/>
          <w:highlight w:val="none"/>
        </w:rPr>
        <w:t>。</w:t>
      </w:r>
    </w:p>
    <w:p w14:paraId="0886A1CA">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11.6</w:t>
      </w:r>
      <w:r>
        <w:rPr>
          <w:rFonts w:hint="eastAsia" w:ascii="仿宋" w:hAnsi="仿宋" w:eastAsia="仿宋" w:cs="仿宋"/>
          <w:sz w:val="24"/>
          <w:szCs w:val="24"/>
          <w:highlight w:val="none"/>
          <w:lang w:val="en-US" w:eastAsia="zh-CN"/>
        </w:rPr>
        <w:t>本</w:t>
      </w:r>
      <w:r>
        <w:rPr>
          <w:rFonts w:hint="eastAsia" w:ascii="仿宋" w:hAnsi="仿宋" w:eastAsia="仿宋" w:cs="仿宋"/>
          <w:sz w:val="24"/>
          <w:szCs w:val="24"/>
          <w:highlight w:val="none"/>
        </w:rPr>
        <w:t>合同终止前，已确认或完成的交易，双方仍需按照本合同的约定继续履行相应的权利和义务。</w:t>
      </w:r>
    </w:p>
    <w:p w14:paraId="6E983925">
      <w:pPr>
        <w:pStyle w:val="37"/>
        <w:pageBreakBefore w:val="0"/>
        <w:kinsoku/>
        <w:wordWrap/>
        <w:overflowPunct/>
        <w:topLinePunct w:val="0"/>
        <w:autoSpaceDE/>
        <w:autoSpaceDN/>
        <w:bidi w:val="0"/>
        <w:adjustRightInd/>
        <w:snapToGrid/>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11.7附件 信用承诺书，与本合同具有同等法律效力。</w:t>
      </w:r>
    </w:p>
    <w:p w14:paraId="1C0973AC">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r>
        <w:rPr>
          <w:rFonts w:hint="eastAsia" w:ascii="仿宋" w:hAnsi="仿宋" w:eastAsia="仿宋" w:cs="仿宋"/>
          <w:sz w:val="24"/>
          <w:szCs w:val="24"/>
          <w:highlight w:val="none"/>
        </w:rPr>
        <w:t>签署地点：</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u w:val="single"/>
          <w:lang w:val="en-US" w:eastAsia="zh-CN"/>
        </w:rPr>
        <w:t xml:space="preserve"> 威海市经济技术开发区上海路58号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63CF266D">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p>
    <w:p w14:paraId="6C70AB7A">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p>
    <w:p w14:paraId="4BF27562">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r>
        <w:rPr>
          <w:rStyle w:val="44"/>
          <w:rFonts w:hint="eastAsia" w:ascii="仿宋" w:hAnsi="仿宋" w:eastAsia="仿宋" w:cs="仿宋"/>
          <w:sz w:val="24"/>
          <w:szCs w:val="24"/>
          <w:highlight w:val="none"/>
        </w:rPr>
        <w:t xml:space="preserve">甲方（盖章）：                           </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乙方（盖章）：</w:t>
      </w:r>
    </w:p>
    <w:p w14:paraId="5F59F9DD">
      <w:pPr>
        <w:pStyle w:val="37"/>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p>
    <w:p w14:paraId="50A27725">
      <w:pPr>
        <w:pStyle w:val="63"/>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r>
        <w:rPr>
          <w:rStyle w:val="44"/>
          <w:rFonts w:hint="eastAsia" w:ascii="仿宋" w:hAnsi="仿宋" w:eastAsia="仿宋" w:cs="仿宋"/>
          <w:sz w:val="24"/>
          <w:szCs w:val="24"/>
          <w:highlight w:val="none"/>
        </w:rPr>
        <w:t xml:space="preserve">法定代表人                               </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 xml:space="preserve"> </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法定代表人</w:t>
      </w:r>
    </w:p>
    <w:p w14:paraId="5C2173F5">
      <w:pPr>
        <w:pStyle w:val="63"/>
        <w:pageBreakBefore w:val="0"/>
        <w:kinsoku/>
        <w:wordWrap/>
        <w:overflowPunct/>
        <w:topLinePunct w:val="0"/>
        <w:autoSpaceDE/>
        <w:autoSpaceDN/>
        <w:bidi w:val="0"/>
        <w:adjustRightInd/>
        <w:snapToGrid/>
        <w:spacing w:before="0" w:beforeAutospacing="0" w:after="0" w:afterAutospacing="0" w:line="480" w:lineRule="exact"/>
        <w:rPr>
          <w:rStyle w:val="44"/>
          <w:rFonts w:hint="eastAsia" w:ascii="仿宋" w:hAnsi="仿宋" w:eastAsia="仿宋" w:cs="仿宋"/>
          <w:sz w:val="24"/>
          <w:szCs w:val="24"/>
          <w:highlight w:val="none"/>
        </w:rPr>
      </w:pPr>
      <w:r>
        <w:rPr>
          <w:rStyle w:val="44"/>
          <w:rFonts w:hint="eastAsia" w:ascii="仿宋" w:hAnsi="仿宋" w:eastAsia="仿宋" w:cs="仿宋"/>
          <w:sz w:val="24"/>
          <w:szCs w:val="24"/>
          <w:highlight w:val="none"/>
        </w:rPr>
        <w:t xml:space="preserve">或授权委托人（签字）：           </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 xml:space="preserve"> 或授权委托人（签字）：</w:t>
      </w:r>
    </w:p>
    <w:p w14:paraId="332E3D47">
      <w:pPr>
        <w:pageBreakBefore w:val="0"/>
        <w:kinsoku/>
        <w:wordWrap/>
        <w:overflowPunct/>
        <w:topLinePunct w:val="0"/>
        <w:autoSpaceDE/>
        <w:autoSpaceDN/>
        <w:bidi w:val="0"/>
        <w:adjustRightInd/>
        <w:snapToGrid/>
        <w:spacing w:line="480" w:lineRule="exact"/>
        <w:rPr>
          <w:rStyle w:val="44"/>
          <w:rFonts w:hint="eastAsia" w:ascii="仿宋" w:hAnsi="仿宋" w:eastAsia="仿宋" w:cs="仿宋"/>
          <w:sz w:val="24"/>
          <w:szCs w:val="24"/>
          <w:highlight w:val="none"/>
        </w:rPr>
      </w:pPr>
    </w:p>
    <w:p w14:paraId="0BEB4412">
      <w:pPr>
        <w:pageBreakBefore w:val="0"/>
        <w:kinsoku/>
        <w:wordWrap/>
        <w:overflowPunct/>
        <w:topLinePunct w:val="0"/>
        <w:autoSpaceDE/>
        <w:autoSpaceDN/>
        <w:bidi w:val="0"/>
        <w:adjustRightInd/>
        <w:snapToGrid/>
        <w:spacing w:line="480" w:lineRule="exact"/>
        <w:rPr>
          <w:rStyle w:val="44"/>
          <w:rFonts w:hint="eastAsia" w:ascii="仿宋" w:hAnsi="仿宋" w:eastAsia="仿宋" w:cs="仿宋"/>
          <w:sz w:val="24"/>
          <w:szCs w:val="24"/>
          <w:highlight w:val="none"/>
        </w:rPr>
      </w:pPr>
      <w:r>
        <w:rPr>
          <w:rStyle w:val="44"/>
          <w:rFonts w:hint="eastAsia" w:ascii="仿宋" w:hAnsi="仿宋" w:eastAsia="仿宋" w:cs="仿宋"/>
          <w:sz w:val="24"/>
          <w:szCs w:val="24"/>
          <w:highlight w:val="none"/>
        </w:rPr>
        <w:t>签订时间</w:t>
      </w:r>
      <w:r>
        <w:rPr>
          <w:rStyle w:val="44"/>
          <w:rFonts w:hint="eastAsia" w:ascii="仿宋" w:hAnsi="仿宋" w:eastAsia="仿宋" w:cs="仿宋"/>
          <w:sz w:val="24"/>
          <w:szCs w:val="24"/>
          <w:highlight w:val="none"/>
          <w:lang w:eastAsia="zh-CN"/>
        </w:rPr>
        <w:t>：</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年</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 xml:space="preserve">月 </w:t>
      </w:r>
      <w:r>
        <w:rPr>
          <w:rStyle w:val="44"/>
          <w:rFonts w:hint="eastAsia" w:ascii="仿宋" w:hAnsi="仿宋" w:eastAsia="仿宋" w:cs="仿宋"/>
          <w:sz w:val="24"/>
          <w:szCs w:val="24"/>
          <w:highlight w:val="none"/>
          <w:lang w:val="en-US" w:eastAsia="zh-CN"/>
        </w:rPr>
        <w:t xml:space="preserve"> </w:t>
      </w:r>
      <w:r>
        <w:rPr>
          <w:rStyle w:val="44"/>
          <w:rFonts w:hint="eastAsia" w:ascii="仿宋" w:hAnsi="仿宋" w:eastAsia="仿宋" w:cs="仿宋"/>
          <w:sz w:val="24"/>
          <w:szCs w:val="24"/>
          <w:highlight w:val="none"/>
        </w:rPr>
        <w:t>日</w:t>
      </w:r>
    </w:p>
    <w:p w14:paraId="0C00F461">
      <w:pPr>
        <w:pageBreakBefore w:val="0"/>
        <w:kinsoku/>
        <w:wordWrap/>
        <w:overflowPunct/>
        <w:topLinePunct w:val="0"/>
        <w:autoSpaceDE/>
        <w:autoSpaceDN/>
        <w:bidi w:val="0"/>
        <w:adjustRightInd/>
        <w:snapToGrid/>
        <w:spacing w:line="480" w:lineRule="exact"/>
        <w:rPr>
          <w:rFonts w:hint="eastAsia" w:ascii="仿宋" w:hAnsi="仿宋" w:eastAsia="仿宋" w:cs="仿宋"/>
          <w:b/>
          <w:bCs/>
          <w:sz w:val="24"/>
          <w:szCs w:val="24"/>
          <w:highlight w:val="none"/>
        </w:rPr>
      </w:pPr>
      <w:r>
        <w:rPr>
          <w:rStyle w:val="44"/>
          <w:rFonts w:hint="eastAsia" w:ascii="仿宋" w:hAnsi="仿宋" w:eastAsia="仿宋" w:cs="仿宋"/>
          <w:sz w:val="24"/>
          <w:szCs w:val="24"/>
          <w:highlight w:val="none"/>
        </w:rPr>
        <w:br w:type="page"/>
      </w:r>
    </w:p>
    <w:p w14:paraId="4D646451">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附件</w:t>
      </w:r>
    </w:p>
    <w:p w14:paraId="607B44E9">
      <w:pPr>
        <w:pStyle w:val="58"/>
        <w:spacing w:line="520" w:lineRule="exact"/>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廉洁信用承诺书</w:t>
      </w:r>
    </w:p>
    <w:p w14:paraId="43B31608">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为营造公平竞争、规范有序的市场环境，树立诚信守法经营形象。本单位郑重承诺：</w:t>
      </w:r>
    </w:p>
    <w:p w14:paraId="75AB6747">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一、我方在此声明，本次采购活动中申报的所有资料都是真实、准确完整的，如发现提供虚假资料，或与事实不符而导致投标（报价）无效，甚至造成任何法律和经济责任，完全由我方负责。</w:t>
      </w:r>
    </w:p>
    <w:p w14:paraId="34F8C82D">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二、我方在本次采购活动中绝无资质挂靠、串标、围标情形，若经贵方查出，立即取消我方中标（成交）资格并承担相应的法律责任。</w:t>
      </w:r>
    </w:p>
    <w:p w14:paraId="459181CE">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三、我方在以往的采购活动中，无重大违法、违规的不良记录；或虽有不良记录，但已超过处理期限。</w:t>
      </w:r>
    </w:p>
    <w:p w14:paraId="70991DE3">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四、我方一旦中标（成交），将按规定及时与贵方签订合同，严格按照投标（报价）文件中所承诺的报价、质量、服务期等内容组织实施。</w:t>
      </w:r>
    </w:p>
    <w:p w14:paraId="74DC6D73">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五、自觉接受社会各界的监督，依法接受有关行政机关的事中事后监管和执法检查，并如实提供有关情况和材料。</w:t>
      </w:r>
    </w:p>
    <w:p w14:paraId="11327DDF">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六、严格遵守国家法律、法规、规章和相关政策的规定，积极参与社会信用体系建设，倡导树立以信笃行，以诚兴业的传统美德，争当信用市民，争创信用企业。</w:t>
      </w:r>
    </w:p>
    <w:p w14:paraId="6DAE42A8">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七、我方承诺我单位、法定代表人、授权委托人近三年内无行贿犯罪记录。如有不实，愿意承担一切后果。</w:t>
      </w:r>
    </w:p>
    <w:p w14:paraId="3DA76A12">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八、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1E66D6E0">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九、我方及其工作人员、代理人在合作及履约全过程中，绝不以任何形式向贵方工作人员提供现金、卡（券）、贵重礼品等财物；绝不提供或安排超出正常业务范围的宴请、旅游、娱乐、健身、高档消费等活动。</w:t>
      </w:r>
    </w:p>
    <w:p w14:paraId="7343451A">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十、我方及其工作人员、代理人绝不借贵方工作人员婚丧嫁娶、乔迁、升学等名义进行利益输送；绝不承担或支付应由贵方工作人员个人承担的任何费用，包括但不限于住房装修、医疗、旅游、购物及子女教育等费用。</w:t>
      </w:r>
    </w:p>
    <w:p w14:paraId="672EBE52">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十一、我方及其工作人员、代理人绝不以任何形式向贵方工作人员承诺，在其离职、退休后提供任何形式的经济利益或其他不当好处。</w:t>
      </w:r>
    </w:p>
    <w:p w14:paraId="75AAD2B1">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十二、 我方及其工作人员、代理人承诺不接受贵方工作人员介绍、指定或限定的工程分包单位、物资供应商、物资设备等。</w:t>
      </w:r>
    </w:p>
    <w:p w14:paraId="79336314">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十三、我方知晓并充分理解贵方的《供应商管理办法》《供应商黑名单管理办法》。</w:t>
      </w:r>
    </w:p>
    <w:p w14:paraId="3A8E6D67">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十四、本《信用承诺书》同意向社会公开。</w:t>
      </w:r>
    </w:p>
    <w:p w14:paraId="159DCC38">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特别声明：上述《廉洁信用承诺书》系我单位真实意思表示，我单位已仔细阅读，充分理解并认识到须承担的法律责任和义务，自愿承担相应的法律风险。若违反上述第一至八条承诺，一经查实，贵方有权单方面解除与我方签订的所有合同，且贵方有权追究我方其他法律责任。若违反上述第九至十二条承诺，一经查实，贵方有权单方面解除与我方签订的所有合同，我方自愿放弃在贵方账户上所有未付款项，以作为对贵方的补偿，且贵方有权追究我方其他法律责任。</w:t>
      </w:r>
    </w:p>
    <w:p w14:paraId="22442D43">
      <w:pPr>
        <w:pStyle w:val="58"/>
        <w:spacing w:line="520" w:lineRule="exact"/>
        <w:rPr>
          <w:rFonts w:hint="eastAsia" w:ascii="仿宋" w:hAnsi="仿宋" w:eastAsia="仿宋" w:cs="仿宋"/>
          <w:sz w:val="24"/>
          <w:szCs w:val="24"/>
          <w:highlight w:val="none"/>
        </w:rPr>
      </w:pPr>
    </w:p>
    <w:p w14:paraId="613B9F3E">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00044846">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承诺单位：（名称及盖章）</w:t>
      </w:r>
    </w:p>
    <w:p w14:paraId="4223F505">
      <w:pPr>
        <w:pStyle w:val="58"/>
        <w:spacing w:line="520" w:lineRule="exact"/>
        <w:ind w:firstLine="4320" w:firstLineChars="1800"/>
        <w:rPr>
          <w:rFonts w:hint="eastAsia" w:ascii="仿宋" w:hAnsi="仿宋" w:eastAsia="仿宋" w:cs="仿宋"/>
          <w:sz w:val="24"/>
          <w:szCs w:val="24"/>
          <w:highlight w:val="none"/>
        </w:rPr>
      </w:pPr>
      <w:r>
        <w:rPr>
          <w:rFonts w:hint="eastAsia" w:ascii="仿宋" w:hAnsi="仿宋" w:eastAsia="仿宋" w:cs="仿宋"/>
          <w:sz w:val="24"/>
          <w:szCs w:val="24"/>
          <w:highlight w:val="none"/>
        </w:rPr>
        <w:t>企业负责人：              （签字）</w:t>
      </w:r>
    </w:p>
    <w:p w14:paraId="1668FE16">
      <w:pPr>
        <w:pStyle w:val="58"/>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     日</w:t>
      </w:r>
    </w:p>
    <w:p w14:paraId="443C7A89">
      <w:pPr>
        <w:pStyle w:val="40"/>
        <w:spacing w:line="520" w:lineRule="exact"/>
        <w:ind w:left="0" w:leftChars="0" w:firstLine="0" w:firstLineChars="0"/>
        <w:rPr>
          <w:rFonts w:hint="eastAsia" w:ascii="仿宋" w:hAnsi="仿宋" w:eastAsia="仿宋" w:cs="仿宋"/>
          <w:sz w:val="24"/>
          <w:szCs w:val="24"/>
          <w:highlight w:val="none"/>
        </w:rPr>
      </w:pPr>
    </w:p>
    <w:p w14:paraId="0D03D71F">
      <w:pPr>
        <w:pStyle w:val="25"/>
        <w:ind w:left="5250"/>
        <w:rPr>
          <w:rFonts w:hint="eastAsia" w:ascii="仿宋" w:hAnsi="仿宋" w:eastAsia="仿宋" w:cs="仿宋"/>
          <w:color w:val="000000" w:themeColor="text1"/>
          <w:sz w:val="24"/>
          <w:szCs w:val="24"/>
          <w:highlight w:val="none"/>
          <w14:textFill>
            <w14:solidFill>
              <w14:schemeClr w14:val="tx1"/>
            </w14:solidFill>
          </w14:textFill>
        </w:rPr>
      </w:pP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4E5D2">
    <w:pPr>
      <w:pStyle w:val="28"/>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a:effectLst/>
                    </wps:spPr>
                    <wps:txbx>
                      <w:txbxContent>
                        <w:p w14:paraId="73FDBF20">
                          <w:pPr>
                            <w:pStyle w:val="28"/>
                          </w:pPr>
                          <w:r>
                            <w:fldChar w:fldCharType="begin"/>
                          </w:r>
                          <w:r>
                            <w:instrText xml:space="preserve"> PAGE  \* MERGEFORMAT </w:instrText>
                          </w:r>
                          <w:r>
                            <w:fldChar w:fldCharType="separate"/>
                          </w:r>
                          <w:r>
                            <w:t>66</w:t>
                          </w:r>
                          <w:r>
                            <w:fldChar w:fldCharType="end"/>
                          </w:r>
                        </w:p>
                      </w:txbxContent>
                    </wps:txbx>
                    <wps:bodyPr vert="horz" wrap="none" lIns="0" tIns="0" rIns="0" bIns="0" anchor="t"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ADMeA&#10;1AAAAAMBAAAPAAAAAAAAAAEAIAAAACIAAABkcnMvZG93bnJldi54bWxQSwECFAAUAAAACACHTuJA&#10;UmR/2+wBAADGAwAADgAAAAAAAAABACAAAAAjAQAAZHJzL2Uyb0RvYy54bWxQSwUGAAAAAAYABgBZ&#10;AQAAgQUAAAAA&#10;">
              <v:fill on="f" focussize="0,0"/>
              <v:stroke on="f" weight="1.25pt"/>
              <v:imagedata o:title=""/>
              <o:lock v:ext="edit" aspectratio="f"/>
              <v:textbox inset="0mm,0mm,0mm,0mm" style="mso-fit-shape-to-text:t;">
                <w:txbxContent>
                  <w:p w14:paraId="73FDBF20">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28514">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6D07A">
    <w:pPr>
      <w:pStyle w:val="2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1C320EB2">
                          <w:pPr>
                            <w:pStyle w:val="28"/>
                            <w:rPr>
                              <w:rFonts w:hint="eastAsia"/>
                            </w:rPr>
                          </w:pP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A9207viAQAAvAMAAA4A&#10;AAAAAAAAAQAgAAAAHwEAAGRycy9lMm9Eb2MueG1sUEsFBgAAAAAGAAYAWQEAAHMFAAAAAA==&#10;">
              <v:fill on="f" focussize="0,0"/>
              <v:stroke on="f"/>
              <v:imagedata o:title=""/>
              <o:lock v:ext="edit" aspectratio="f"/>
              <v:textbox inset="0mm,0mm,0mm,0mm" style="mso-fit-shape-to-text:t;">
                <w:txbxContent>
                  <w:p w14:paraId="1C320EB2">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13282">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201FC042">
                          <w:pPr>
                            <w:pStyle w:val="28"/>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Dgt1M/lAQAAvwMA&#10;AA4AAAAAAAAAAQAgAAAAHwEAAGRycy9lMm9Eb2MueG1sUEsFBgAAAAAGAAYAWQEAAHYFAAAAAA==&#10;">
              <v:fill on="f" focussize="0,0"/>
              <v:stroke on="f"/>
              <v:imagedata o:title=""/>
              <o:lock v:ext="edit" aspectratio="f"/>
              <v:textbox inset="0mm,0mm,0mm,0mm" style="mso-fit-shape-to-text:t;">
                <w:txbxContent>
                  <w:p w14:paraId="201FC042">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7879CBB7">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667B0">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47E4FFFA">
                          <w:pPr>
                            <w:pStyle w:val="28"/>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L1L2fXiAQAAvAMAAA4A&#10;AAAAAAAAAQAgAAAAHwEAAGRycy9lMm9Eb2MueG1sUEsFBgAAAAAGAAYAWQEAAHMFAAAAAA==&#10;">
              <v:fill on="f" focussize="0,0"/>
              <v:stroke on="f"/>
              <v:imagedata o:title=""/>
              <o:lock v:ext="edit" aspectratio="f"/>
              <v:textbox inset="0mm,0mm,0mm,0mm" style="mso-fit-shape-to-text:t;">
                <w:txbxContent>
                  <w:p w14:paraId="47E4FFFA">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6A190954">
                          <w:pPr>
                            <w:pStyle w:val="28"/>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IvHPjHlAQAAvwMA&#10;AA4AAAAAAAAAAQAgAAAAHwEAAGRycy9lMm9Eb2MueG1sUEsFBgAAAAAGAAYAWQEAAHYFAAAAAA==&#10;">
              <v:fill on="f" focussize="0,0"/>
              <v:stroke on="f"/>
              <v:imagedata o:title=""/>
              <o:lock v:ext="edit" aspectratio="f"/>
              <v:textbox inset="0mm,0mm,0mm,0mm" style="mso-fit-shape-to-text:t;">
                <w:txbxContent>
                  <w:p w14:paraId="6A190954">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B2735">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3218337D">
                          <w:pPr>
                            <w:pStyle w:val="28"/>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Kdk22flAQAAvwMA&#10;AA4AAAAAAAAAAQAgAAAAHwEAAGRycy9lMm9Eb2MueG1sUEsFBgAAAAAGAAYAWQEAAHYFAAAAAA==&#10;">
              <v:fill on="f" focussize="0,0"/>
              <v:stroke on="f"/>
              <v:imagedata o:title=""/>
              <o:lock v:ext="edit" aspectratio="f"/>
              <v:textbox inset="0mm,0mm,0mm,0mm" style="mso-fit-shape-to-text:t;">
                <w:txbxContent>
                  <w:p w14:paraId="3218337D">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26373801">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71124">
    <w:pPr>
      <w:pStyle w:val="2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6BD4F683">
                          <w:pPr>
                            <w:pStyle w:val="28"/>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PlfknQAAAAAwEAAA8AAAAA&#10;AAAAAQAgAAAAIgAAAGRycy9kb3ducmV2LnhtbFBLAQIUABQAAAAIAIdO4kCY3liI4wEAALwDAAAO&#10;AAAAAAAAAAEAIAAAAB8BAABkcnMvZTJvRG9jLnhtbFBLBQYAAAAABgAGAFkBAAB0BQAAAAA=&#10;">
              <v:fill on="f" focussize="0,0"/>
              <v:stroke on="f"/>
              <v:imagedata o:title=""/>
              <o:lock v:ext="edit" aspectratio="f"/>
              <v:textbox inset="0mm,0mm,0mm,0mm" style="mso-fit-shape-to-text:t;">
                <w:txbxContent>
                  <w:p w14:paraId="6BD4F683">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3A9BF765">
                          <w:pPr>
                            <w:pStyle w:val="28"/>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BSOMZnlAQAAvwMA&#10;AA4AAAAAAAAAAQAgAAAAHwEAAGRycy9lMm9Eb2MueG1sUEsFBgAAAAAGAAYAWQEAAHYFAAAAAA==&#10;">
              <v:fill on="f" focussize="0,0"/>
              <v:stroke on="f"/>
              <v:imagedata o:title=""/>
              <o:lock v:ext="edit" aspectratio="f"/>
              <v:textbox inset="0mm,0mm,0mm,0mm" style="mso-fit-shape-to-text:t;">
                <w:txbxContent>
                  <w:p w14:paraId="3A9BF765">
                    <w:pPr>
                      <w:pStyle w:val="28"/>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99E07">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D7E1B">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45ED3">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A63B6">
    <w:pPr>
      <w:pStyle w:val="29"/>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E6FAE">
    <w:pPr>
      <w:pStyle w:val="2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10D7E">
    <w:pPr>
      <w:pStyle w:val="29"/>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DA377">
    <w:pPr>
      <w:pStyle w:val="2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815F8">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2C880"/>
    <w:multiLevelType w:val="singleLevel"/>
    <w:tmpl w:val="5852C880"/>
    <w:lvl w:ilvl="0" w:tentative="0">
      <w:start w:val="1"/>
      <w:numFmt w:val="decimal"/>
      <w:suff w:val="nothing"/>
      <w:lvlText w:val="%1、"/>
      <w:lvlJc w:val="left"/>
    </w:lvl>
  </w:abstractNum>
  <w:abstractNum w:abstractNumId="1">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976FD"/>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0BDB"/>
    <w:rsid w:val="005A784E"/>
    <w:rsid w:val="005D6E53"/>
    <w:rsid w:val="005E2813"/>
    <w:rsid w:val="005E3E7F"/>
    <w:rsid w:val="005F0A37"/>
    <w:rsid w:val="00607AD5"/>
    <w:rsid w:val="006125DF"/>
    <w:rsid w:val="006504F3"/>
    <w:rsid w:val="0065427B"/>
    <w:rsid w:val="00656CD1"/>
    <w:rsid w:val="00682704"/>
    <w:rsid w:val="006836D3"/>
    <w:rsid w:val="00692C25"/>
    <w:rsid w:val="006A30AF"/>
    <w:rsid w:val="006C4313"/>
    <w:rsid w:val="006D3E35"/>
    <w:rsid w:val="006E05BE"/>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253372"/>
    <w:rsid w:val="01386691"/>
    <w:rsid w:val="01482390"/>
    <w:rsid w:val="01626374"/>
    <w:rsid w:val="01916C5A"/>
    <w:rsid w:val="01AA1039"/>
    <w:rsid w:val="01D628BE"/>
    <w:rsid w:val="01DD1E9F"/>
    <w:rsid w:val="01F15E4E"/>
    <w:rsid w:val="02067D25"/>
    <w:rsid w:val="0210458C"/>
    <w:rsid w:val="0224293B"/>
    <w:rsid w:val="02250785"/>
    <w:rsid w:val="023824A9"/>
    <w:rsid w:val="02537422"/>
    <w:rsid w:val="02593918"/>
    <w:rsid w:val="028454C6"/>
    <w:rsid w:val="02BA785F"/>
    <w:rsid w:val="02CD1F13"/>
    <w:rsid w:val="02F05C02"/>
    <w:rsid w:val="03162073"/>
    <w:rsid w:val="035B79DB"/>
    <w:rsid w:val="035F6F01"/>
    <w:rsid w:val="03661A20"/>
    <w:rsid w:val="03686674"/>
    <w:rsid w:val="037C7496"/>
    <w:rsid w:val="038A3960"/>
    <w:rsid w:val="03A34A56"/>
    <w:rsid w:val="03B222B1"/>
    <w:rsid w:val="03C54999"/>
    <w:rsid w:val="03C9092D"/>
    <w:rsid w:val="03DA3D37"/>
    <w:rsid w:val="03DB1117"/>
    <w:rsid w:val="03E23B37"/>
    <w:rsid w:val="03E80687"/>
    <w:rsid w:val="03E92685"/>
    <w:rsid w:val="040C2BAD"/>
    <w:rsid w:val="041871BE"/>
    <w:rsid w:val="04381749"/>
    <w:rsid w:val="04382726"/>
    <w:rsid w:val="043C7355"/>
    <w:rsid w:val="043F299D"/>
    <w:rsid w:val="04432ACE"/>
    <w:rsid w:val="046B128A"/>
    <w:rsid w:val="04A643B1"/>
    <w:rsid w:val="04B36B01"/>
    <w:rsid w:val="04BA68C6"/>
    <w:rsid w:val="04BE3BAF"/>
    <w:rsid w:val="04CD527F"/>
    <w:rsid w:val="04E61B13"/>
    <w:rsid w:val="04E752B7"/>
    <w:rsid w:val="04F66AB2"/>
    <w:rsid w:val="053F17F0"/>
    <w:rsid w:val="058C5590"/>
    <w:rsid w:val="058C559B"/>
    <w:rsid w:val="058E795B"/>
    <w:rsid w:val="05C1332E"/>
    <w:rsid w:val="05E76E48"/>
    <w:rsid w:val="05F53ED1"/>
    <w:rsid w:val="05F6197E"/>
    <w:rsid w:val="06392DBF"/>
    <w:rsid w:val="06570680"/>
    <w:rsid w:val="065E4C1C"/>
    <w:rsid w:val="0661309E"/>
    <w:rsid w:val="0677632A"/>
    <w:rsid w:val="067F52D3"/>
    <w:rsid w:val="069E0C8C"/>
    <w:rsid w:val="06AE4995"/>
    <w:rsid w:val="06BA43A3"/>
    <w:rsid w:val="06CE0008"/>
    <w:rsid w:val="070677A2"/>
    <w:rsid w:val="071C5217"/>
    <w:rsid w:val="07464042"/>
    <w:rsid w:val="07C22D32"/>
    <w:rsid w:val="07D63618"/>
    <w:rsid w:val="07F6156D"/>
    <w:rsid w:val="07FB16AC"/>
    <w:rsid w:val="0803158C"/>
    <w:rsid w:val="084E323F"/>
    <w:rsid w:val="08501519"/>
    <w:rsid w:val="08631238"/>
    <w:rsid w:val="088377C5"/>
    <w:rsid w:val="089C05F6"/>
    <w:rsid w:val="08AF36AD"/>
    <w:rsid w:val="08B17BE1"/>
    <w:rsid w:val="08DA1CD0"/>
    <w:rsid w:val="08DF5A76"/>
    <w:rsid w:val="090C3C32"/>
    <w:rsid w:val="096F5AD2"/>
    <w:rsid w:val="09CD0A4B"/>
    <w:rsid w:val="09CD66ED"/>
    <w:rsid w:val="09D726B7"/>
    <w:rsid w:val="09E57988"/>
    <w:rsid w:val="09F72AC1"/>
    <w:rsid w:val="0A194058"/>
    <w:rsid w:val="0A1B5868"/>
    <w:rsid w:val="0A462F89"/>
    <w:rsid w:val="0A554394"/>
    <w:rsid w:val="0A570314"/>
    <w:rsid w:val="0A586566"/>
    <w:rsid w:val="0A5F7AC8"/>
    <w:rsid w:val="0AA04F5B"/>
    <w:rsid w:val="0AA43C12"/>
    <w:rsid w:val="0AD377C9"/>
    <w:rsid w:val="0B112BB9"/>
    <w:rsid w:val="0B411470"/>
    <w:rsid w:val="0B4417DD"/>
    <w:rsid w:val="0B482350"/>
    <w:rsid w:val="0B5B5EDE"/>
    <w:rsid w:val="0B626891"/>
    <w:rsid w:val="0BAA52EB"/>
    <w:rsid w:val="0BB05F2E"/>
    <w:rsid w:val="0BB74BDB"/>
    <w:rsid w:val="0BCD6AE0"/>
    <w:rsid w:val="0BD133ED"/>
    <w:rsid w:val="0BDB2AF4"/>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A34468"/>
    <w:rsid w:val="0DC16A23"/>
    <w:rsid w:val="0DCA2A4D"/>
    <w:rsid w:val="0E0953E6"/>
    <w:rsid w:val="0E0B47ED"/>
    <w:rsid w:val="0E1E7AC7"/>
    <w:rsid w:val="0E1F3980"/>
    <w:rsid w:val="0E2E3EEC"/>
    <w:rsid w:val="0E5D4C81"/>
    <w:rsid w:val="0E7455B2"/>
    <w:rsid w:val="0E7B1AA2"/>
    <w:rsid w:val="0E7F23A4"/>
    <w:rsid w:val="0E975183"/>
    <w:rsid w:val="0EB02274"/>
    <w:rsid w:val="0EBC4442"/>
    <w:rsid w:val="0EC355B3"/>
    <w:rsid w:val="0EE52C29"/>
    <w:rsid w:val="0EFB3A31"/>
    <w:rsid w:val="0F1A3B0B"/>
    <w:rsid w:val="0F29172E"/>
    <w:rsid w:val="0F2E3D3A"/>
    <w:rsid w:val="0F3A6B8F"/>
    <w:rsid w:val="0F4D58B9"/>
    <w:rsid w:val="0F5372FC"/>
    <w:rsid w:val="0F5F1A0C"/>
    <w:rsid w:val="0F713C26"/>
    <w:rsid w:val="0F881128"/>
    <w:rsid w:val="0F972C0D"/>
    <w:rsid w:val="0F9A6950"/>
    <w:rsid w:val="0FAB7566"/>
    <w:rsid w:val="0FBA413C"/>
    <w:rsid w:val="0FBE5C0C"/>
    <w:rsid w:val="0FC14BAE"/>
    <w:rsid w:val="0FD26F25"/>
    <w:rsid w:val="0FDC047D"/>
    <w:rsid w:val="0FE4264A"/>
    <w:rsid w:val="0FFC1742"/>
    <w:rsid w:val="100101CD"/>
    <w:rsid w:val="10097768"/>
    <w:rsid w:val="101925B4"/>
    <w:rsid w:val="102E6638"/>
    <w:rsid w:val="10341CED"/>
    <w:rsid w:val="1047087A"/>
    <w:rsid w:val="104A65A1"/>
    <w:rsid w:val="105D5DEF"/>
    <w:rsid w:val="10853B45"/>
    <w:rsid w:val="10892646"/>
    <w:rsid w:val="108B094A"/>
    <w:rsid w:val="109E0A4B"/>
    <w:rsid w:val="10AD2D88"/>
    <w:rsid w:val="10BB7992"/>
    <w:rsid w:val="10DF6E84"/>
    <w:rsid w:val="10EA2BC5"/>
    <w:rsid w:val="10F414EA"/>
    <w:rsid w:val="10FA0DBF"/>
    <w:rsid w:val="11166793"/>
    <w:rsid w:val="11293107"/>
    <w:rsid w:val="112E5EC1"/>
    <w:rsid w:val="113877F0"/>
    <w:rsid w:val="113D0F5B"/>
    <w:rsid w:val="113F222E"/>
    <w:rsid w:val="114F2865"/>
    <w:rsid w:val="11596432"/>
    <w:rsid w:val="119821DF"/>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1C3959"/>
    <w:rsid w:val="13451652"/>
    <w:rsid w:val="136E2957"/>
    <w:rsid w:val="13797A19"/>
    <w:rsid w:val="13A31C28"/>
    <w:rsid w:val="13BB7C9E"/>
    <w:rsid w:val="13CE7899"/>
    <w:rsid w:val="13CF528F"/>
    <w:rsid w:val="141E5F1B"/>
    <w:rsid w:val="14442C0E"/>
    <w:rsid w:val="14577569"/>
    <w:rsid w:val="1468030C"/>
    <w:rsid w:val="14736AB2"/>
    <w:rsid w:val="147B7590"/>
    <w:rsid w:val="1481490C"/>
    <w:rsid w:val="148C4292"/>
    <w:rsid w:val="1494463F"/>
    <w:rsid w:val="14B6241E"/>
    <w:rsid w:val="14C76A12"/>
    <w:rsid w:val="14D36781"/>
    <w:rsid w:val="14E25007"/>
    <w:rsid w:val="14EB18BB"/>
    <w:rsid w:val="14FF4786"/>
    <w:rsid w:val="15237771"/>
    <w:rsid w:val="15261B20"/>
    <w:rsid w:val="153E5A17"/>
    <w:rsid w:val="158A6437"/>
    <w:rsid w:val="159B6C93"/>
    <w:rsid w:val="159D39C7"/>
    <w:rsid w:val="15A563D8"/>
    <w:rsid w:val="15AE7584"/>
    <w:rsid w:val="15C40C40"/>
    <w:rsid w:val="16113804"/>
    <w:rsid w:val="16432473"/>
    <w:rsid w:val="165672E8"/>
    <w:rsid w:val="166444E5"/>
    <w:rsid w:val="167964D4"/>
    <w:rsid w:val="16890903"/>
    <w:rsid w:val="16900E36"/>
    <w:rsid w:val="16A01D0F"/>
    <w:rsid w:val="16A10ABF"/>
    <w:rsid w:val="16A82624"/>
    <w:rsid w:val="16AB476B"/>
    <w:rsid w:val="16B83E57"/>
    <w:rsid w:val="16C01312"/>
    <w:rsid w:val="16ED44DA"/>
    <w:rsid w:val="170E2F06"/>
    <w:rsid w:val="172C5003"/>
    <w:rsid w:val="179258AA"/>
    <w:rsid w:val="17B95613"/>
    <w:rsid w:val="17F660E0"/>
    <w:rsid w:val="17F81D61"/>
    <w:rsid w:val="17FD074D"/>
    <w:rsid w:val="18291412"/>
    <w:rsid w:val="182A0E16"/>
    <w:rsid w:val="18315A8D"/>
    <w:rsid w:val="188A46BF"/>
    <w:rsid w:val="189E5FC5"/>
    <w:rsid w:val="18C15C1F"/>
    <w:rsid w:val="18D641E0"/>
    <w:rsid w:val="18F719F9"/>
    <w:rsid w:val="193446F8"/>
    <w:rsid w:val="193631F2"/>
    <w:rsid w:val="19923117"/>
    <w:rsid w:val="19A80665"/>
    <w:rsid w:val="19AA0184"/>
    <w:rsid w:val="19BD2F57"/>
    <w:rsid w:val="19E03E83"/>
    <w:rsid w:val="19E42FA8"/>
    <w:rsid w:val="19EA6CD0"/>
    <w:rsid w:val="1A1848CA"/>
    <w:rsid w:val="1A2076E9"/>
    <w:rsid w:val="1A2F6FA0"/>
    <w:rsid w:val="1A4678C3"/>
    <w:rsid w:val="1A4A0D73"/>
    <w:rsid w:val="1A6250D8"/>
    <w:rsid w:val="1A68214F"/>
    <w:rsid w:val="1A7F53D6"/>
    <w:rsid w:val="1A9B5FFB"/>
    <w:rsid w:val="1AA80E44"/>
    <w:rsid w:val="1AC75042"/>
    <w:rsid w:val="1AD53910"/>
    <w:rsid w:val="1AE11D63"/>
    <w:rsid w:val="1B1B7066"/>
    <w:rsid w:val="1B30700B"/>
    <w:rsid w:val="1B3747DD"/>
    <w:rsid w:val="1B391A9C"/>
    <w:rsid w:val="1B606546"/>
    <w:rsid w:val="1B6B3FFB"/>
    <w:rsid w:val="1B730D89"/>
    <w:rsid w:val="1B75684C"/>
    <w:rsid w:val="1B83540D"/>
    <w:rsid w:val="1B854CE1"/>
    <w:rsid w:val="1B862CED"/>
    <w:rsid w:val="1BAE48A9"/>
    <w:rsid w:val="1BB67C61"/>
    <w:rsid w:val="1BD07CC7"/>
    <w:rsid w:val="1BD725D3"/>
    <w:rsid w:val="1BF91E42"/>
    <w:rsid w:val="1C0D641B"/>
    <w:rsid w:val="1C2F2D72"/>
    <w:rsid w:val="1C404EA7"/>
    <w:rsid w:val="1C6358AB"/>
    <w:rsid w:val="1C751D0C"/>
    <w:rsid w:val="1C7D3C0B"/>
    <w:rsid w:val="1CA10EA8"/>
    <w:rsid w:val="1CA56E81"/>
    <w:rsid w:val="1CD21FF5"/>
    <w:rsid w:val="1CF1781E"/>
    <w:rsid w:val="1CF74F2E"/>
    <w:rsid w:val="1CFD3435"/>
    <w:rsid w:val="1D473D20"/>
    <w:rsid w:val="1D5F1AB5"/>
    <w:rsid w:val="1D791955"/>
    <w:rsid w:val="1D9134D8"/>
    <w:rsid w:val="1DA34B71"/>
    <w:rsid w:val="1DD50B17"/>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E5634"/>
    <w:rsid w:val="1FBF0321"/>
    <w:rsid w:val="1FD75EB6"/>
    <w:rsid w:val="20020FF7"/>
    <w:rsid w:val="20293342"/>
    <w:rsid w:val="203977DF"/>
    <w:rsid w:val="20937EA1"/>
    <w:rsid w:val="20AC11C0"/>
    <w:rsid w:val="20D76825"/>
    <w:rsid w:val="20DB3072"/>
    <w:rsid w:val="20DB53A4"/>
    <w:rsid w:val="2100305C"/>
    <w:rsid w:val="21311468"/>
    <w:rsid w:val="21764C9F"/>
    <w:rsid w:val="21806A80"/>
    <w:rsid w:val="21BC015E"/>
    <w:rsid w:val="21E85818"/>
    <w:rsid w:val="21EB64F7"/>
    <w:rsid w:val="21FB7D81"/>
    <w:rsid w:val="21FF7B22"/>
    <w:rsid w:val="221548E5"/>
    <w:rsid w:val="223654C7"/>
    <w:rsid w:val="22422404"/>
    <w:rsid w:val="226F628F"/>
    <w:rsid w:val="2273571C"/>
    <w:rsid w:val="228526E0"/>
    <w:rsid w:val="228C745A"/>
    <w:rsid w:val="22943FB4"/>
    <w:rsid w:val="22A30143"/>
    <w:rsid w:val="22A91D27"/>
    <w:rsid w:val="22BE3D3F"/>
    <w:rsid w:val="22E461E8"/>
    <w:rsid w:val="22F66AC1"/>
    <w:rsid w:val="230A1F70"/>
    <w:rsid w:val="231A1E2F"/>
    <w:rsid w:val="2335020B"/>
    <w:rsid w:val="238B183B"/>
    <w:rsid w:val="239C44A9"/>
    <w:rsid w:val="23A607C4"/>
    <w:rsid w:val="23B1063E"/>
    <w:rsid w:val="23B34BAC"/>
    <w:rsid w:val="23B6282D"/>
    <w:rsid w:val="23BD5507"/>
    <w:rsid w:val="23C14CFA"/>
    <w:rsid w:val="23D3133D"/>
    <w:rsid w:val="24072542"/>
    <w:rsid w:val="241256F5"/>
    <w:rsid w:val="241E2078"/>
    <w:rsid w:val="245F5471"/>
    <w:rsid w:val="24763D61"/>
    <w:rsid w:val="247B2001"/>
    <w:rsid w:val="24860AAE"/>
    <w:rsid w:val="24897B3B"/>
    <w:rsid w:val="24952361"/>
    <w:rsid w:val="249917FE"/>
    <w:rsid w:val="24E77993"/>
    <w:rsid w:val="24F829C8"/>
    <w:rsid w:val="24F86BC7"/>
    <w:rsid w:val="25046F1A"/>
    <w:rsid w:val="251470D6"/>
    <w:rsid w:val="252217F3"/>
    <w:rsid w:val="252F2B82"/>
    <w:rsid w:val="25300724"/>
    <w:rsid w:val="25306AC1"/>
    <w:rsid w:val="253357AE"/>
    <w:rsid w:val="256376A5"/>
    <w:rsid w:val="25695674"/>
    <w:rsid w:val="256B5A72"/>
    <w:rsid w:val="257C268E"/>
    <w:rsid w:val="257F463C"/>
    <w:rsid w:val="259455FA"/>
    <w:rsid w:val="25A6736C"/>
    <w:rsid w:val="25A9485D"/>
    <w:rsid w:val="25CB19DA"/>
    <w:rsid w:val="25D16D75"/>
    <w:rsid w:val="25D441CD"/>
    <w:rsid w:val="260E4227"/>
    <w:rsid w:val="26153106"/>
    <w:rsid w:val="2621701E"/>
    <w:rsid w:val="26541E80"/>
    <w:rsid w:val="266271CD"/>
    <w:rsid w:val="26633E71"/>
    <w:rsid w:val="26B80661"/>
    <w:rsid w:val="26F73FDA"/>
    <w:rsid w:val="27106306"/>
    <w:rsid w:val="27172D0A"/>
    <w:rsid w:val="271B1F10"/>
    <w:rsid w:val="271F1251"/>
    <w:rsid w:val="27450B08"/>
    <w:rsid w:val="27623589"/>
    <w:rsid w:val="27710BD6"/>
    <w:rsid w:val="27930786"/>
    <w:rsid w:val="27AA7A9F"/>
    <w:rsid w:val="27AE736E"/>
    <w:rsid w:val="27CB7F20"/>
    <w:rsid w:val="27EA0323"/>
    <w:rsid w:val="28100ED0"/>
    <w:rsid w:val="281E2746"/>
    <w:rsid w:val="2828647E"/>
    <w:rsid w:val="28341F69"/>
    <w:rsid w:val="28444694"/>
    <w:rsid w:val="285223EF"/>
    <w:rsid w:val="28701C0B"/>
    <w:rsid w:val="288F4569"/>
    <w:rsid w:val="28E64419"/>
    <w:rsid w:val="28E8191E"/>
    <w:rsid w:val="29360053"/>
    <w:rsid w:val="294B33FB"/>
    <w:rsid w:val="29611D97"/>
    <w:rsid w:val="29684A53"/>
    <w:rsid w:val="296879F1"/>
    <w:rsid w:val="296E5E94"/>
    <w:rsid w:val="29810CA3"/>
    <w:rsid w:val="29830AB8"/>
    <w:rsid w:val="299077B6"/>
    <w:rsid w:val="29A21154"/>
    <w:rsid w:val="29A2742D"/>
    <w:rsid w:val="29BF3AB4"/>
    <w:rsid w:val="29D26E17"/>
    <w:rsid w:val="29FC6F97"/>
    <w:rsid w:val="2A083E5C"/>
    <w:rsid w:val="2A0C1F2E"/>
    <w:rsid w:val="2A0E67EA"/>
    <w:rsid w:val="2A2102CB"/>
    <w:rsid w:val="2A217CF0"/>
    <w:rsid w:val="2A313580"/>
    <w:rsid w:val="2A4F2539"/>
    <w:rsid w:val="2A5207B3"/>
    <w:rsid w:val="2A674427"/>
    <w:rsid w:val="2A74238E"/>
    <w:rsid w:val="2A7D7069"/>
    <w:rsid w:val="2A885A56"/>
    <w:rsid w:val="2A935D31"/>
    <w:rsid w:val="2AB0029F"/>
    <w:rsid w:val="2AB6502A"/>
    <w:rsid w:val="2AB73A3B"/>
    <w:rsid w:val="2AC62557"/>
    <w:rsid w:val="2ADA1A0E"/>
    <w:rsid w:val="2ADA3203"/>
    <w:rsid w:val="2AE46A49"/>
    <w:rsid w:val="2B04168B"/>
    <w:rsid w:val="2B33475A"/>
    <w:rsid w:val="2B766569"/>
    <w:rsid w:val="2BAD10B9"/>
    <w:rsid w:val="2BB4300F"/>
    <w:rsid w:val="2BC10E1F"/>
    <w:rsid w:val="2BC2788C"/>
    <w:rsid w:val="2BFE70DC"/>
    <w:rsid w:val="2C1E4485"/>
    <w:rsid w:val="2C2916B9"/>
    <w:rsid w:val="2C532DA0"/>
    <w:rsid w:val="2C5F47C6"/>
    <w:rsid w:val="2C6B7D79"/>
    <w:rsid w:val="2C850D88"/>
    <w:rsid w:val="2C87404C"/>
    <w:rsid w:val="2C8965FC"/>
    <w:rsid w:val="2C8E59C0"/>
    <w:rsid w:val="2CA27263"/>
    <w:rsid w:val="2CAA00EB"/>
    <w:rsid w:val="2CB46ECF"/>
    <w:rsid w:val="2CBF3DCB"/>
    <w:rsid w:val="2CE82C7B"/>
    <w:rsid w:val="2D013193"/>
    <w:rsid w:val="2D12304D"/>
    <w:rsid w:val="2D2C6148"/>
    <w:rsid w:val="2D483DC1"/>
    <w:rsid w:val="2D594F9E"/>
    <w:rsid w:val="2D5B77E5"/>
    <w:rsid w:val="2D5D39A4"/>
    <w:rsid w:val="2D6230D5"/>
    <w:rsid w:val="2D700E84"/>
    <w:rsid w:val="2D7B7CF2"/>
    <w:rsid w:val="2D7C322C"/>
    <w:rsid w:val="2D9B2143"/>
    <w:rsid w:val="2DBD47AF"/>
    <w:rsid w:val="2DD43EE3"/>
    <w:rsid w:val="2DE45CA9"/>
    <w:rsid w:val="2DF93DDE"/>
    <w:rsid w:val="2DF95ADB"/>
    <w:rsid w:val="2E01070E"/>
    <w:rsid w:val="2E027B47"/>
    <w:rsid w:val="2E1A0D91"/>
    <w:rsid w:val="2E4C78E1"/>
    <w:rsid w:val="2E55688B"/>
    <w:rsid w:val="2ED81803"/>
    <w:rsid w:val="2EDA313F"/>
    <w:rsid w:val="2EE634AB"/>
    <w:rsid w:val="2EFA10EB"/>
    <w:rsid w:val="2F1E70B9"/>
    <w:rsid w:val="2F3747C7"/>
    <w:rsid w:val="2F38042D"/>
    <w:rsid w:val="2F716042"/>
    <w:rsid w:val="2F7C1D5D"/>
    <w:rsid w:val="2F7C5058"/>
    <w:rsid w:val="2F8476D6"/>
    <w:rsid w:val="2F912D37"/>
    <w:rsid w:val="2F972DDE"/>
    <w:rsid w:val="2F9A7B60"/>
    <w:rsid w:val="2FAE65EC"/>
    <w:rsid w:val="2FBC45F2"/>
    <w:rsid w:val="30204540"/>
    <w:rsid w:val="30281C88"/>
    <w:rsid w:val="302A4333"/>
    <w:rsid w:val="30482662"/>
    <w:rsid w:val="304B42F4"/>
    <w:rsid w:val="307A601C"/>
    <w:rsid w:val="308050E6"/>
    <w:rsid w:val="308E065B"/>
    <w:rsid w:val="309440A1"/>
    <w:rsid w:val="30A05B40"/>
    <w:rsid w:val="30B8125D"/>
    <w:rsid w:val="30CB32FB"/>
    <w:rsid w:val="30E212C3"/>
    <w:rsid w:val="30F05FA9"/>
    <w:rsid w:val="312954B5"/>
    <w:rsid w:val="31322DBE"/>
    <w:rsid w:val="317F3B29"/>
    <w:rsid w:val="31C63D27"/>
    <w:rsid w:val="31D9148B"/>
    <w:rsid w:val="31EF2C58"/>
    <w:rsid w:val="32031D3C"/>
    <w:rsid w:val="320710EC"/>
    <w:rsid w:val="32381939"/>
    <w:rsid w:val="324042EC"/>
    <w:rsid w:val="32593FDB"/>
    <w:rsid w:val="325F30A0"/>
    <w:rsid w:val="3267491C"/>
    <w:rsid w:val="328E08BC"/>
    <w:rsid w:val="32AD579D"/>
    <w:rsid w:val="32CA40C9"/>
    <w:rsid w:val="32CD0091"/>
    <w:rsid w:val="32D700C1"/>
    <w:rsid w:val="32F56799"/>
    <w:rsid w:val="33027866"/>
    <w:rsid w:val="3312040E"/>
    <w:rsid w:val="33141B89"/>
    <w:rsid w:val="3323621F"/>
    <w:rsid w:val="3325072D"/>
    <w:rsid w:val="33291F9F"/>
    <w:rsid w:val="333F5C66"/>
    <w:rsid w:val="333F7C2D"/>
    <w:rsid w:val="33520E82"/>
    <w:rsid w:val="3361798A"/>
    <w:rsid w:val="337376BE"/>
    <w:rsid w:val="3374211D"/>
    <w:rsid w:val="33766F4C"/>
    <w:rsid w:val="337A55F7"/>
    <w:rsid w:val="337C6572"/>
    <w:rsid w:val="339F50F5"/>
    <w:rsid w:val="33DF247C"/>
    <w:rsid w:val="33EE54D5"/>
    <w:rsid w:val="33F13244"/>
    <w:rsid w:val="340547BA"/>
    <w:rsid w:val="3409108A"/>
    <w:rsid w:val="340F0157"/>
    <w:rsid w:val="343E5F1E"/>
    <w:rsid w:val="34645984"/>
    <w:rsid w:val="34693F09"/>
    <w:rsid w:val="346C2CC0"/>
    <w:rsid w:val="346E408A"/>
    <w:rsid w:val="34A6512B"/>
    <w:rsid w:val="34B463BC"/>
    <w:rsid w:val="35047151"/>
    <w:rsid w:val="351A6043"/>
    <w:rsid w:val="35380BBF"/>
    <w:rsid w:val="35501281"/>
    <w:rsid w:val="35597870"/>
    <w:rsid w:val="35960786"/>
    <w:rsid w:val="35A46254"/>
    <w:rsid w:val="35AD5109"/>
    <w:rsid w:val="35AF5AAB"/>
    <w:rsid w:val="35BC534C"/>
    <w:rsid w:val="35C83CF1"/>
    <w:rsid w:val="35D00DF7"/>
    <w:rsid w:val="35EE3B1E"/>
    <w:rsid w:val="35EF5204"/>
    <w:rsid w:val="35F83427"/>
    <w:rsid w:val="360269EC"/>
    <w:rsid w:val="360A2896"/>
    <w:rsid w:val="36162CAE"/>
    <w:rsid w:val="3618279F"/>
    <w:rsid w:val="363438F4"/>
    <w:rsid w:val="367C587D"/>
    <w:rsid w:val="36957FA4"/>
    <w:rsid w:val="36B204FD"/>
    <w:rsid w:val="36DA0CE0"/>
    <w:rsid w:val="36E876EF"/>
    <w:rsid w:val="372633C5"/>
    <w:rsid w:val="372E148E"/>
    <w:rsid w:val="37377E86"/>
    <w:rsid w:val="373A29CC"/>
    <w:rsid w:val="374155EC"/>
    <w:rsid w:val="374E6478"/>
    <w:rsid w:val="37581957"/>
    <w:rsid w:val="375A7CAE"/>
    <w:rsid w:val="378105FB"/>
    <w:rsid w:val="379C2387"/>
    <w:rsid w:val="37AC0C2C"/>
    <w:rsid w:val="37AD7F7D"/>
    <w:rsid w:val="37DD0AF5"/>
    <w:rsid w:val="37DE3C9F"/>
    <w:rsid w:val="383A743E"/>
    <w:rsid w:val="386C070B"/>
    <w:rsid w:val="38883064"/>
    <w:rsid w:val="38910B38"/>
    <w:rsid w:val="389C046A"/>
    <w:rsid w:val="389F0980"/>
    <w:rsid w:val="38A24CCD"/>
    <w:rsid w:val="38B1412D"/>
    <w:rsid w:val="38B56F92"/>
    <w:rsid w:val="38B81E0D"/>
    <w:rsid w:val="38BD3ED5"/>
    <w:rsid w:val="38D86941"/>
    <w:rsid w:val="38F65019"/>
    <w:rsid w:val="38FC7524"/>
    <w:rsid w:val="38FF5606"/>
    <w:rsid w:val="393B64CE"/>
    <w:rsid w:val="393D40D0"/>
    <w:rsid w:val="395D0B68"/>
    <w:rsid w:val="3962471C"/>
    <w:rsid w:val="396B1E16"/>
    <w:rsid w:val="39857FA0"/>
    <w:rsid w:val="39A64471"/>
    <w:rsid w:val="39BD5776"/>
    <w:rsid w:val="39D114EA"/>
    <w:rsid w:val="39E3080C"/>
    <w:rsid w:val="39E91BA4"/>
    <w:rsid w:val="39F50E2C"/>
    <w:rsid w:val="3A013C75"/>
    <w:rsid w:val="3A0339D0"/>
    <w:rsid w:val="3A2B2AA0"/>
    <w:rsid w:val="3A3928D0"/>
    <w:rsid w:val="3A696BE8"/>
    <w:rsid w:val="3A7254FB"/>
    <w:rsid w:val="3A8521B0"/>
    <w:rsid w:val="3A873793"/>
    <w:rsid w:val="3A8E2851"/>
    <w:rsid w:val="3AA16444"/>
    <w:rsid w:val="3AA811CB"/>
    <w:rsid w:val="3AD64BEA"/>
    <w:rsid w:val="3B0A066E"/>
    <w:rsid w:val="3B3237CF"/>
    <w:rsid w:val="3B700157"/>
    <w:rsid w:val="3B7423AC"/>
    <w:rsid w:val="3B9308FD"/>
    <w:rsid w:val="3B9C1C00"/>
    <w:rsid w:val="3BB64C32"/>
    <w:rsid w:val="3BB86D60"/>
    <w:rsid w:val="3BBA40DC"/>
    <w:rsid w:val="3BBE174D"/>
    <w:rsid w:val="3BC47EE7"/>
    <w:rsid w:val="3BE71216"/>
    <w:rsid w:val="3C0B0AE8"/>
    <w:rsid w:val="3C35270F"/>
    <w:rsid w:val="3C3F1E1E"/>
    <w:rsid w:val="3C40441C"/>
    <w:rsid w:val="3C4B742A"/>
    <w:rsid w:val="3C504ED6"/>
    <w:rsid w:val="3C9F351B"/>
    <w:rsid w:val="3CF17FD1"/>
    <w:rsid w:val="3CF7D354"/>
    <w:rsid w:val="3CFE3E64"/>
    <w:rsid w:val="3D021D9E"/>
    <w:rsid w:val="3D0D60B6"/>
    <w:rsid w:val="3D1666B8"/>
    <w:rsid w:val="3D281EC8"/>
    <w:rsid w:val="3D2B2B8C"/>
    <w:rsid w:val="3D3213E4"/>
    <w:rsid w:val="3D335057"/>
    <w:rsid w:val="3D3B307D"/>
    <w:rsid w:val="3D6407A3"/>
    <w:rsid w:val="3D675DC6"/>
    <w:rsid w:val="3D687B67"/>
    <w:rsid w:val="3D812CBA"/>
    <w:rsid w:val="3D962926"/>
    <w:rsid w:val="3DB04EEF"/>
    <w:rsid w:val="3DB77C3B"/>
    <w:rsid w:val="3DD50AFB"/>
    <w:rsid w:val="3DE0634E"/>
    <w:rsid w:val="3DE22F80"/>
    <w:rsid w:val="3E0A303B"/>
    <w:rsid w:val="3E1E4E42"/>
    <w:rsid w:val="3E294112"/>
    <w:rsid w:val="3E3A5ABC"/>
    <w:rsid w:val="3E6B33DD"/>
    <w:rsid w:val="3E706C08"/>
    <w:rsid w:val="3E767A53"/>
    <w:rsid w:val="3E9F7F61"/>
    <w:rsid w:val="3EA3150E"/>
    <w:rsid w:val="3EA412D0"/>
    <w:rsid w:val="3EB05805"/>
    <w:rsid w:val="3ED2798E"/>
    <w:rsid w:val="3ED32447"/>
    <w:rsid w:val="3ED41958"/>
    <w:rsid w:val="3EDC6893"/>
    <w:rsid w:val="3EE73304"/>
    <w:rsid w:val="3EF36C02"/>
    <w:rsid w:val="3EF4370E"/>
    <w:rsid w:val="3F1D32FF"/>
    <w:rsid w:val="3F254B77"/>
    <w:rsid w:val="3F2A77CA"/>
    <w:rsid w:val="3F2E001B"/>
    <w:rsid w:val="3F5136FA"/>
    <w:rsid w:val="3F6760B2"/>
    <w:rsid w:val="3F6B7FDB"/>
    <w:rsid w:val="3F840C5D"/>
    <w:rsid w:val="3F924009"/>
    <w:rsid w:val="3FA07A8C"/>
    <w:rsid w:val="3FCB3647"/>
    <w:rsid w:val="3FF0C5F0"/>
    <w:rsid w:val="400C5122"/>
    <w:rsid w:val="401A0D8A"/>
    <w:rsid w:val="401A675E"/>
    <w:rsid w:val="40316936"/>
    <w:rsid w:val="40380CF2"/>
    <w:rsid w:val="403A795B"/>
    <w:rsid w:val="4045512F"/>
    <w:rsid w:val="405975F3"/>
    <w:rsid w:val="406960D0"/>
    <w:rsid w:val="40771177"/>
    <w:rsid w:val="40877FBB"/>
    <w:rsid w:val="40921A5C"/>
    <w:rsid w:val="40A63F0F"/>
    <w:rsid w:val="40B27FF8"/>
    <w:rsid w:val="40C639D0"/>
    <w:rsid w:val="410A4A33"/>
    <w:rsid w:val="41100CA0"/>
    <w:rsid w:val="411173AA"/>
    <w:rsid w:val="41235477"/>
    <w:rsid w:val="41393CF5"/>
    <w:rsid w:val="41581E77"/>
    <w:rsid w:val="416C142E"/>
    <w:rsid w:val="41847666"/>
    <w:rsid w:val="41C377B7"/>
    <w:rsid w:val="41CF4659"/>
    <w:rsid w:val="421A4B61"/>
    <w:rsid w:val="4250230A"/>
    <w:rsid w:val="425B7949"/>
    <w:rsid w:val="42683077"/>
    <w:rsid w:val="42770885"/>
    <w:rsid w:val="42880C47"/>
    <w:rsid w:val="429658F0"/>
    <w:rsid w:val="429926BE"/>
    <w:rsid w:val="42DB39F4"/>
    <w:rsid w:val="42FA567F"/>
    <w:rsid w:val="4334513F"/>
    <w:rsid w:val="435C492E"/>
    <w:rsid w:val="436412A6"/>
    <w:rsid w:val="43B11758"/>
    <w:rsid w:val="43D81DF9"/>
    <w:rsid w:val="43E360E1"/>
    <w:rsid w:val="440D1EAD"/>
    <w:rsid w:val="44366C11"/>
    <w:rsid w:val="445056A7"/>
    <w:rsid w:val="446479C9"/>
    <w:rsid w:val="446A5022"/>
    <w:rsid w:val="4476222D"/>
    <w:rsid w:val="449400FA"/>
    <w:rsid w:val="44B50B65"/>
    <w:rsid w:val="44DC1567"/>
    <w:rsid w:val="44F70C6A"/>
    <w:rsid w:val="450F4D8A"/>
    <w:rsid w:val="45474A4C"/>
    <w:rsid w:val="457C53C2"/>
    <w:rsid w:val="45877BE1"/>
    <w:rsid w:val="4591040A"/>
    <w:rsid w:val="45967968"/>
    <w:rsid w:val="459E4528"/>
    <w:rsid w:val="45CE26BB"/>
    <w:rsid w:val="45CE28B2"/>
    <w:rsid w:val="45CF0244"/>
    <w:rsid w:val="45D71D2E"/>
    <w:rsid w:val="45E94D4D"/>
    <w:rsid w:val="461C75ED"/>
    <w:rsid w:val="461D39EE"/>
    <w:rsid w:val="46342CDD"/>
    <w:rsid w:val="463C0253"/>
    <w:rsid w:val="463C52FB"/>
    <w:rsid w:val="46503FBA"/>
    <w:rsid w:val="4655719D"/>
    <w:rsid w:val="465D6E59"/>
    <w:rsid w:val="468E063F"/>
    <w:rsid w:val="46BD0F24"/>
    <w:rsid w:val="46D10DCA"/>
    <w:rsid w:val="46D532F9"/>
    <w:rsid w:val="46E12D03"/>
    <w:rsid w:val="46F76745"/>
    <w:rsid w:val="46F81F5C"/>
    <w:rsid w:val="47062619"/>
    <w:rsid w:val="47071909"/>
    <w:rsid w:val="471825FE"/>
    <w:rsid w:val="477A6AEF"/>
    <w:rsid w:val="477B5D50"/>
    <w:rsid w:val="47BD67A4"/>
    <w:rsid w:val="47C7783E"/>
    <w:rsid w:val="47C805B8"/>
    <w:rsid w:val="47D21405"/>
    <w:rsid w:val="47FE0532"/>
    <w:rsid w:val="47FE17F4"/>
    <w:rsid w:val="47FF70FE"/>
    <w:rsid w:val="480732DE"/>
    <w:rsid w:val="480A1F47"/>
    <w:rsid w:val="480A740E"/>
    <w:rsid w:val="481501F8"/>
    <w:rsid w:val="481E0468"/>
    <w:rsid w:val="482761DD"/>
    <w:rsid w:val="482A1A6E"/>
    <w:rsid w:val="483900A7"/>
    <w:rsid w:val="48507E7F"/>
    <w:rsid w:val="48671252"/>
    <w:rsid w:val="48743864"/>
    <w:rsid w:val="488F6F88"/>
    <w:rsid w:val="48AA54D8"/>
    <w:rsid w:val="48C540C0"/>
    <w:rsid w:val="48D30915"/>
    <w:rsid w:val="4909363D"/>
    <w:rsid w:val="49290AF3"/>
    <w:rsid w:val="494A7B12"/>
    <w:rsid w:val="49521DF7"/>
    <w:rsid w:val="497610FD"/>
    <w:rsid w:val="49782B6D"/>
    <w:rsid w:val="497E0A06"/>
    <w:rsid w:val="49851442"/>
    <w:rsid w:val="499C5935"/>
    <w:rsid w:val="49A632F3"/>
    <w:rsid w:val="49A64783"/>
    <w:rsid w:val="49AC57B5"/>
    <w:rsid w:val="49C250E0"/>
    <w:rsid w:val="49D02721"/>
    <w:rsid w:val="49D37C56"/>
    <w:rsid w:val="49D56585"/>
    <w:rsid w:val="49F619EE"/>
    <w:rsid w:val="4A064B19"/>
    <w:rsid w:val="4A123335"/>
    <w:rsid w:val="4A1A5506"/>
    <w:rsid w:val="4A542548"/>
    <w:rsid w:val="4A646B66"/>
    <w:rsid w:val="4A7D2EA4"/>
    <w:rsid w:val="4A7E7BF1"/>
    <w:rsid w:val="4A911A51"/>
    <w:rsid w:val="4AD82813"/>
    <w:rsid w:val="4AF17CC0"/>
    <w:rsid w:val="4AF40C8C"/>
    <w:rsid w:val="4B0372DA"/>
    <w:rsid w:val="4B0A19F1"/>
    <w:rsid w:val="4B0C7CA6"/>
    <w:rsid w:val="4B1D3AD6"/>
    <w:rsid w:val="4B3E66D0"/>
    <w:rsid w:val="4B524B95"/>
    <w:rsid w:val="4B764E00"/>
    <w:rsid w:val="4BAD1567"/>
    <w:rsid w:val="4BB375DD"/>
    <w:rsid w:val="4BBE6A70"/>
    <w:rsid w:val="4BBF3681"/>
    <w:rsid w:val="4BC346FC"/>
    <w:rsid w:val="4BE15A04"/>
    <w:rsid w:val="4BE7762B"/>
    <w:rsid w:val="4BFF6209"/>
    <w:rsid w:val="4C3F4944"/>
    <w:rsid w:val="4C4B52F4"/>
    <w:rsid w:val="4C9B7652"/>
    <w:rsid w:val="4CB45878"/>
    <w:rsid w:val="4D295846"/>
    <w:rsid w:val="4D2C6EDE"/>
    <w:rsid w:val="4D3A507C"/>
    <w:rsid w:val="4DD05A25"/>
    <w:rsid w:val="4DF40AE5"/>
    <w:rsid w:val="4E0B1010"/>
    <w:rsid w:val="4E296E9F"/>
    <w:rsid w:val="4E5263F6"/>
    <w:rsid w:val="4E634E82"/>
    <w:rsid w:val="4E6A1991"/>
    <w:rsid w:val="4E6D76D3"/>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32028D"/>
    <w:rsid w:val="50467DF8"/>
    <w:rsid w:val="504B57F2"/>
    <w:rsid w:val="505905FF"/>
    <w:rsid w:val="505F3376"/>
    <w:rsid w:val="50760A57"/>
    <w:rsid w:val="507F724A"/>
    <w:rsid w:val="50903563"/>
    <w:rsid w:val="5092459F"/>
    <w:rsid w:val="50AF5D81"/>
    <w:rsid w:val="50C42459"/>
    <w:rsid w:val="50C854B3"/>
    <w:rsid w:val="50CF01D2"/>
    <w:rsid w:val="50E2295D"/>
    <w:rsid w:val="50EC48E0"/>
    <w:rsid w:val="51017205"/>
    <w:rsid w:val="512110B0"/>
    <w:rsid w:val="51275918"/>
    <w:rsid w:val="51340057"/>
    <w:rsid w:val="5138767D"/>
    <w:rsid w:val="514477A1"/>
    <w:rsid w:val="515E513F"/>
    <w:rsid w:val="51653A78"/>
    <w:rsid w:val="51675ADE"/>
    <w:rsid w:val="516F16A8"/>
    <w:rsid w:val="51D862A4"/>
    <w:rsid w:val="51E66A28"/>
    <w:rsid w:val="521D47E0"/>
    <w:rsid w:val="5247586A"/>
    <w:rsid w:val="525B17ED"/>
    <w:rsid w:val="526F5E96"/>
    <w:rsid w:val="5271389B"/>
    <w:rsid w:val="52884ADC"/>
    <w:rsid w:val="52927EBD"/>
    <w:rsid w:val="52953DA4"/>
    <w:rsid w:val="529B480F"/>
    <w:rsid w:val="52A575BB"/>
    <w:rsid w:val="52BE3C8F"/>
    <w:rsid w:val="52DE4138"/>
    <w:rsid w:val="530E2C43"/>
    <w:rsid w:val="5322125E"/>
    <w:rsid w:val="532A2228"/>
    <w:rsid w:val="535320ED"/>
    <w:rsid w:val="53644E32"/>
    <w:rsid w:val="5371289D"/>
    <w:rsid w:val="53795978"/>
    <w:rsid w:val="53DE6D19"/>
    <w:rsid w:val="53F32D80"/>
    <w:rsid w:val="53F61DBC"/>
    <w:rsid w:val="53FF3638"/>
    <w:rsid w:val="540235C5"/>
    <w:rsid w:val="54036473"/>
    <w:rsid w:val="540A5C84"/>
    <w:rsid w:val="540E63A1"/>
    <w:rsid w:val="54457114"/>
    <w:rsid w:val="547D79BE"/>
    <w:rsid w:val="54844437"/>
    <w:rsid w:val="549C03CB"/>
    <w:rsid w:val="54A0116D"/>
    <w:rsid w:val="54F621EE"/>
    <w:rsid w:val="550058CC"/>
    <w:rsid w:val="55124B31"/>
    <w:rsid w:val="553153C0"/>
    <w:rsid w:val="553E36FF"/>
    <w:rsid w:val="556128E7"/>
    <w:rsid w:val="557A38E3"/>
    <w:rsid w:val="55925D4F"/>
    <w:rsid w:val="5597762A"/>
    <w:rsid w:val="55B00C6D"/>
    <w:rsid w:val="55E22755"/>
    <w:rsid w:val="55F81F79"/>
    <w:rsid w:val="56075D18"/>
    <w:rsid w:val="560F4F27"/>
    <w:rsid w:val="56135319"/>
    <w:rsid w:val="56186177"/>
    <w:rsid w:val="562468CA"/>
    <w:rsid w:val="56464A92"/>
    <w:rsid w:val="567B624D"/>
    <w:rsid w:val="567D13ED"/>
    <w:rsid w:val="56821074"/>
    <w:rsid w:val="56A872DD"/>
    <w:rsid w:val="56B06D7D"/>
    <w:rsid w:val="56C02A96"/>
    <w:rsid w:val="56C90818"/>
    <w:rsid w:val="56DD7DCF"/>
    <w:rsid w:val="56E60023"/>
    <w:rsid w:val="56E62C85"/>
    <w:rsid w:val="56EF5522"/>
    <w:rsid w:val="570D3EE5"/>
    <w:rsid w:val="571C5FED"/>
    <w:rsid w:val="5721105B"/>
    <w:rsid w:val="572809B6"/>
    <w:rsid w:val="57527466"/>
    <w:rsid w:val="57762675"/>
    <w:rsid w:val="57910C04"/>
    <w:rsid w:val="57A77A6C"/>
    <w:rsid w:val="57BB1377"/>
    <w:rsid w:val="57CC77E6"/>
    <w:rsid w:val="57FD3876"/>
    <w:rsid w:val="580521C8"/>
    <w:rsid w:val="580A2EF6"/>
    <w:rsid w:val="581A3F8E"/>
    <w:rsid w:val="58201145"/>
    <w:rsid w:val="584855C9"/>
    <w:rsid w:val="585B059D"/>
    <w:rsid w:val="585E0536"/>
    <w:rsid w:val="586A1A57"/>
    <w:rsid w:val="586A3B2C"/>
    <w:rsid w:val="58751A71"/>
    <w:rsid w:val="58AE76F6"/>
    <w:rsid w:val="58C50657"/>
    <w:rsid w:val="58F05189"/>
    <w:rsid w:val="590D43CD"/>
    <w:rsid w:val="59180DE0"/>
    <w:rsid w:val="592E77F7"/>
    <w:rsid w:val="595E65AD"/>
    <w:rsid w:val="59623982"/>
    <w:rsid w:val="596734D2"/>
    <w:rsid w:val="59710078"/>
    <w:rsid w:val="597169B0"/>
    <w:rsid w:val="59725B9E"/>
    <w:rsid w:val="59A5436A"/>
    <w:rsid w:val="59AF4BCB"/>
    <w:rsid w:val="59CC667E"/>
    <w:rsid w:val="59DC02C3"/>
    <w:rsid w:val="59DC4B2F"/>
    <w:rsid w:val="59E13F61"/>
    <w:rsid w:val="5A054D7E"/>
    <w:rsid w:val="5A0A7157"/>
    <w:rsid w:val="5A21548F"/>
    <w:rsid w:val="5A30402F"/>
    <w:rsid w:val="5A3617C7"/>
    <w:rsid w:val="5A5149F9"/>
    <w:rsid w:val="5A6A4AC7"/>
    <w:rsid w:val="5A725C75"/>
    <w:rsid w:val="5A795CD3"/>
    <w:rsid w:val="5A7A3DD4"/>
    <w:rsid w:val="5A874B8D"/>
    <w:rsid w:val="5AC10B8B"/>
    <w:rsid w:val="5AC362EC"/>
    <w:rsid w:val="5AE876A9"/>
    <w:rsid w:val="5B2766E1"/>
    <w:rsid w:val="5B340913"/>
    <w:rsid w:val="5B42334E"/>
    <w:rsid w:val="5B5163B3"/>
    <w:rsid w:val="5B7E1A86"/>
    <w:rsid w:val="5B80606F"/>
    <w:rsid w:val="5B8D59B9"/>
    <w:rsid w:val="5B8E27A1"/>
    <w:rsid w:val="5B90055D"/>
    <w:rsid w:val="5B9C1D95"/>
    <w:rsid w:val="5BC464CE"/>
    <w:rsid w:val="5BE3143E"/>
    <w:rsid w:val="5C323E85"/>
    <w:rsid w:val="5C395701"/>
    <w:rsid w:val="5C3C314C"/>
    <w:rsid w:val="5C473312"/>
    <w:rsid w:val="5C4D3BFA"/>
    <w:rsid w:val="5C741D5A"/>
    <w:rsid w:val="5CA1107D"/>
    <w:rsid w:val="5CA17A28"/>
    <w:rsid w:val="5CBE47FF"/>
    <w:rsid w:val="5CC44962"/>
    <w:rsid w:val="5CC77176"/>
    <w:rsid w:val="5CFD27ED"/>
    <w:rsid w:val="5D0A2A1B"/>
    <w:rsid w:val="5D2C42B6"/>
    <w:rsid w:val="5D32166B"/>
    <w:rsid w:val="5D3F0F58"/>
    <w:rsid w:val="5D51797B"/>
    <w:rsid w:val="5D6C7BC2"/>
    <w:rsid w:val="5D997B9D"/>
    <w:rsid w:val="5D9C51D6"/>
    <w:rsid w:val="5DA73589"/>
    <w:rsid w:val="5DAB167E"/>
    <w:rsid w:val="5DBA7B13"/>
    <w:rsid w:val="5DBD5B7D"/>
    <w:rsid w:val="5DDE4708"/>
    <w:rsid w:val="5E3D78A1"/>
    <w:rsid w:val="5E53564E"/>
    <w:rsid w:val="5E573605"/>
    <w:rsid w:val="5E641CDC"/>
    <w:rsid w:val="5E6F4F5D"/>
    <w:rsid w:val="5E867E4E"/>
    <w:rsid w:val="5E9828A0"/>
    <w:rsid w:val="5E9B16F3"/>
    <w:rsid w:val="5EA60EB9"/>
    <w:rsid w:val="5EDF5F2D"/>
    <w:rsid w:val="5F0C25F1"/>
    <w:rsid w:val="5F2913F5"/>
    <w:rsid w:val="5F2D6E5A"/>
    <w:rsid w:val="5F35198B"/>
    <w:rsid w:val="5F36141C"/>
    <w:rsid w:val="5F3D1890"/>
    <w:rsid w:val="5F506981"/>
    <w:rsid w:val="5F5B2511"/>
    <w:rsid w:val="5F6D14E7"/>
    <w:rsid w:val="5F7E529D"/>
    <w:rsid w:val="5F85439C"/>
    <w:rsid w:val="5F98725C"/>
    <w:rsid w:val="5F9A3369"/>
    <w:rsid w:val="5FCD1E6B"/>
    <w:rsid w:val="5FCE0310"/>
    <w:rsid w:val="5FEC638A"/>
    <w:rsid w:val="601D1297"/>
    <w:rsid w:val="6022180D"/>
    <w:rsid w:val="605660D3"/>
    <w:rsid w:val="60806DF2"/>
    <w:rsid w:val="60825B34"/>
    <w:rsid w:val="6085265B"/>
    <w:rsid w:val="60883EF9"/>
    <w:rsid w:val="60A4258A"/>
    <w:rsid w:val="60A93BB5"/>
    <w:rsid w:val="60AB7B52"/>
    <w:rsid w:val="60C50CA9"/>
    <w:rsid w:val="60FD2147"/>
    <w:rsid w:val="610619ED"/>
    <w:rsid w:val="610C731A"/>
    <w:rsid w:val="6128091C"/>
    <w:rsid w:val="613B7151"/>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7778A2"/>
    <w:rsid w:val="62997217"/>
    <w:rsid w:val="62AE2A2A"/>
    <w:rsid w:val="62C236F2"/>
    <w:rsid w:val="62D653F0"/>
    <w:rsid w:val="62D97B6C"/>
    <w:rsid w:val="62E91920"/>
    <w:rsid w:val="63092D9F"/>
    <w:rsid w:val="6319386D"/>
    <w:rsid w:val="631A52DC"/>
    <w:rsid w:val="63662255"/>
    <w:rsid w:val="63675512"/>
    <w:rsid w:val="638473E2"/>
    <w:rsid w:val="63920EDA"/>
    <w:rsid w:val="63A1155A"/>
    <w:rsid w:val="63B77CEA"/>
    <w:rsid w:val="63B92EE5"/>
    <w:rsid w:val="63C811DC"/>
    <w:rsid w:val="63F58A11"/>
    <w:rsid w:val="63F93517"/>
    <w:rsid w:val="63FE1B71"/>
    <w:rsid w:val="642F5001"/>
    <w:rsid w:val="64A30025"/>
    <w:rsid w:val="64C44139"/>
    <w:rsid w:val="64DE6705"/>
    <w:rsid w:val="65055B18"/>
    <w:rsid w:val="650E2619"/>
    <w:rsid w:val="652634A0"/>
    <w:rsid w:val="656E190F"/>
    <w:rsid w:val="65826BA0"/>
    <w:rsid w:val="65905F2A"/>
    <w:rsid w:val="659F5D29"/>
    <w:rsid w:val="65B975D9"/>
    <w:rsid w:val="65CD0D2C"/>
    <w:rsid w:val="65D8613A"/>
    <w:rsid w:val="65EB2226"/>
    <w:rsid w:val="65F8742B"/>
    <w:rsid w:val="660D737A"/>
    <w:rsid w:val="66287D10"/>
    <w:rsid w:val="66345205"/>
    <w:rsid w:val="66604D90"/>
    <w:rsid w:val="666B40A1"/>
    <w:rsid w:val="66B001E2"/>
    <w:rsid w:val="66B33AA8"/>
    <w:rsid w:val="66B617C0"/>
    <w:rsid w:val="66BB2913"/>
    <w:rsid w:val="66D67CEA"/>
    <w:rsid w:val="66D74C03"/>
    <w:rsid w:val="66F10A4A"/>
    <w:rsid w:val="66F95D5F"/>
    <w:rsid w:val="6712276E"/>
    <w:rsid w:val="67467080"/>
    <w:rsid w:val="67695363"/>
    <w:rsid w:val="679D028A"/>
    <w:rsid w:val="68275CED"/>
    <w:rsid w:val="683F3A37"/>
    <w:rsid w:val="6870599E"/>
    <w:rsid w:val="68825AA7"/>
    <w:rsid w:val="688F1B0F"/>
    <w:rsid w:val="68A622BF"/>
    <w:rsid w:val="68B55243"/>
    <w:rsid w:val="68B56396"/>
    <w:rsid w:val="68C07642"/>
    <w:rsid w:val="690600B1"/>
    <w:rsid w:val="691002CE"/>
    <w:rsid w:val="6912239E"/>
    <w:rsid w:val="693430AE"/>
    <w:rsid w:val="693B24AA"/>
    <w:rsid w:val="693C3339"/>
    <w:rsid w:val="693C538C"/>
    <w:rsid w:val="693F2021"/>
    <w:rsid w:val="697015AC"/>
    <w:rsid w:val="69B06E35"/>
    <w:rsid w:val="69BB1B96"/>
    <w:rsid w:val="69F07613"/>
    <w:rsid w:val="69FB4534"/>
    <w:rsid w:val="69FE1FF8"/>
    <w:rsid w:val="6A1A2066"/>
    <w:rsid w:val="6A2F40E7"/>
    <w:rsid w:val="6A617C95"/>
    <w:rsid w:val="6A675E13"/>
    <w:rsid w:val="6A6A1D50"/>
    <w:rsid w:val="6A7E767E"/>
    <w:rsid w:val="6A873318"/>
    <w:rsid w:val="6A9E30D1"/>
    <w:rsid w:val="6ACB5685"/>
    <w:rsid w:val="6AF44665"/>
    <w:rsid w:val="6B00125C"/>
    <w:rsid w:val="6B013AC4"/>
    <w:rsid w:val="6B022B20"/>
    <w:rsid w:val="6B0B2C71"/>
    <w:rsid w:val="6B0D1E4C"/>
    <w:rsid w:val="6B225204"/>
    <w:rsid w:val="6B5D73DB"/>
    <w:rsid w:val="6B60329D"/>
    <w:rsid w:val="6B8F43C5"/>
    <w:rsid w:val="6BA74108"/>
    <w:rsid w:val="6BA932CC"/>
    <w:rsid w:val="6BAA3BFF"/>
    <w:rsid w:val="6BC631B0"/>
    <w:rsid w:val="6BD36970"/>
    <w:rsid w:val="6BD52BAE"/>
    <w:rsid w:val="6BD52F92"/>
    <w:rsid w:val="6BF568E6"/>
    <w:rsid w:val="6C086473"/>
    <w:rsid w:val="6C196A37"/>
    <w:rsid w:val="6C263EF0"/>
    <w:rsid w:val="6C294C9F"/>
    <w:rsid w:val="6C557385"/>
    <w:rsid w:val="6C5B4F41"/>
    <w:rsid w:val="6C5B54D6"/>
    <w:rsid w:val="6C657755"/>
    <w:rsid w:val="6C73245F"/>
    <w:rsid w:val="6CA41755"/>
    <w:rsid w:val="6CB6422F"/>
    <w:rsid w:val="6CBC7404"/>
    <w:rsid w:val="6CDD5062"/>
    <w:rsid w:val="6CDE79AF"/>
    <w:rsid w:val="6CF46B9E"/>
    <w:rsid w:val="6CFD81DF"/>
    <w:rsid w:val="6D175C89"/>
    <w:rsid w:val="6D360C7F"/>
    <w:rsid w:val="6D404378"/>
    <w:rsid w:val="6D560CEB"/>
    <w:rsid w:val="6D7A0F67"/>
    <w:rsid w:val="6D820AE9"/>
    <w:rsid w:val="6D9E0E35"/>
    <w:rsid w:val="6DAC5642"/>
    <w:rsid w:val="6DB200D0"/>
    <w:rsid w:val="6DD4077E"/>
    <w:rsid w:val="6DEA4604"/>
    <w:rsid w:val="6DFB7BC5"/>
    <w:rsid w:val="6E134E2F"/>
    <w:rsid w:val="6E932C1C"/>
    <w:rsid w:val="6EB94CA1"/>
    <w:rsid w:val="6EE07AA3"/>
    <w:rsid w:val="6EEB8E5F"/>
    <w:rsid w:val="6EFE0978"/>
    <w:rsid w:val="6F062841"/>
    <w:rsid w:val="6F084862"/>
    <w:rsid w:val="6F0F6304"/>
    <w:rsid w:val="6F2F1C60"/>
    <w:rsid w:val="6F806DDA"/>
    <w:rsid w:val="6F887A72"/>
    <w:rsid w:val="6F887B94"/>
    <w:rsid w:val="6FA32AFD"/>
    <w:rsid w:val="6FA535AD"/>
    <w:rsid w:val="6FB60BE8"/>
    <w:rsid w:val="6FDC60D0"/>
    <w:rsid w:val="6FE567D0"/>
    <w:rsid w:val="6FF671C3"/>
    <w:rsid w:val="6FFA62C5"/>
    <w:rsid w:val="7009145B"/>
    <w:rsid w:val="700E47B4"/>
    <w:rsid w:val="70196838"/>
    <w:rsid w:val="7023229D"/>
    <w:rsid w:val="702707C6"/>
    <w:rsid w:val="70351AE0"/>
    <w:rsid w:val="70425469"/>
    <w:rsid w:val="704816ED"/>
    <w:rsid w:val="7048478E"/>
    <w:rsid w:val="705C4D2F"/>
    <w:rsid w:val="708C17E3"/>
    <w:rsid w:val="708D34F0"/>
    <w:rsid w:val="709435AA"/>
    <w:rsid w:val="70B84AEA"/>
    <w:rsid w:val="70BA73D6"/>
    <w:rsid w:val="70D171F6"/>
    <w:rsid w:val="71033031"/>
    <w:rsid w:val="711A010D"/>
    <w:rsid w:val="713559D7"/>
    <w:rsid w:val="71384F8A"/>
    <w:rsid w:val="715D620A"/>
    <w:rsid w:val="71A96202"/>
    <w:rsid w:val="71AC5951"/>
    <w:rsid w:val="71CF6942"/>
    <w:rsid w:val="724610A5"/>
    <w:rsid w:val="7258372B"/>
    <w:rsid w:val="72621DA4"/>
    <w:rsid w:val="727A76BE"/>
    <w:rsid w:val="72945F4F"/>
    <w:rsid w:val="729E2787"/>
    <w:rsid w:val="72AB7696"/>
    <w:rsid w:val="7306587D"/>
    <w:rsid w:val="732C21E6"/>
    <w:rsid w:val="735A1725"/>
    <w:rsid w:val="73685BF0"/>
    <w:rsid w:val="73892FCE"/>
    <w:rsid w:val="73922C6D"/>
    <w:rsid w:val="73944C37"/>
    <w:rsid w:val="73B05A03"/>
    <w:rsid w:val="73B928EF"/>
    <w:rsid w:val="73CB43D1"/>
    <w:rsid w:val="73DD4830"/>
    <w:rsid w:val="73E13BF4"/>
    <w:rsid w:val="73E75E56"/>
    <w:rsid w:val="73FB2F08"/>
    <w:rsid w:val="74184804"/>
    <w:rsid w:val="741915E0"/>
    <w:rsid w:val="741E2986"/>
    <w:rsid w:val="74212644"/>
    <w:rsid w:val="74337517"/>
    <w:rsid w:val="74757B58"/>
    <w:rsid w:val="74941905"/>
    <w:rsid w:val="74A77970"/>
    <w:rsid w:val="74B144CB"/>
    <w:rsid w:val="74C95543"/>
    <w:rsid w:val="74DB6895"/>
    <w:rsid w:val="74DF5BAC"/>
    <w:rsid w:val="75100FAB"/>
    <w:rsid w:val="75181898"/>
    <w:rsid w:val="751F42D8"/>
    <w:rsid w:val="75251A1D"/>
    <w:rsid w:val="754B5E50"/>
    <w:rsid w:val="754E3162"/>
    <w:rsid w:val="75695572"/>
    <w:rsid w:val="757C4776"/>
    <w:rsid w:val="75AF517F"/>
    <w:rsid w:val="75E72B9D"/>
    <w:rsid w:val="76074E01"/>
    <w:rsid w:val="760836BA"/>
    <w:rsid w:val="760C265C"/>
    <w:rsid w:val="761B4486"/>
    <w:rsid w:val="76260DC9"/>
    <w:rsid w:val="762940CF"/>
    <w:rsid w:val="76371DD9"/>
    <w:rsid w:val="763A3F76"/>
    <w:rsid w:val="76500BBD"/>
    <w:rsid w:val="76650B0D"/>
    <w:rsid w:val="766E26D2"/>
    <w:rsid w:val="766F7C84"/>
    <w:rsid w:val="767A4EB0"/>
    <w:rsid w:val="768F7AF6"/>
    <w:rsid w:val="768F7E91"/>
    <w:rsid w:val="769C6AE5"/>
    <w:rsid w:val="769E3900"/>
    <w:rsid w:val="76A55630"/>
    <w:rsid w:val="76AF7FDA"/>
    <w:rsid w:val="76C74CC5"/>
    <w:rsid w:val="76CB2EC2"/>
    <w:rsid w:val="76EC115C"/>
    <w:rsid w:val="76FD1063"/>
    <w:rsid w:val="77113955"/>
    <w:rsid w:val="772462D2"/>
    <w:rsid w:val="772E4ACD"/>
    <w:rsid w:val="773B415B"/>
    <w:rsid w:val="77471B18"/>
    <w:rsid w:val="77562203"/>
    <w:rsid w:val="776970C2"/>
    <w:rsid w:val="7774302C"/>
    <w:rsid w:val="7792125E"/>
    <w:rsid w:val="77C11D73"/>
    <w:rsid w:val="77F7692C"/>
    <w:rsid w:val="781A7BBF"/>
    <w:rsid w:val="782D38B6"/>
    <w:rsid w:val="78370287"/>
    <w:rsid w:val="784851FE"/>
    <w:rsid w:val="784B53AE"/>
    <w:rsid w:val="785707F0"/>
    <w:rsid w:val="786F1A82"/>
    <w:rsid w:val="7879264D"/>
    <w:rsid w:val="78932808"/>
    <w:rsid w:val="789B7D2E"/>
    <w:rsid w:val="78A4393C"/>
    <w:rsid w:val="78B57075"/>
    <w:rsid w:val="78BB2421"/>
    <w:rsid w:val="78BD6B1B"/>
    <w:rsid w:val="78D22B0A"/>
    <w:rsid w:val="78E47951"/>
    <w:rsid w:val="79077B21"/>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42437E"/>
    <w:rsid w:val="7B5800FE"/>
    <w:rsid w:val="7B647BE5"/>
    <w:rsid w:val="7B8B02EE"/>
    <w:rsid w:val="7B91477D"/>
    <w:rsid w:val="7BA674A3"/>
    <w:rsid w:val="7BD535D9"/>
    <w:rsid w:val="7BD54882"/>
    <w:rsid w:val="7BD65C61"/>
    <w:rsid w:val="7C1120EB"/>
    <w:rsid w:val="7C1E325F"/>
    <w:rsid w:val="7C285AC3"/>
    <w:rsid w:val="7C442F72"/>
    <w:rsid w:val="7C443F36"/>
    <w:rsid w:val="7C501917"/>
    <w:rsid w:val="7C6333F8"/>
    <w:rsid w:val="7C6D3BA7"/>
    <w:rsid w:val="7C813749"/>
    <w:rsid w:val="7C967236"/>
    <w:rsid w:val="7C9944BA"/>
    <w:rsid w:val="7CBA32DC"/>
    <w:rsid w:val="7CD9190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C02B3B"/>
    <w:rsid w:val="7EC91566"/>
    <w:rsid w:val="7ECD1958"/>
    <w:rsid w:val="7EF936FE"/>
    <w:rsid w:val="7EFD2FAE"/>
    <w:rsid w:val="7F397B88"/>
    <w:rsid w:val="7F4F6B9E"/>
    <w:rsid w:val="7F564788"/>
    <w:rsid w:val="7F596CCC"/>
    <w:rsid w:val="7F622093"/>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25"/>
    <w:qFormat/>
    <w:uiPriority w:val="0"/>
    <w:pPr>
      <w:jc w:val="center"/>
      <w:outlineLvl w:val="0"/>
    </w:pPr>
    <w:rPr>
      <w:rFonts w:ascii="黑体" w:hAnsi="黑体" w:eastAsia="仿宋"/>
      <w:b/>
      <w:sz w:val="30"/>
      <w:highlight w:val="none"/>
    </w:rPr>
  </w:style>
  <w:style w:type="paragraph" w:styleId="3">
    <w:name w:val="heading 2"/>
    <w:basedOn w:val="1"/>
    <w:next w:val="1"/>
    <w:link w:val="126"/>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106"/>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5">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rFonts w:eastAsia="宋体"/>
      <w:b/>
      <w:sz w:val="28"/>
      <w:szCs w:val="20"/>
    </w:rPr>
  </w:style>
  <w:style w:type="paragraph" w:styleId="7">
    <w:name w:val="heading 6"/>
    <w:basedOn w:val="1"/>
    <w:next w:val="1"/>
    <w:link w:val="119"/>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8">
    <w:name w:val="heading 7"/>
    <w:basedOn w:val="1"/>
    <w:next w:val="1"/>
    <w:link w:val="114"/>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9">
    <w:name w:val="heading 8"/>
    <w:basedOn w:val="1"/>
    <w:next w:val="1"/>
    <w:link w:val="116"/>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0">
    <w:name w:val="heading 9"/>
    <w:basedOn w:val="1"/>
    <w:next w:val="1"/>
    <w:link w:val="127"/>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1200"/>
      <w:jc w:val="left"/>
    </w:pPr>
    <w:rPr>
      <w:rFonts w:ascii="Times New Roman" w:hAnsi="Times New Roman"/>
      <w:kern w:val="0"/>
      <w:sz w:val="18"/>
      <w:szCs w:val="18"/>
    </w:rPr>
  </w:style>
  <w:style w:type="paragraph" w:styleId="12">
    <w:name w:val="Normal Indent"/>
    <w:basedOn w:val="1"/>
    <w:qFormat/>
    <w:uiPriority w:val="0"/>
    <w:pPr>
      <w:ind w:firstLine="420" w:firstLineChars="200"/>
    </w:pPr>
    <w:rPr>
      <w:rFonts w:ascii="宋体" w:hAnsi="宋体"/>
      <w:kern w:val="0"/>
      <w:sz w:val="20"/>
      <w:szCs w:val="24"/>
    </w:rPr>
  </w:style>
  <w:style w:type="paragraph" w:styleId="13">
    <w:name w:val="caption"/>
    <w:basedOn w:val="1"/>
    <w:next w:val="1"/>
    <w:qFormat/>
    <w:uiPriority w:val="99"/>
    <w:pPr>
      <w:spacing w:before="152" w:after="160"/>
    </w:pPr>
    <w:rPr>
      <w:rFonts w:ascii="Arial" w:hAnsi="Arial" w:eastAsia="黑体" w:cs="Arial"/>
      <w:sz w:val="20"/>
      <w:szCs w:val="20"/>
    </w:rPr>
  </w:style>
  <w:style w:type="paragraph" w:styleId="14">
    <w:name w:val="Document Map"/>
    <w:basedOn w:val="1"/>
    <w:link w:val="128"/>
    <w:semiHidden/>
    <w:qFormat/>
    <w:uiPriority w:val="0"/>
    <w:pPr>
      <w:shd w:val="clear" w:color="auto" w:fill="000080"/>
    </w:pPr>
    <w:rPr>
      <w:rFonts w:ascii="宋体" w:hAnsi="宋体"/>
      <w:kern w:val="0"/>
      <w:sz w:val="20"/>
      <w:szCs w:val="24"/>
    </w:rPr>
  </w:style>
  <w:style w:type="paragraph" w:styleId="15">
    <w:name w:val="annotation text"/>
    <w:basedOn w:val="1"/>
    <w:link w:val="115"/>
    <w:qFormat/>
    <w:uiPriority w:val="0"/>
    <w:pPr>
      <w:jc w:val="left"/>
    </w:pPr>
    <w:rPr>
      <w:rFonts w:ascii="Courier New" w:hAnsi="Courier New"/>
      <w:color w:val="000000"/>
      <w:kern w:val="0"/>
      <w:sz w:val="24"/>
      <w:szCs w:val="24"/>
      <w:lang w:val="zh-CN"/>
    </w:rPr>
  </w:style>
  <w:style w:type="paragraph" w:styleId="16">
    <w:name w:val="Body Text"/>
    <w:basedOn w:val="1"/>
    <w:next w:val="1"/>
    <w:link w:val="111"/>
    <w:qFormat/>
    <w:uiPriority w:val="0"/>
    <w:pPr>
      <w:spacing w:after="120"/>
    </w:pPr>
    <w:rPr>
      <w:rFonts w:ascii="宋体" w:hAnsi="宋体"/>
      <w:kern w:val="0"/>
      <w:sz w:val="20"/>
      <w:szCs w:val="24"/>
    </w:rPr>
  </w:style>
  <w:style w:type="paragraph" w:styleId="17">
    <w:name w:val="Body Text Indent"/>
    <w:basedOn w:val="1"/>
    <w:next w:val="18"/>
    <w:link w:val="117"/>
    <w:qFormat/>
    <w:uiPriority w:val="0"/>
    <w:pPr>
      <w:spacing w:after="120"/>
      <w:ind w:left="420" w:leftChars="200"/>
    </w:pPr>
    <w:rPr>
      <w:rFonts w:ascii="宋体" w:hAnsi="宋体"/>
      <w:kern w:val="0"/>
      <w:sz w:val="20"/>
      <w:szCs w:val="24"/>
    </w:rPr>
  </w:style>
  <w:style w:type="paragraph" w:styleId="18">
    <w:name w:val="envelope return"/>
    <w:basedOn w:val="1"/>
    <w:qFormat/>
    <w:uiPriority w:val="0"/>
    <w:pPr>
      <w:snapToGrid w:val="0"/>
      <w:spacing w:line="360" w:lineRule="auto"/>
      <w:ind w:firstLine="200" w:firstLineChars="200"/>
    </w:pPr>
    <w:rPr>
      <w:rFonts w:ascii="Arial" w:hAnsi="Arial" w:cs="Arial"/>
      <w:sz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20"/>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29"/>
    <w:unhideWhenUsed/>
    <w:qFormat/>
    <w:uiPriority w:val="99"/>
    <w:pPr>
      <w:ind w:left="100" w:leftChars="2500"/>
    </w:pPr>
  </w:style>
  <w:style w:type="paragraph" w:styleId="26">
    <w:name w:val="Body Text Indent 2"/>
    <w:basedOn w:val="1"/>
    <w:link w:val="130"/>
    <w:qFormat/>
    <w:uiPriority w:val="0"/>
    <w:pPr>
      <w:spacing w:after="120" w:line="480" w:lineRule="auto"/>
      <w:ind w:left="420" w:leftChars="200"/>
    </w:pPr>
    <w:rPr>
      <w:rFonts w:ascii="宋体" w:hAnsi="宋体"/>
      <w:kern w:val="0"/>
      <w:sz w:val="20"/>
      <w:szCs w:val="24"/>
    </w:rPr>
  </w:style>
  <w:style w:type="paragraph" w:styleId="27">
    <w:name w:val="Balloon Text"/>
    <w:basedOn w:val="1"/>
    <w:link w:val="131"/>
    <w:unhideWhenUsed/>
    <w:qFormat/>
    <w:uiPriority w:val="99"/>
    <w:rPr>
      <w:kern w:val="0"/>
      <w:sz w:val="18"/>
      <w:szCs w:val="18"/>
    </w:rPr>
  </w:style>
  <w:style w:type="paragraph" w:styleId="28">
    <w:name w:val="footer"/>
    <w:basedOn w:val="1"/>
    <w:link w:val="132"/>
    <w:unhideWhenUsed/>
    <w:qFormat/>
    <w:uiPriority w:val="99"/>
    <w:pPr>
      <w:tabs>
        <w:tab w:val="center" w:pos="4153"/>
        <w:tab w:val="right" w:pos="8306"/>
      </w:tabs>
      <w:snapToGrid w:val="0"/>
      <w:jc w:val="left"/>
    </w:pPr>
    <w:rPr>
      <w:kern w:val="0"/>
      <w:sz w:val="18"/>
      <w:szCs w:val="18"/>
    </w:rPr>
  </w:style>
  <w:style w:type="paragraph" w:styleId="29">
    <w:name w:val="header"/>
    <w:basedOn w:val="1"/>
    <w:link w:val="1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1">
    <w:name w:val="toc 4"/>
    <w:basedOn w:val="1"/>
    <w:next w:val="1"/>
    <w:semiHidden/>
    <w:qFormat/>
    <w:uiPriority w:val="0"/>
    <w:pPr>
      <w:ind w:left="600"/>
      <w:jc w:val="left"/>
    </w:pPr>
    <w:rPr>
      <w:rFonts w:ascii="Times New Roman" w:hAnsi="Times New Roman"/>
      <w:kern w:val="0"/>
      <w:sz w:val="18"/>
      <w:szCs w:val="18"/>
    </w:rPr>
  </w:style>
  <w:style w:type="paragraph" w:styleId="32">
    <w:name w:val="toc 6"/>
    <w:basedOn w:val="1"/>
    <w:next w:val="1"/>
    <w:semiHidden/>
    <w:qFormat/>
    <w:uiPriority w:val="0"/>
    <w:pPr>
      <w:ind w:left="1000"/>
      <w:jc w:val="left"/>
    </w:pPr>
    <w:rPr>
      <w:rFonts w:ascii="Times New Roman" w:hAnsi="Times New Roman"/>
      <w:kern w:val="0"/>
      <w:sz w:val="18"/>
      <w:szCs w:val="18"/>
    </w:rPr>
  </w:style>
  <w:style w:type="paragraph" w:styleId="33">
    <w:name w:val="Body Text Indent 3"/>
    <w:basedOn w:val="1"/>
    <w:qFormat/>
    <w:uiPriority w:val="0"/>
    <w:pPr>
      <w:spacing w:after="120" w:afterLines="0"/>
      <w:ind w:left="420" w:leftChars="200"/>
    </w:pPr>
    <w:rPr>
      <w:sz w:val="16"/>
      <w:szCs w:val="16"/>
    </w:rPr>
  </w:style>
  <w:style w:type="paragraph" w:styleId="34">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5">
    <w:name w:val="toc 9"/>
    <w:basedOn w:val="1"/>
    <w:next w:val="1"/>
    <w:semiHidden/>
    <w:qFormat/>
    <w:uiPriority w:val="0"/>
    <w:pPr>
      <w:ind w:left="1600"/>
      <w:jc w:val="left"/>
    </w:pPr>
    <w:rPr>
      <w:rFonts w:ascii="Times New Roman" w:hAnsi="Times New Roman"/>
      <w:kern w:val="0"/>
      <w:sz w:val="18"/>
      <w:szCs w:val="18"/>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7">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8">
    <w:name w:val="Title"/>
    <w:basedOn w:val="1"/>
    <w:next w:val="1"/>
    <w:link w:val="134"/>
    <w:qFormat/>
    <w:uiPriority w:val="0"/>
    <w:pPr>
      <w:spacing w:before="240" w:after="60"/>
      <w:jc w:val="center"/>
      <w:outlineLvl w:val="0"/>
    </w:pPr>
    <w:rPr>
      <w:rFonts w:ascii="Arial" w:hAnsi="Arial"/>
      <w:b/>
      <w:bCs/>
      <w:kern w:val="0"/>
      <w:sz w:val="32"/>
      <w:szCs w:val="32"/>
    </w:rPr>
  </w:style>
  <w:style w:type="paragraph" w:styleId="39">
    <w:name w:val="annotation subject"/>
    <w:basedOn w:val="15"/>
    <w:next w:val="15"/>
    <w:link w:val="135"/>
    <w:semiHidden/>
    <w:qFormat/>
    <w:uiPriority w:val="0"/>
    <w:rPr>
      <w:rFonts w:ascii="宋体" w:hAnsi="宋体"/>
      <w:b/>
      <w:bCs/>
    </w:rPr>
  </w:style>
  <w:style w:type="paragraph" w:styleId="40">
    <w:name w:val="Body Text First Indent 2"/>
    <w:basedOn w:val="17"/>
    <w:next w:val="1"/>
    <w:qFormat/>
    <w:uiPriority w:val="0"/>
    <w:pPr>
      <w:spacing w:after="120"/>
      <w:ind w:left="200" w:leftChars="200" w:firstLine="420"/>
      <w:jc w:val="both"/>
    </w:pPr>
    <w:rPr>
      <w:rFonts w:ascii="Calibri" w:hAnsi="Calibri" w:eastAsia="宋体"/>
      <w:szCs w:val="24"/>
      <w:lang w:val="en-US"/>
    </w:r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bCs/>
    </w:rPr>
  </w:style>
  <w:style w:type="character" w:styleId="45">
    <w:name w:val="page number"/>
    <w:qFormat/>
    <w:uiPriority w:val="0"/>
  </w:style>
  <w:style w:type="character" w:styleId="46">
    <w:name w:val="FollowedHyperlink"/>
    <w:qFormat/>
    <w:uiPriority w:val="0"/>
    <w:rPr>
      <w:rFonts w:hint="eastAsia" w:ascii="微软雅黑" w:hAnsi="微软雅黑" w:eastAsia="微软雅黑" w:cs="微软雅黑"/>
      <w:color w:val="333333"/>
      <w:sz w:val="21"/>
      <w:szCs w:val="21"/>
      <w:u w:val="none"/>
    </w:rPr>
  </w:style>
  <w:style w:type="character" w:styleId="47">
    <w:name w:val="Emphasis"/>
    <w:qFormat/>
    <w:uiPriority w:val="20"/>
  </w:style>
  <w:style w:type="character" w:styleId="48">
    <w:name w:val="HTML Definition"/>
    <w:unhideWhenUsed/>
    <w:qFormat/>
    <w:uiPriority w:val="99"/>
  </w:style>
  <w:style w:type="character" w:styleId="49">
    <w:name w:val="HTML Typewriter"/>
    <w:unhideWhenUsed/>
    <w:qFormat/>
    <w:uiPriority w:val="99"/>
    <w:rPr>
      <w:rFonts w:hint="default" w:ascii="monospace" w:hAnsi="monospace" w:eastAsia="monospace" w:cs="monospace"/>
      <w:sz w:val="20"/>
    </w:rPr>
  </w:style>
  <w:style w:type="character" w:styleId="50">
    <w:name w:val="HTML Acronym"/>
    <w:unhideWhenUsed/>
    <w:qFormat/>
    <w:uiPriority w:val="99"/>
  </w:style>
  <w:style w:type="character" w:styleId="51">
    <w:name w:val="HTML Variable"/>
    <w:unhideWhenUsed/>
    <w:qFormat/>
    <w:uiPriority w:val="99"/>
  </w:style>
  <w:style w:type="character" w:styleId="52">
    <w:name w:val="Hyperlink"/>
    <w:qFormat/>
    <w:uiPriority w:val="0"/>
    <w:rPr>
      <w:rFonts w:hint="eastAsia" w:ascii="微软雅黑" w:hAnsi="微软雅黑" w:eastAsia="微软雅黑" w:cs="微软雅黑"/>
      <w:color w:val="333333"/>
      <w:sz w:val="21"/>
      <w:szCs w:val="21"/>
      <w:u w:val="none"/>
    </w:rPr>
  </w:style>
  <w:style w:type="character" w:styleId="53">
    <w:name w:val="HTML Code"/>
    <w:unhideWhenUsed/>
    <w:qFormat/>
    <w:uiPriority w:val="99"/>
    <w:rPr>
      <w:rFonts w:hint="default" w:ascii="monospace" w:hAnsi="monospace" w:eastAsia="monospace" w:cs="monospace"/>
      <w:sz w:val="20"/>
    </w:rPr>
  </w:style>
  <w:style w:type="character" w:styleId="54">
    <w:name w:val="annotation reference"/>
    <w:qFormat/>
    <w:uiPriority w:val="0"/>
    <w:rPr>
      <w:sz w:val="21"/>
      <w:szCs w:val="21"/>
    </w:rPr>
  </w:style>
  <w:style w:type="character" w:styleId="55">
    <w:name w:val="HTML Cite"/>
    <w:unhideWhenUsed/>
    <w:qFormat/>
    <w:uiPriority w:val="99"/>
  </w:style>
  <w:style w:type="character" w:styleId="56">
    <w:name w:val="HTML Keyboard"/>
    <w:unhideWhenUsed/>
    <w:qFormat/>
    <w:uiPriority w:val="99"/>
    <w:rPr>
      <w:rFonts w:ascii="monospace" w:hAnsi="monospace" w:eastAsia="monospace" w:cs="monospace"/>
      <w:sz w:val="20"/>
    </w:rPr>
  </w:style>
  <w:style w:type="character" w:styleId="57">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8">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9">
    <w:name w:val="大标题"/>
    <w:basedOn w:val="38"/>
    <w:next w:val="40"/>
    <w:qFormat/>
    <w:uiPriority w:val="0"/>
    <w:pPr>
      <w:tabs>
        <w:tab w:val="left" w:pos="795"/>
        <w:tab w:val="center" w:pos="4156"/>
      </w:tabs>
      <w:spacing w:line="360" w:lineRule="auto"/>
      <w:ind w:firstLine="200" w:firstLineChars="200"/>
    </w:pPr>
    <w:rPr>
      <w:rFonts w:ascii="宋体" w:hAnsi="宋体"/>
      <w:bCs w:val="0"/>
      <w:kern w:val="0"/>
      <w:szCs w:val="20"/>
    </w:rPr>
  </w:style>
  <w:style w:type="paragraph" w:customStyle="1" w:styleId="60">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61">
    <w:name w:val="WPSOffice手动目录 1"/>
    <w:qFormat/>
    <w:uiPriority w:val="0"/>
    <w:pPr>
      <w:ind w:leftChars="0"/>
    </w:pPr>
    <w:rPr>
      <w:rFonts w:ascii="Times New Roman" w:hAnsi="Times New Roman" w:eastAsia="宋体" w:cs="Times New Roman"/>
      <w:sz w:val="20"/>
      <w:szCs w:val="20"/>
    </w:rPr>
  </w:style>
  <w:style w:type="paragraph" w:customStyle="1" w:styleId="62">
    <w:name w:val="Char"/>
    <w:basedOn w:val="14"/>
    <w:qFormat/>
    <w:uiPriority w:val="0"/>
    <w:pPr>
      <w:widowControl/>
    </w:pPr>
    <w:rPr>
      <w:rFonts w:ascii="Tahoma" w:hAnsi="Tahoma"/>
      <w:kern w:val="2"/>
      <w:sz w:val="24"/>
    </w:rPr>
  </w:style>
  <w:style w:type="paragraph" w:customStyle="1" w:styleId="63">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64">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5">
    <w:name w:val="正文文本 (2)1"/>
    <w:basedOn w:val="1"/>
    <w:link w:val="122"/>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6">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7">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8">
    <w:name w:val="GCEBStyles4"/>
    <w:basedOn w:val="1"/>
    <w:qFormat/>
    <w:uiPriority w:val="0"/>
    <w:pPr>
      <w:jc w:val="left"/>
      <w:outlineLvl w:val="4"/>
    </w:pPr>
    <w:rPr>
      <w:rFonts w:ascii="宋体" w:hAnsi="宋体"/>
      <w:b/>
      <w:bCs/>
      <w:kern w:val="0"/>
      <w:sz w:val="28"/>
      <w:szCs w:val="24"/>
    </w:rPr>
  </w:style>
  <w:style w:type="paragraph" w:customStyle="1" w:styleId="69">
    <w:name w:val="GCEBStyles7"/>
    <w:basedOn w:val="1"/>
    <w:qFormat/>
    <w:uiPriority w:val="0"/>
    <w:pPr>
      <w:jc w:val="left"/>
      <w:outlineLvl w:val="7"/>
    </w:pPr>
    <w:rPr>
      <w:rFonts w:ascii="黑体" w:hAnsi="宋体" w:eastAsia="黑体"/>
      <w:bCs/>
      <w:kern w:val="0"/>
      <w:sz w:val="24"/>
      <w:szCs w:val="24"/>
    </w:rPr>
  </w:style>
  <w:style w:type="paragraph" w:customStyle="1" w:styleId="7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1">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72">
    <w:name w:val="正文文本 (3)"/>
    <w:basedOn w:val="1"/>
    <w:link w:val="11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73">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74">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75">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76">
    <w:name w:val="List Paragraph1"/>
    <w:basedOn w:val="1"/>
    <w:qFormat/>
    <w:uiPriority w:val="0"/>
    <w:pPr>
      <w:ind w:firstLine="420" w:firstLineChars="200"/>
    </w:pPr>
    <w:rPr>
      <w:szCs w:val="21"/>
    </w:rPr>
  </w:style>
  <w:style w:type="paragraph" w:customStyle="1" w:styleId="7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9">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80">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81">
    <w:name w:val="Style9"/>
    <w:basedOn w:val="1"/>
    <w:qFormat/>
    <w:uiPriority w:val="0"/>
    <w:pPr>
      <w:adjustRightInd w:val="0"/>
      <w:jc w:val="left"/>
    </w:pPr>
    <w:rPr>
      <w:rFonts w:ascii="宋体" w:hAnsi="Calibri" w:eastAsia="宋体" w:cs="Times New Roman"/>
      <w:kern w:val="0"/>
      <w:sz w:val="24"/>
      <w:szCs w:val="24"/>
    </w:rPr>
  </w:style>
  <w:style w:type="paragraph" w:styleId="82">
    <w:name w:val="List Paragraph"/>
    <w:basedOn w:val="1"/>
    <w:next w:val="1"/>
    <w:qFormat/>
    <w:uiPriority w:val="34"/>
    <w:pPr>
      <w:ind w:firstLine="420" w:firstLineChars="200"/>
    </w:pPr>
    <w:rPr>
      <w:rFonts w:ascii="Calibri" w:hAnsi="Calibri" w:cs="Times New Roman"/>
      <w:kern w:val="2"/>
      <w:sz w:val="21"/>
    </w:rPr>
  </w:style>
  <w:style w:type="paragraph" w:customStyle="1" w:styleId="83">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84">
    <w:name w:val="Char Char"/>
    <w:basedOn w:val="1"/>
    <w:qFormat/>
    <w:uiPriority w:val="0"/>
    <w:pPr>
      <w:ind w:firstLine="200" w:firstLineChars="200"/>
    </w:pPr>
    <w:rPr>
      <w:rFonts w:ascii="Times New Roman" w:hAnsi="Times New Roman"/>
      <w:szCs w:val="24"/>
    </w:rPr>
  </w:style>
  <w:style w:type="paragraph" w:customStyle="1" w:styleId="85">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6">
    <w:name w:val="GCEBStyles0"/>
    <w:basedOn w:val="1"/>
    <w:qFormat/>
    <w:uiPriority w:val="0"/>
    <w:pPr>
      <w:jc w:val="left"/>
      <w:outlineLvl w:val="0"/>
    </w:pPr>
    <w:rPr>
      <w:rFonts w:ascii="宋体" w:hAnsi="宋体"/>
      <w:b/>
      <w:bCs/>
      <w:kern w:val="0"/>
      <w:sz w:val="44"/>
      <w:szCs w:val="24"/>
    </w:rPr>
  </w:style>
  <w:style w:type="paragraph" w:customStyle="1" w:styleId="87">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8">
    <w:name w:val="GCEBStyles1"/>
    <w:basedOn w:val="1"/>
    <w:qFormat/>
    <w:uiPriority w:val="0"/>
    <w:pPr>
      <w:jc w:val="left"/>
      <w:outlineLvl w:val="1"/>
    </w:pPr>
    <w:rPr>
      <w:rFonts w:ascii="黑体" w:hAnsi="宋体" w:eastAsia="黑体"/>
      <w:b/>
      <w:bCs/>
      <w:kern w:val="0"/>
      <w:sz w:val="32"/>
      <w:szCs w:val="24"/>
    </w:rPr>
  </w:style>
  <w:style w:type="paragraph" w:customStyle="1" w:styleId="89">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90">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91">
    <w:name w:val="Table Paragraph"/>
    <w:basedOn w:val="1"/>
    <w:qFormat/>
    <w:uiPriority w:val="1"/>
    <w:pPr>
      <w:jc w:val="left"/>
    </w:pPr>
    <w:rPr>
      <w:rFonts w:cs="宋体"/>
      <w:sz w:val="22"/>
      <w:lang w:eastAsia="en-US"/>
    </w:rPr>
  </w:style>
  <w:style w:type="paragraph" w:customStyle="1" w:styleId="92">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3">
    <w:name w:val="GCEBStyles6"/>
    <w:basedOn w:val="1"/>
    <w:qFormat/>
    <w:uiPriority w:val="0"/>
    <w:pPr>
      <w:jc w:val="left"/>
      <w:outlineLvl w:val="6"/>
    </w:pPr>
    <w:rPr>
      <w:rFonts w:ascii="宋体" w:hAnsi="宋体"/>
      <w:b/>
      <w:bCs/>
      <w:kern w:val="0"/>
      <w:sz w:val="24"/>
      <w:szCs w:val="24"/>
    </w:rPr>
  </w:style>
  <w:style w:type="paragraph" w:customStyle="1" w:styleId="94">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5">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6">
    <w:name w:val="GCEBStyles5"/>
    <w:basedOn w:val="1"/>
    <w:qFormat/>
    <w:uiPriority w:val="0"/>
    <w:pPr>
      <w:jc w:val="left"/>
      <w:outlineLvl w:val="5"/>
    </w:pPr>
    <w:rPr>
      <w:rFonts w:ascii="黑体" w:hAnsi="宋体" w:eastAsia="黑体"/>
      <w:b/>
      <w:bCs/>
      <w:kern w:val="0"/>
      <w:sz w:val="24"/>
      <w:szCs w:val="24"/>
    </w:rPr>
  </w:style>
  <w:style w:type="paragraph" w:customStyle="1" w:styleId="97">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9">
    <w:name w:val="GCEBStyles9"/>
    <w:basedOn w:val="1"/>
    <w:qFormat/>
    <w:uiPriority w:val="0"/>
    <w:pPr>
      <w:jc w:val="left"/>
    </w:pPr>
    <w:rPr>
      <w:rFonts w:ascii="黑体" w:hAnsi="宋体" w:eastAsia="黑体"/>
      <w:bCs/>
      <w:kern w:val="0"/>
      <w:szCs w:val="24"/>
    </w:rPr>
  </w:style>
  <w:style w:type="paragraph" w:customStyle="1" w:styleId="100">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1">
    <w:name w:val="GCEBStyles2"/>
    <w:basedOn w:val="1"/>
    <w:qFormat/>
    <w:uiPriority w:val="0"/>
    <w:pPr>
      <w:jc w:val="left"/>
      <w:outlineLvl w:val="2"/>
    </w:pPr>
    <w:rPr>
      <w:rFonts w:ascii="宋体" w:hAnsi="宋体"/>
      <w:b/>
      <w:bCs/>
      <w:kern w:val="0"/>
      <w:sz w:val="32"/>
      <w:szCs w:val="24"/>
    </w:rPr>
  </w:style>
  <w:style w:type="paragraph" w:customStyle="1" w:styleId="102">
    <w:name w:val="GCEBStyles8"/>
    <w:basedOn w:val="1"/>
    <w:qFormat/>
    <w:uiPriority w:val="0"/>
    <w:pPr>
      <w:jc w:val="left"/>
      <w:outlineLvl w:val="8"/>
    </w:pPr>
    <w:rPr>
      <w:rFonts w:ascii="黑体" w:hAnsi="宋体" w:eastAsia="黑体"/>
      <w:bCs/>
      <w:kern w:val="0"/>
      <w:szCs w:val="24"/>
    </w:rPr>
  </w:style>
  <w:style w:type="paragraph" w:customStyle="1" w:styleId="103">
    <w:name w:val="GCEBStyles3"/>
    <w:basedOn w:val="1"/>
    <w:qFormat/>
    <w:uiPriority w:val="0"/>
    <w:pPr>
      <w:jc w:val="left"/>
      <w:outlineLvl w:val="3"/>
    </w:pPr>
    <w:rPr>
      <w:rFonts w:ascii="黑体" w:hAnsi="宋体" w:eastAsia="黑体"/>
      <w:b/>
      <w:bCs/>
      <w:kern w:val="0"/>
      <w:sz w:val="28"/>
      <w:szCs w:val="24"/>
    </w:rPr>
  </w:style>
  <w:style w:type="paragraph" w:customStyle="1" w:styleId="104">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character" w:customStyle="1" w:styleId="105">
    <w:name w:val="font61"/>
    <w:qFormat/>
    <w:uiPriority w:val="0"/>
    <w:rPr>
      <w:rFonts w:hint="default" w:ascii="Times New Roman" w:hAnsi="Times New Roman" w:cs="Times New Roman"/>
      <w:color w:val="000000"/>
      <w:sz w:val="24"/>
      <w:szCs w:val="24"/>
      <w:u w:val="none"/>
    </w:rPr>
  </w:style>
  <w:style w:type="character" w:customStyle="1" w:styleId="106">
    <w:name w:val="标题 3 字符"/>
    <w:link w:val="4"/>
    <w:qFormat/>
    <w:uiPriority w:val="0"/>
    <w:rPr>
      <w:rFonts w:ascii="Times New Roman" w:hAnsi="Times New Roman"/>
      <w:b/>
      <w:sz w:val="32"/>
    </w:rPr>
  </w:style>
  <w:style w:type="character" w:customStyle="1" w:styleId="107">
    <w:name w:val="layui-laypage-curr"/>
    <w:qFormat/>
    <w:uiPriority w:val="0"/>
  </w:style>
  <w:style w:type="character" w:customStyle="1" w:styleId="108">
    <w:name w:val="layui-layer-tabnow"/>
    <w:qFormat/>
    <w:uiPriority w:val="0"/>
    <w:rPr>
      <w:bdr w:val="single" w:color="CCCCCC" w:sz="6" w:space="0"/>
      <w:shd w:val="clear" w:color="auto" w:fill="FFFFFF"/>
    </w:rPr>
  </w:style>
  <w:style w:type="character" w:customStyle="1" w:styleId="109">
    <w:name w:val="font91"/>
    <w:qFormat/>
    <w:uiPriority w:val="0"/>
    <w:rPr>
      <w:rFonts w:hint="eastAsia" w:ascii="宋体" w:hAnsi="宋体" w:eastAsia="宋体" w:cs="宋体"/>
      <w:color w:val="000000"/>
      <w:sz w:val="22"/>
      <w:szCs w:val="22"/>
      <w:u w:val="none"/>
    </w:rPr>
  </w:style>
  <w:style w:type="character" w:customStyle="1" w:styleId="110">
    <w:name w:val="hover1"/>
    <w:qFormat/>
    <w:uiPriority w:val="0"/>
    <w:rPr>
      <w:color w:val="2590EB"/>
    </w:rPr>
  </w:style>
  <w:style w:type="character" w:customStyle="1" w:styleId="111">
    <w:name w:val="正文文本 字符"/>
    <w:link w:val="16"/>
    <w:qFormat/>
    <w:uiPriority w:val="0"/>
    <w:rPr>
      <w:rFonts w:ascii="宋体" w:hAnsi="宋体"/>
      <w:szCs w:val="24"/>
    </w:rPr>
  </w:style>
  <w:style w:type="character" w:customStyle="1" w:styleId="112">
    <w:name w:val="标题 2 Char Char Char Char Char Char Char Char Char Char Char Char Char Char Char Char Char Char Char Char Char"/>
    <w:qFormat/>
    <w:uiPriority w:val="0"/>
  </w:style>
  <w:style w:type="character" w:customStyle="1" w:styleId="113">
    <w:name w:val="hover"/>
    <w:qFormat/>
    <w:uiPriority w:val="0"/>
    <w:rPr>
      <w:color w:val="2590EB"/>
    </w:rPr>
  </w:style>
  <w:style w:type="character" w:customStyle="1" w:styleId="114">
    <w:name w:val="标题 7 字符"/>
    <w:link w:val="8"/>
    <w:qFormat/>
    <w:uiPriority w:val="0"/>
    <w:rPr>
      <w:rFonts w:ascii="Times New Roman" w:hAnsi="Times New Roman"/>
      <w:b/>
      <w:bCs/>
      <w:sz w:val="24"/>
      <w:szCs w:val="24"/>
    </w:rPr>
  </w:style>
  <w:style w:type="character" w:customStyle="1" w:styleId="115">
    <w:name w:val="批注文字 字符"/>
    <w:link w:val="15"/>
    <w:qFormat/>
    <w:uiPriority w:val="0"/>
    <w:rPr>
      <w:rFonts w:ascii="Courier New" w:hAnsi="Courier New" w:eastAsia="宋体" w:cs="Courier New"/>
      <w:color w:val="000000"/>
      <w:kern w:val="0"/>
      <w:sz w:val="24"/>
      <w:szCs w:val="24"/>
      <w:lang w:val="zh-CN"/>
    </w:rPr>
  </w:style>
  <w:style w:type="character" w:customStyle="1" w:styleId="116">
    <w:name w:val="标题 8 字符"/>
    <w:link w:val="9"/>
    <w:qFormat/>
    <w:uiPriority w:val="0"/>
    <w:rPr>
      <w:rFonts w:ascii="Arial" w:hAnsi="Arial" w:eastAsia="黑体"/>
      <w:sz w:val="24"/>
      <w:szCs w:val="24"/>
    </w:rPr>
  </w:style>
  <w:style w:type="character" w:customStyle="1" w:styleId="117">
    <w:name w:val="正文文本缩进 字符"/>
    <w:link w:val="17"/>
    <w:qFormat/>
    <w:uiPriority w:val="0"/>
    <w:rPr>
      <w:rFonts w:ascii="宋体" w:hAnsi="宋体"/>
      <w:szCs w:val="24"/>
    </w:rPr>
  </w:style>
  <w:style w:type="character" w:customStyle="1" w:styleId="118">
    <w:name w:val="正文文本 (3)_"/>
    <w:link w:val="72"/>
    <w:qFormat/>
    <w:uiPriority w:val="0"/>
    <w:rPr>
      <w:rFonts w:ascii="MingLiU" w:eastAsia="MingLiU" w:cs="MingLiU"/>
      <w:spacing w:val="50"/>
      <w:sz w:val="50"/>
      <w:szCs w:val="50"/>
      <w:shd w:val="clear" w:color="auto" w:fill="FFFFFF"/>
    </w:rPr>
  </w:style>
  <w:style w:type="character" w:customStyle="1" w:styleId="119">
    <w:name w:val="标题 6 字符"/>
    <w:link w:val="7"/>
    <w:qFormat/>
    <w:uiPriority w:val="0"/>
    <w:rPr>
      <w:rFonts w:ascii="Arial" w:hAnsi="Arial" w:eastAsia="黑体"/>
      <w:b/>
      <w:bCs/>
      <w:sz w:val="24"/>
      <w:szCs w:val="24"/>
    </w:rPr>
  </w:style>
  <w:style w:type="character" w:customStyle="1" w:styleId="120">
    <w:name w:val="纯文本 字符"/>
    <w:link w:val="23"/>
    <w:qFormat/>
    <w:uiPriority w:val="0"/>
    <w:rPr>
      <w:rFonts w:ascii="宋体" w:hAnsi="Courier New"/>
      <w:kern w:val="2"/>
      <w:sz w:val="21"/>
    </w:rPr>
  </w:style>
  <w:style w:type="character" w:customStyle="1" w:styleId="121">
    <w:name w:val="font21"/>
    <w:qFormat/>
    <w:uiPriority w:val="0"/>
    <w:rPr>
      <w:rFonts w:hint="default" w:ascii="Arial" w:hAnsi="Arial" w:cs="Arial"/>
      <w:b/>
      <w:bCs/>
      <w:color w:val="000000"/>
      <w:sz w:val="20"/>
      <w:szCs w:val="20"/>
      <w:u w:val="none"/>
    </w:rPr>
  </w:style>
  <w:style w:type="character" w:customStyle="1" w:styleId="122">
    <w:name w:val="正文文本 (2)_"/>
    <w:link w:val="65"/>
    <w:qFormat/>
    <w:uiPriority w:val="0"/>
    <w:rPr>
      <w:rFonts w:ascii="MingLiU" w:eastAsia="MingLiU" w:cs="MingLiU"/>
      <w:sz w:val="22"/>
      <w:shd w:val="clear" w:color="auto" w:fill="FFFFFF"/>
    </w:rPr>
  </w:style>
  <w:style w:type="character" w:customStyle="1" w:styleId="123">
    <w:name w:val="flatpickr-day2"/>
    <w:basedOn w:val="43"/>
    <w:qFormat/>
    <w:uiPriority w:val="0"/>
  </w:style>
  <w:style w:type="character" w:customStyle="1" w:styleId="124">
    <w:name w:val="hover2"/>
    <w:qFormat/>
    <w:uiPriority w:val="0"/>
  </w:style>
  <w:style w:type="character" w:customStyle="1" w:styleId="125">
    <w:name w:val="标题 1 字符"/>
    <w:link w:val="2"/>
    <w:qFormat/>
    <w:uiPriority w:val="0"/>
    <w:rPr>
      <w:rFonts w:ascii="黑体" w:hAnsi="黑体" w:eastAsia="仿宋"/>
      <w:b/>
      <w:kern w:val="2"/>
      <w:sz w:val="30"/>
      <w:szCs w:val="22"/>
      <w:highlight w:val="none"/>
      <w:lang w:val="en-US" w:eastAsia="zh-CN" w:bidi="ar-SA"/>
    </w:rPr>
  </w:style>
  <w:style w:type="character" w:customStyle="1" w:styleId="126">
    <w:name w:val="标题 2 字符"/>
    <w:link w:val="3"/>
    <w:qFormat/>
    <w:uiPriority w:val="0"/>
    <w:rPr>
      <w:rFonts w:ascii="Arial" w:hAnsi="Arial" w:eastAsia="黑体"/>
      <w:b/>
      <w:bCs/>
      <w:sz w:val="32"/>
      <w:szCs w:val="32"/>
    </w:rPr>
  </w:style>
  <w:style w:type="character" w:customStyle="1" w:styleId="127">
    <w:name w:val="标题 9 字符"/>
    <w:link w:val="10"/>
    <w:qFormat/>
    <w:uiPriority w:val="0"/>
    <w:rPr>
      <w:rFonts w:ascii="Arial" w:hAnsi="Arial" w:eastAsia="黑体"/>
      <w:sz w:val="21"/>
      <w:szCs w:val="21"/>
    </w:rPr>
  </w:style>
  <w:style w:type="character" w:customStyle="1" w:styleId="128">
    <w:name w:val="文档结构图 字符"/>
    <w:link w:val="14"/>
    <w:semiHidden/>
    <w:qFormat/>
    <w:uiPriority w:val="0"/>
    <w:rPr>
      <w:rFonts w:ascii="宋体" w:hAnsi="宋体"/>
      <w:szCs w:val="24"/>
      <w:shd w:val="clear" w:color="auto" w:fill="000080"/>
    </w:rPr>
  </w:style>
  <w:style w:type="character" w:customStyle="1" w:styleId="129">
    <w:name w:val="日期 字符"/>
    <w:link w:val="25"/>
    <w:semiHidden/>
    <w:qFormat/>
    <w:uiPriority w:val="99"/>
  </w:style>
  <w:style w:type="character" w:customStyle="1" w:styleId="130">
    <w:name w:val="正文文本缩进 2 字符"/>
    <w:link w:val="26"/>
    <w:qFormat/>
    <w:uiPriority w:val="0"/>
    <w:rPr>
      <w:rFonts w:ascii="宋体" w:hAnsi="宋体"/>
      <w:szCs w:val="24"/>
    </w:rPr>
  </w:style>
  <w:style w:type="character" w:customStyle="1" w:styleId="131">
    <w:name w:val="批注框文本 字符"/>
    <w:link w:val="27"/>
    <w:semiHidden/>
    <w:qFormat/>
    <w:uiPriority w:val="99"/>
    <w:rPr>
      <w:sz w:val="18"/>
      <w:szCs w:val="18"/>
    </w:rPr>
  </w:style>
  <w:style w:type="character" w:customStyle="1" w:styleId="132">
    <w:name w:val="页脚 字符"/>
    <w:link w:val="28"/>
    <w:qFormat/>
    <w:uiPriority w:val="99"/>
    <w:rPr>
      <w:sz w:val="18"/>
      <w:szCs w:val="18"/>
    </w:rPr>
  </w:style>
  <w:style w:type="character" w:customStyle="1" w:styleId="133">
    <w:name w:val="页眉 字符"/>
    <w:link w:val="29"/>
    <w:qFormat/>
    <w:uiPriority w:val="99"/>
    <w:rPr>
      <w:sz w:val="18"/>
      <w:szCs w:val="18"/>
    </w:rPr>
  </w:style>
  <w:style w:type="character" w:customStyle="1" w:styleId="134">
    <w:name w:val="标题 字符"/>
    <w:link w:val="38"/>
    <w:qFormat/>
    <w:uiPriority w:val="0"/>
    <w:rPr>
      <w:rFonts w:ascii="Arial" w:hAnsi="Arial" w:cs="Arial"/>
      <w:b/>
      <w:bCs/>
      <w:sz w:val="32"/>
      <w:szCs w:val="32"/>
    </w:rPr>
  </w:style>
  <w:style w:type="character" w:customStyle="1" w:styleId="135">
    <w:name w:val="批注主题 字符"/>
    <w:link w:val="39"/>
    <w:semiHidden/>
    <w:qFormat/>
    <w:uiPriority w:val="0"/>
    <w:rPr>
      <w:rFonts w:ascii="宋体" w:hAnsi="宋体" w:eastAsia="宋体" w:cs="Courier New"/>
      <w:b/>
      <w:bCs/>
      <w:color w:val="000000"/>
      <w:kern w:val="0"/>
      <w:sz w:val="24"/>
      <w:szCs w:val="24"/>
      <w:lang w:val="zh-CN"/>
    </w:rPr>
  </w:style>
  <w:style w:type="character" w:customStyle="1" w:styleId="136">
    <w:name w:val="font51"/>
    <w:qFormat/>
    <w:uiPriority w:val="0"/>
    <w:rPr>
      <w:rFonts w:hint="eastAsia" w:ascii="宋体" w:hAnsi="宋体" w:eastAsia="宋体" w:cs="宋体"/>
      <w:color w:val="000000"/>
      <w:sz w:val="24"/>
      <w:szCs w:val="24"/>
      <w:u w:val="none"/>
    </w:rPr>
  </w:style>
  <w:style w:type="character" w:customStyle="1" w:styleId="137">
    <w:name w:val="font01"/>
    <w:qFormat/>
    <w:uiPriority w:val="0"/>
    <w:rPr>
      <w:rFonts w:hint="default" w:ascii="Arial" w:hAnsi="Arial" w:cs="Arial"/>
      <w:color w:val="000000"/>
      <w:sz w:val="20"/>
      <w:szCs w:val="20"/>
      <w:u w:val="none"/>
    </w:rPr>
  </w:style>
  <w:style w:type="character" w:customStyle="1" w:styleId="138">
    <w:name w:val="flatpickr-weekday"/>
    <w:basedOn w:val="43"/>
    <w:qFormat/>
    <w:uiPriority w:val="0"/>
    <w:rPr>
      <w:b/>
      <w:bCs/>
      <w:sz w:val="21"/>
      <w:szCs w:val="21"/>
    </w:rPr>
  </w:style>
  <w:style w:type="character" w:customStyle="1" w:styleId="139">
    <w:name w:val="font11"/>
    <w:qFormat/>
    <w:uiPriority w:val="0"/>
    <w:rPr>
      <w:rFonts w:hint="eastAsia" w:ascii="宋体" w:hAnsi="宋体" w:eastAsia="宋体" w:cs="宋体"/>
      <w:b/>
      <w:bCs/>
      <w:color w:val="000000"/>
      <w:sz w:val="20"/>
      <w:szCs w:val="20"/>
      <w:u w:val="none"/>
    </w:rPr>
  </w:style>
  <w:style w:type="character" w:customStyle="1" w:styleId="140">
    <w:name w:val="flatpickr-day"/>
    <w:qFormat/>
    <w:uiPriority w:val="0"/>
  </w:style>
  <w:style w:type="character" w:customStyle="1" w:styleId="141">
    <w:name w:val="first-child"/>
    <w:qFormat/>
    <w:uiPriority w:val="0"/>
  </w:style>
  <w:style w:type="character" w:customStyle="1" w:styleId="142">
    <w:name w:val="flatpickr-weekday2"/>
    <w:qFormat/>
    <w:uiPriority w:val="0"/>
    <w:rPr>
      <w:b/>
      <w:bCs/>
      <w:sz w:val="21"/>
      <w:szCs w:val="21"/>
    </w:rPr>
  </w:style>
  <w:style w:type="character" w:customStyle="1" w:styleId="143">
    <w:name w:val="标题1"/>
    <w:qFormat/>
    <w:uiPriority w:val="0"/>
  </w:style>
  <w:style w:type="character" w:customStyle="1" w:styleId="144">
    <w:name w:val="font31"/>
    <w:qFormat/>
    <w:uiPriority w:val="0"/>
    <w:rPr>
      <w:rFonts w:hint="eastAsia" w:ascii="宋体" w:hAnsi="宋体" w:eastAsia="宋体" w:cs="宋体"/>
      <w:color w:val="000000"/>
      <w:sz w:val="20"/>
      <w:szCs w:val="20"/>
      <w:u w:val="none"/>
    </w:rPr>
  </w:style>
  <w:style w:type="character" w:customStyle="1" w:styleId="145">
    <w:name w:val="正文文本 (2)"/>
    <w:qFormat/>
    <w:uiPriority w:val="0"/>
    <w:rPr>
      <w:rFonts w:ascii="MingLiU" w:eastAsia="MingLiU" w:cs="MingLiU"/>
      <w:sz w:val="22"/>
      <w:shd w:val="clear" w:color="auto" w:fill="FFFFFF"/>
    </w:rPr>
  </w:style>
  <w:style w:type="character" w:customStyle="1" w:styleId="146">
    <w:name w:val="font71"/>
    <w:qFormat/>
    <w:uiPriority w:val="0"/>
    <w:rPr>
      <w:rFonts w:ascii="仿宋_GB2312" w:eastAsia="仿宋_GB2312" w:cs="仿宋_GB2312"/>
      <w:color w:val="000000"/>
      <w:sz w:val="24"/>
      <w:szCs w:val="24"/>
      <w:u w:val="none"/>
    </w:rPr>
  </w:style>
  <w:style w:type="character" w:customStyle="1" w:styleId="147">
    <w:name w:val="font81"/>
    <w:qFormat/>
    <w:uiPriority w:val="0"/>
    <w:rPr>
      <w:rFonts w:hint="default" w:ascii="Times New Roman" w:hAnsi="Times New Roman" w:cs="Times New Roman"/>
      <w:color w:val="000000"/>
      <w:sz w:val="22"/>
      <w:szCs w:val="22"/>
      <w:u w:val="none"/>
    </w:rPr>
  </w:style>
  <w:style w:type="character" w:customStyle="1" w:styleId="148">
    <w:name w:val="hover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75</Pages>
  <Words>26874</Words>
  <Characters>28769</Characters>
  <Lines>273</Lines>
  <Paragraphs>77</Paragraphs>
  <TotalTime>46</TotalTime>
  <ScaleCrop>false</ScaleCrop>
  <LinksUpToDate>false</LinksUpToDate>
  <CharactersWithSpaces>29070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l</cp:lastModifiedBy>
  <cp:lastPrinted>2023-04-20T00:59:00Z</cp:lastPrinted>
  <dcterms:modified xsi:type="dcterms:W3CDTF">2026-10-19T01:00:32Z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A284B88F440A472A9A6CCC135864BB49_13</vt:lpwstr>
  </property>
  <property fmtid="{D5CDD505-2E9C-101B-9397-08002B2CF9AE}" pid="4" name="KSOTemplateDocerSaveRecord">
    <vt:lpwstr>eyJoZGlkIjoiZTZkNWUwOTU3MWEwNDZkNzQ1YzU3MTdkMDFjZDk2MTYiLCJ1c2VySWQiOiIyNjI0NzI1In0=</vt:lpwstr>
  </property>
</Properties>
</file>