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6C7C8">
      <w:pPr>
        <w:spacing w:line="360" w:lineRule="auto"/>
        <w:ind w:left="-1" w:leftChars="-1" w:hanging="1"/>
        <w:jc w:val="center"/>
        <w:rPr>
          <w:rFonts w:hint="default" w:ascii="宋体" w:hAnsi="宋体"/>
          <w:b/>
          <w:sz w:val="36"/>
          <w:szCs w:val="36"/>
          <w:lang w:val="en-US" w:eastAsia="zh-CN"/>
        </w:rPr>
      </w:pPr>
      <w:r>
        <w:rPr>
          <w:rFonts w:hint="eastAsia" w:ascii="宋体" w:hAnsi="宋体"/>
          <w:b/>
          <w:sz w:val="36"/>
          <w:szCs w:val="36"/>
          <w:lang w:val="en-US" w:eastAsia="zh-CN"/>
        </w:rPr>
        <w:t>乳山市综合服务中心乙楼改造工程</w:t>
      </w:r>
      <w:bookmarkStart w:id="2" w:name="_GoBack"/>
      <w:bookmarkEnd w:id="2"/>
    </w:p>
    <w:p w14:paraId="7173B40F">
      <w:pPr>
        <w:spacing w:line="360" w:lineRule="auto"/>
        <w:ind w:left="-1" w:leftChars="-1" w:hanging="1"/>
        <w:jc w:val="center"/>
        <w:rPr>
          <w:rFonts w:ascii="宋体" w:hAnsi="宋体"/>
          <w:b/>
          <w:sz w:val="36"/>
          <w:szCs w:val="36"/>
          <w:highlight w:val="none"/>
        </w:rPr>
      </w:pPr>
      <w:r>
        <w:rPr>
          <w:rFonts w:hint="eastAsia" w:ascii="宋体" w:hAnsi="宋体"/>
          <w:b/>
          <w:sz w:val="36"/>
          <w:szCs w:val="36"/>
          <w:highlight w:val="none"/>
        </w:rPr>
        <w:t>工程量清单编制报告</w:t>
      </w:r>
    </w:p>
    <w:p w14:paraId="5D6F331A">
      <w:pPr>
        <w:numPr>
          <w:ilvl w:val="0"/>
          <w:numId w:val="1"/>
        </w:numPr>
        <w:tabs>
          <w:tab w:val="left" w:pos="567"/>
          <w:tab w:val="left" w:pos="1134"/>
        </w:tabs>
        <w:spacing w:before="156" w:beforeLines="50" w:line="360" w:lineRule="auto"/>
        <w:ind w:firstLine="147"/>
        <w:outlineLvl w:val="0"/>
        <w:rPr>
          <w:rFonts w:ascii="宋体" w:hAnsi="宋体"/>
          <w:b/>
          <w:sz w:val="24"/>
        </w:rPr>
      </w:pPr>
      <w:r>
        <w:rPr>
          <w:rFonts w:hint="eastAsia" w:ascii="宋体" w:hAnsi="宋体"/>
          <w:b/>
          <w:sz w:val="24"/>
        </w:rPr>
        <w:t>投标人须知</w:t>
      </w:r>
    </w:p>
    <w:p w14:paraId="3851C6FD">
      <w:pPr>
        <w:numPr>
          <w:ilvl w:val="0"/>
          <w:numId w:val="2"/>
        </w:numPr>
        <w:spacing w:line="360" w:lineRule="auto"/>
        <w:ind w:left="0" w:firstLine="567"/>
        <w:rPr>
          <w:rFonts w:ascii="宋体" w:hAnsi="宋体"/>
          <w:sz w:val="24"/>
        </w:rPr>
      </w:pPr>
      <w:r>
        <w:rPr>
          <w:rFonts w:hint="eastAsia" w:ascii="宋体" w:hAnsi="宋体"/>
          <w:sz w:val="24"/>
        </w:rPr>
        <w:t>应按工程量清单报价格式规定的内容进行编制、填写、签字、盖章。</w:t>
      </w:r>
    </w:p>
    <w:p w14:paraId="5BBB4410">
      <w:pPr>
        <w:numPr>
          <w:ilvl w:val="0"/>
          <w:numId w:val="2"/>
        </w:numPr>
        <w:spacing w:line="360" w:lineRule="auto"/>
        <w:ind w:left="0" w:firstLine="567"/>
        <w:rPr>
          <w:rFonts w:ascii="宋体" w:hAnsi="宋体"/>
          <w:sz w:val="24"/>
        </w:rPr>
      </w:pPr>
      <w:r>
        <w:rPr>
          <w:rFonts w:hint="eastAsia" w:ascii="宋体" w:hAnsi="宋体"/>
          <w:sz w:val="24"/>
        </w:rPr>
        <w:t>工程量清单及报价格式中的任何内容不得随意删除或修改。</w:t>
      </w:r>
    </w:p>
    <w:p w14:paraId="7F114A76">
      <w:pPr>
        <w:numPr>
          <w:ilvl w:val="0"/>
          <w:numId w:val="2"/>
        </w:numPr>
        <w:spacing w:line="360" w:lineRule="auto"/>
        <w:ind w:left="0" w:firstLine="567"/>
        <w:rPr>
          <w:rFonts w:ascii="宋体" w:hAnsi="宋体"/>
          <w:sz w:val="24"/>
        </w:rPr>
      </w:pPr>
      <w:r>
        <w:rPr>
          <w:rFonts w:hint="eastAsia" w:ascii="宋体" w:hAnsi="宋体"/>
          <w:sz w:val="24"/>
        </w:rPr>
        <w:t>工程量清单报价格式中所有需要填报的单价和合价，投标人均应填报，未填报的单价和合价视为此项费用已包含在工程量清单的其它单价或合价中。</w:t>
      </w:r>
    </w:p>
    <w:p w14:paraId="2318716D">
      <w:pPr>
        <w:numPr>
          <w:ilvl w:val="0"/>
          <w:numId w:val="2"/>
        </w:numPr>
        <w:spacing w:line="360" w:lineRule="auto"/>
        <w:ind w:left="0" w:firstLine="567"/>
        <w:rPr>
          <w:rFonts w:ascii="宋体" w:hAnsi="宋体"/>
          <w:sz w:val="24"/>
        </w:rPr>
      </w:pPr>
      <w:r>
        <w:rPr>
          <w:rFonts w:hint="eastAsia" w:ascii="宋体" w:hAnsi="宋体"/>
          <w:sz w:val="24"/>
        </w:rPr>
        <w:t>金额（价格）均应以人民币(元)表示。</w:t>
      </w:r>
    </w:p>
    <w:p w14:paraId="6F5DEA98">
      <w:pPr>
        <w:numPr>
          <w:ilvl w:val="0"/>
          <w:numId w:val="1"/>
        </w:numPr>
        <w:tabs>
          <w:tab w:val="left" w:pos="567"/>
          <w:tab w:val="left" w:pos="1134"/>
        </w:tabs>
        <w:spacing w:before="156" w:beforeLines="50" w:line="360" w:lineRule="auto"/>
        <w:ind w:firstLine="147"/>
        <w:outlineLvl w:val="0"/>
        <w:rPr>
          <w:rFonts w:ascii="宋体" w:hAnsi="宋体"/>
          <w:b/>
          <w:sz w:val="24"/>
        </w:rPr>
      </w:pPr>
      <w:r>
        <w:rPr>
          <w:rFonts w:hint="eastAsia" w:ascii="宋体" w:hAnsi="宋体"/>
          <w:b/>
          <w:sz w:val="24"/>
        </w:rPr>
        <w:t>工程概况</w:t>
      </w:r>
    </w:p>
    <w:p w14:paraId="0B34BFC4">
      <w:pPr>
        <w:pStyle w:val="2"/>
        <w:spacing w:line="360" w:lineRule="auto"/>
        <w:ind w:firstLine="480"/>
        <w:rPr>
          <w:rFonts w:hint="default" w:ascii="宋体" w:hAnsi="宋体" w:eastAsia="宋体" w:cs="Times New Roman"/>
          <w:bCs/>
          <w:kern w:val="2"/>
          <w:sz w:val="24"/>
          <w:szCs w:val="24"/>
          <w:lang w:val="en-US" w:eastAsia="zh-CN" w:bidi="ar-SA"/>
        </w:rPr>
      </w:pPr>
      <w:r>
        <w:rPr>
          <w:rFonts w:hint="eastAsia" w:ascii="宋体" w:hAnsi="宋体" w:cs="宋体"/>
          <w:sz w:val="24"/>
          <w:lang w:val="en-US" w:eastAsia="zh-CN"/>
        </w:rPr>
        <w:t>乳山市综合服务中心乙楼改造项目</w:t>
      </w:r>
      <w:r>
        <w:rPr>
          <w:rFonts w:hint="eastAsia" w:ascii="宋体" w:hAnsi="宋体" w:cs="Times New Roman"/>
          <w:bCs/>
          <w:kern w:val="2"/>
          <w:sz w:val="24"/>
          <w:szCs w:val="24"/>
          <w:lang w:val="en-US" w:eastAsia="zh-CN" w:bidi="ar-SA"/>
        </w:rPr>
        <w:t>位于乳山市世纪大道以东，惠州路以南。</w:t>
      </w:r>
    </w:p>
    <w:p w14:paraId="4A5742AC">
      <w:pPr>
        <w:numPr>
          <w:ilvl w:val="0"/>
          <w:numId w:val="1"/>
        </w:numPr>
        <w:tabs>
          <w:tab w:val="left" w:pos="567"/>
          <w:tab w:val="left" w:pos="1134"/>
        </w:tabs>
        <w:spacing w:before="156" w:beforeLines="50" w:line="360" w:lineRule="auto"/>
        <w:ind w:firstLine="147"/>
        <w:outlineLvl w:val="0"/>
        <w:rPr>
          <w:rFonts w:ascii="宋体" w:hAnsi="宋体"/>
          <w:b/>
          <w:sz w:val="24"/>
        </w:rPr>
      </w:pPr>
      <w:r>
        <w:rPr>
          <w:rFonts w:hint="eastAsia" w:ascii="宋体" w:hAnsi="宋体"/>
          <w:b/>
          <w:sz w:val="24"/>
        </w:rPr>
        <w:t>招标范围</w:t>
      </w:r>
    </w:p>
    <w:p w14:paraId="08280EF2">
      <w:pPr>
        <w:spacing w:line="360" w:lineRule="auto"/>
        <w:ind w:firstLine="547" w:firstLineChars="228"/>
        <w:rPr>
          <w:rFonts w:hint="eastAsia" w:ascii="宋体" w:hAnsi="宋体" w:eastAsia="宋体" w:cs="宋体"/>
          <w:sz w:val="24"/>
          <w:highlight w:val="none"/>
          <w:lang w:val="en-US" w:eastAsia="zh-CN"/>
        </w:rPr>
      </w:pPr>
      <w:r>
        <w:rPr>
          <w:rFonts w:hint="eastAsia" w:ascii="宋体" w:hAnsi="宋体" w:eastAsia="宋体" w:cs="宋体"/>
          <w:sz w:val="24"/>
          <w:highlight w:val="none"/>
        </w:rPr>
        <w:t>本控制价包含</w:t>
      </w:r>
      <w:r>
        <w:rPr>
          <w:rFonts w:hint="eastAsia" w:ascii="宋体" w:hAnsi="宋体" w:eastAsia="宋体" w:cs="宋体"/>
          <w:sz w:val="24"/>
          <w:highlight w:val="none"/>
          <w:lang w:val="en-US" w:eastAsia="zh-CN"/>
        </w:rPr>
        <w:t>室内墙体拆除及新建、新建轻钢龙骨隔墙、室内墙柱梁板构件加固、新建卫生间地面防水及找平、楼梯及落地窗栏杆、墙面抹灰铲除、重新抹灰、</w:t>
      </w:r>
      <w:r>
        <w:rPr>
          <w:rFonts w:hint="eastAsia" w:ascii="宋体" w:hAnsi="宋体" w:cs="宋体"/>
          <w:sz w:val="24"/>
          <w:highlight w:val="none"/>
          <w:lang w:val="en-US" w:eastAsia="zh-CN"/>
        </w:rPr>
        <w:t>室外南侧及西侧台阶、坡道、</w:t>
      </w:r>
      <w:r>
        <w:rPr>
          <w:rFonts w:hint="eastAsia" w:ascii="宋体" w:hAnsi="宋体" w:eastAsia="宋体" w:cs="宋体"/>
          <w:sz w:val="24"/>
          <w:highlight w:val="none"/>
          <w:lang w:val="en-US" w:eastAsia="zh-CN"/>
        </w:rPr>
        <w:t>给排水、电气、消防等改造工程</w:t>
      </w:r>
      <w:r>
        <w:rPr>
          <w:rFonts w:hint="eastAsia" w:ascii="宋体" w:hAnsi="宋体" w:cs="宋体"/>
          <w:sz w:val="24"/>
          <w:highlight w:val="none"/>
          <w:lang w:val="en-US" w:eastAsia="zh-CN"/>
        </w:rPr>
        <w:t>。</w:t>
      </w:r>
    </w:p>
    <w:p w14:paraId="726AE4B4">
      <w:pPr>
        <w:spacing w:line="360" w:lineRule="auto"/>
        <w:ind w:firstLine="549" w:firstLineChars="228"/>
        <w:rPr>
          <w:rFonts w:ascii="宋体" w:hAnsi="宋体"/>
          <w:b/>
          <w:sz w:val="24"/>
          <w:highlight w:val="magenta"/>
        </w:rPr>
      </w:pPr>
      <w:r>
        <w:rPr>
          <w:rFonts w:hint="eastAsia" w:ascii="宋体" w:hAnsi="宋体"/>
          <w:b/>
          <w:sz w:val="24"/>
        </w:rPr>
        <w:t>四、清单编制依据</w:t>
      </w:r>
    </w:p>
    <w:p w14:paraId="36E33130">
      <w:pPr>
        <w:pStyle w:val="5"/>
        <w:widowControl/>
        <w:spacing w:before="0" w:beforeAutospacing="0" w:after="0" w:afterAutospacing="0" w:line="360" w:lineRule="auto"/>
        <w:ind w:firstLine="480" w:firstLineChars="200"/>
        <w:rPr>
          <w:rFonts w:ascii="宋体" w:hAnsi="宋体"/>
        </w:rPr>
      </w:pPr>
      <w:r>
        <w:rPr>
          <w:rFonts w:hint="eastAsia" w:ascii="宋体" w:hAnsi="宋体"/>
        </w:rPr>
        <w:t>1.计价</w:t>
      </w:r>
      <w:r>
        <w:rPr>
          <w:rFonts w:hint="eastAsia" w:ascii="宋体" w:hAnsi="宋体"/>
          <w:lang w:val="en-US" w:eastAsia="zh-CN"/>
        </w:rPr>
        <w:t>标准:</w:t>
      </w:r>
      <w:r>
        <w:rPr>
          <w:rFonts w:hint="eastAsia" w:ascii="宋体" w:hAnsi="宋体"/>
        </w:rPr>
        <w:t>GB</w:t>
      </w:r>
      <w:r>
        <w:rPr>
          <w:rFonts w:hint="eastAsia" w:ascii="宋体" w:hAnsi="宋体"/>
          <w:lang w:val="en-US" w:eastAsia="zh-CN"/>
        </w:rPr>
        <w:t xml:space="preserve">/T </w:t>
      </w:r>
      <w:r>
        <w:rPr>
          <w:rFonts w:hint="eastAsia" w:ascii="宋体" w:hAnsi="宋体"/>
        </w:rPr>
        <w:t>50500-20</w:t>
      </w:r>
      <w:r>
        <w:rPr>
          <w:rFonts w:hint="eastAsia" w:ascii="宋体" w:hAnsi="宋体"/>
          <w:lang w:val="en-US" w:eastAsia="zh-CN"/>
        </w:rPr>
        <w:t>24</w:t>
      </w:r>
      <w:r>
        <w:rPr>
          <w:rFonts w:hint="eastAsia" w:ascii="宋体" w:hAnsi="宋体"/>
        </w:rPr>
        <w:t>《建设工程工程量清单计价</w:t>
      </w:r>
      <w:r>
        <w:rPr>
          <w:rFonts w:hint="eastAsia" w:ascii="宋体" w:hAnsi="宋体"/>
          <w:lang w:val="en-US" w:eastAsia="zh-CN"/>
        </w:rPr>
        <w:t>标准</w:t>
      </w:r>
      <w:r>
        <w:rPr>
          <w:rFonts w:hint="eastAsia" w:ascii="宋体" w:hAnsi="宋体"/>
        </w:rPr>
        <w:t>》。</w:t>
      </w:r>
    </w:p>
    <w:p w14:paraId="62ADB288">
      <w:pPr>
        <w:spacing w:line="360" w:lineRule="auto"/>
        <w:ind w:firstLine="480" w:firstLineChars="200"/>
        <w:rPr>
          <w:rFonts w:ascii="宋体" w:hAnsi="宋体"/>
          <w:sz w:val="24"/>
        </w:rPr>
      </w:pPr>
      <w:r>
        <w:rPr>
          <w:rFonts w:hint="eastAsia" w:ascii="宋体" w:hAnsi="宋体"/>
          <w:sz w:val="24"/>
        </w:rPr>
        <w:t>2.计算</w:t>
      </w:r>
      <w:r>
        <w:rPr>
          <w:rFonts w:hint="eastAsia" w:ascii="宋体" w:hAnsi="宋体"/>
          <w:sz w:val="24"/>
          <w:lang w:val="en-US" w:eastAsia="zh-CN"/>
        </w:rPr>
        <w:t>标准:</w:t>
      </w:r>
      <w:r>
        <w:rPr>
          <w:rFonts w:hint="eastAsia" w:ascii="宋体" w:hAnsi="宋体"/>
          <w:sz w:val="24"/>
        </w:rPr>
        <w:t>GB</w:t>
      </w:r>
      <w:r>
        <w:rPr>
          <w:rFonts w:hint="eastAsia" w:ascii="宋体" w:hAnsi="宋体"/>
          <w:sz w:val="24"/>
          <w:lang w:val="en-US" w:eastAsia="zh-CN"/>
        </w:rPr>
        <w:t xml:space="preserve">/T </w:t>
      </w:r>
      <w:r>
        <w:rPr>
          <w:rFonts w:hint="eastAsia" w:ascii="宋体" w:hAnsi="宋体"/>
          <w:sz w:val="24"/>
        </w:rPr>
        <w:t>50854-20</w:t>
      </w:r>
      <w:r>
        <w:rPr>
          <w:rFonts w:hint="eastAsia" w:ascii="宋体" w:hAnsi="宋体"/>
          <w:sz w:val="24"/>
          <w:lang w:val="en-US" w:eastAsia="zh-CN"/>
        </w:rPr>
        <w:t>24</w:t>
      </w:r>
      <w:r>
        <w:rPr>
          <w:rFonts w:hint="eastAsia" w:ascii="宋体" w:hAnsi="宋体"/>
          <w:sz w:val="24"/>
        </w:rPr>
        <w:t>《房屋建筑与装饰工程工程量计算</w:t>
      </w:r>
      <w:r>
        <w:rPr>
          <w:rFonts w:hint="eastAsia" w:ascii="宋体" w:hAnsi="宋体"/>
          <w:sz w:val="24"/>
          <w:lang w:val="en-US" w:eastAsia="zh-CN"/>
        </w:rPr>
        <w:t>标准</w:t>
      </w:r>
      <w:r>
        <w:rPr>
          <w:rFonts w:hint="eastAsia" w:ascii="宋体" w:hAnsi="宋体"/>
          <w:sz w:val="24"/>
        </w:rPr>
        <w:t>》、</w:t>
      </w:r>
      <w:r>
        <w:rPr>
          <w:rFonts w:ascii="宋体" w:hAnsi="宋体"/>
          <w:sz w:val="24"/>
        </w:rPr>
        <w:t>GB</w:t>
      </w:r>
      <w:r>
        <w:rPr>
          <w:rFonts w:hint="eastAsia" w:ascii="宋体" w:hAnsi="宋体"/>
          <w:sz w:val="24"/>
          <w:lang w:val="en-US" w:eastAsia="zh-CN"/>
        </w:rPr>
        <w:t xml:space="preserve">/T </w:t>
      </w:r>
      <w:r>
        <w:rPr>
          <w:rFonts w:ascii="宋体" w:hAnsi="宋体"/>
          <w:sz w:val="24"/>
        </w:rPr>
        <w:t>50856-20</w:t>
      </w:r>
      <w:r>
        <w:rPr>
          <w:rFonts w:hint="eastAsia" w:ascii="宋体" w:hAnsi="宋体"/>
          <w:sz w:val="24"/>
          <w:lang w:val="en-US" w:eastAsia="zh-CN"/>
        </w:rPr>
        <w:t>24</w:t>
      </w:r>
      <w:r>
        <w:rPr>
          <w:rFonts w:hint="eastAsia" w:ascii="宋体" w:hAnsi="宋体"/>
          <w:sz w:val="24"/>
        </w:rPr>
        <w:t>《通用安装工程工程量计算</w:t>
      </w:r>
      <w:r>
        <w:rPr>
          <w:rFonts w:hint="eastAsia" w:ascii="宋体" w:hAnsi="宋体"/>
          <w:sz w:val="24"/>
          <w:lang w:val="en-US" w:eastAsia="zh-CN"/>
        </w:rPr>
        <w:t>标准</w:t>
      </w:r>
      <w:r>
        <w:rPr>
          <w:rFonts w:hint="eastAsia" w:ascii="宋体" w:hAnsi="宋体"/>
          <w:sz w:val="24"/>
        </w:rPr>
        <w:t>》。</w:t>
      </w:r>
    </w:p>
    <w:p w14:paraId="79D05BD9">
      <w:pPr>
        <w:spacing w:line="360" w:lineRule="auto"/>
        <w:ind w:firstLine="480" w:firstLineChars="200"/>
        <w:rPr>
          <w:rFonts w:ascii="宋体" w:hAnsi="宋体"/>
          <w:sz w:val="24"/>
          <w:highlight w:val="magenta"/>
        </w:rPr>
      </w:pPr>
      <w:r>
        <w:rPr>
          <w:rFonts w:hint="eastAsia" w:ascii="宋体" w:hAnsi="宋体"/>
          <w:sz w:val="24"/>
        </w:rPr>
        <w:t>3.定额：</w:t>
      </w:r>
      <w:r>
        <w:rPr>
          <w:rFonts w:ascii="宋体" w:hAnsi="宋体"/>
          <w:sz w:val="24"/>
        </w:rPr>
        <w:t>20</w:t>
      </w:r>
      <w:r>
        <w:rPr>
          <w:rFonts w:hint="eastAsia" w:ascii="宋体" w:hAnsi="宋体"/>
          <w:sz w:val="24"/>
          <w:lang w:val="en-US" w:eastAsia="zh-CN"/>
        </w:rPr>
        <w:t>16版</w:t>
      </w:r>
      <w:r>
        <w:rPr>
          <w:rFonts w:hint="eastAsia" w:ascii="宋体" w:hAnsi="宋体"/>
          <w:sz w:val="24"/>
        </w:rPr>
        <w:t>《山东省建筑工程消耗量定额》、</w:t>
      </w:r>
      <w:r>
        <w:rPr>
          <w:rFonts w:ascii="宋体" w:hAnsi="宋体"/>
          <w:sz w:val="24"/>
        </w:rPr>
        <w:t>20</w:t>
      </w:r>
      <w:r>
        <w:rPr>
          <w:rFonts w:hint="eastAsia" w:ascii="宋体" w:hAnsi="宋体"/>
          <w:sz w:val="24"/>
          <w:lang w:val="en-US" w:eastAsia="zh-CN"/>
        </w:rPr>
        <w:t>16版</w:t>
      </w:r>
      <w:r>
        <w:rPr>
          <w:rFonts w:hint="eastAsia" w:ascii="宋体" w:hAnsi="宋体"/>
          <w:sz w:val="24"/>
        </w:rPr>
        <w:t>《山东省安装工程消耗量定额》、</w:t>
      </w:r>
      <w:r>
        <w:rPr>
          <w:rFonts w:ascii="宋体" w:hAnsi="宋体"/>
          <w:sz w:val="24"/>
        </w:rPr>
        <w:t>20</w:t>
      </w:r>
      <w:r>
        <w:rPr>
          <w:rFonts w:hint="eastAsia" w:ascii="宋体" w:hAnsi="宋体"/>
          <w:sz w:val="24"/>
          <w:lang w:val="en-US" w:eastAsia="zh-CN"/>
        </w:rPr>
        <w:t>20版</w:t>
      </w:r>
      <w:r>
        <w:rPr>
          <w:rFonts w:hint="eastAsia" w:ascii="宋体" w:hAnsi="宋体"/>
          <w:sz w:val="24"/>
        </w:rPr>
        <w:t>《山东省房屋修缮工程</w:t>
      </w:r>
      <w:r>
        <w:rPr>
          <w:rFonts w:hint="eastAsia" w:ascii="宋体" w:hAnsi="宋体"/>
          <w:sz w:val="24"/>
          <w:lang w:val="en-US" w:eastAsia="zh-CN"/>
        </w:rPr>
        <w:t>消耗量</w:t>
      </w:r>
      <w:r>
        <w:rPr>
          <w:rFonts w:hint="eastAsia" w:ascii="宋体" w:hAnsi="宋体"/>
          <w:sz w:val="24"/>
        </w:rPr>
        <w:t xml:space="preserve">定额》。   </w:t>
      </w:r>
    </w:p>
    <w:p w14:paraId="2CE518D5">
      <w:pPr>
        <w:spacing w:line="360" w:lineRule="auto"/>
        <w:ind w:firstLine="480" w:firstLineChars="200"/>
        <w:rPr>
          <w:rFonts w:ascii="宋体" w:hAnsi="宋体"/>
          <w:sz w:val="24"/>
          <w:highlight w:val="magenta"/>
        </w:rPr>
      </w:pPr>
      <w:r>
        <w:rPr>
          <w:rFonts w:hint="eastAsia" w:ascii="宋体" w:hAnsi="宋体"/>
          <w:sz w:val="24"/>
        </w:rPr>
        <w:t>4.依据委托方提供图纸及答疑文件等。</w:t>
      </w:r>
    </w:p>
    <w:p w14:paraId="665A5876">
      <w:pPr>
        <w:tabs>
          <w:tab w:val="left" w:pos="993"/>
        </w:tabs>
        <w:spacing w:line="360" w:lineRule="auto"/>
        <w:ind w:firstLine="480" w:firstLineChars="200"/>
        <w:rPr>
          <w:rFonts w:hint="eastAsia" w:ascii="宋体" w:hAnsi="宋体"/>
          <w:sz w:val="24"/>
        </w:rPr>
      </w:pPr>
      <w:r>
        <w:rPr>
          <w:rFonts w:ascii="宋体" w:hAnsi="宋体"/>
          <w:sz w:val="24"/>
        </w:rPr>
        <w:t>5</w:t>
      </w:r>
      <w:r>
        <w:rPr>
          <w:rFonts w:hint="eastAsia" w:ascii="宋体" w:hAnsi="宋体"/>
          <w:sz w:val="24"/>
        </w:rPr>
        <w:t>.其它相关资料。</w:t>
      </w:r>
    </w:p>
    <w:p w14:paraId="37BF395A">
      <w:pPr>
        <w:adjustRightInd w:val="0"/>
        <w:snapToGrid w:val="0"/>
        <w:spacing w:line="360" w:lineRule="auto"/>
        <w:ind w:firstLine="482" w:firstLineChars="200"/>
        <w:rPr>
          <w:rFonts w:ascii="宋体" w:hAnsi="宋体"/>
          <w:b/>
          <w:sz w:val="24"/>
        </w:rPr>
      </w:pPr>
      <w:r>
        <w:rPr>
          <w:rFonts w:hint="eastAsia" w:ascii="宋体" w:hAnsi="宋体"/>
          <w:b/>
          <w:sz w:val="24"/>
        </w:rPr>
        <w:t xml:space="preserve">五、清单报价说明                  </w:t>
      </w:r>
    </w:p>
    <w:p w14:paraId="40261E6E">
      <w:pPr>
        <w:spacing w:line="360" w:lineRule="auto"/>
        <w:ind w:firstLine="480" w:firstLineChars="20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投标人投标报价前</w:t>
      </w:r>
      <w:r>
        <w:rPr>
          <w:rFonts w:hint="eastAsia" w:ascii="宋体" w:hAnsi="宋体"/>
          <w:sz w:val="24"/>
          <w:lang w:val="en-US" w:eastAsia="zh-CN"/>
        </w:rPr>
        <w:t>应</w:t>
      </w:r>
      <w:r>
        <w:rPr>
          <w:rFonts w:hint="eastAsia" w:ascii="宋体" w:hAnsi="宋体"/>
          <w:sz w:val="24"/>
        </w:rPr>
        <w:t>充分熟悉图纸，踏勘现场、了解项目周边的情况与条件，了解项目现场实际情况，结合本项目的特殊性、复杂程度、工期情况及招标文件要求，确保项目按期保质完成，报价包含图纸所示的一切内容。</w:t>
      </w:r>
    </w:p>
    <w:p w14:paraId="28022257">
      <w:pPr>
        <w:tabs>
          <w:tab w:val="left" w:pos="993"/>
        </w:tabs>
        <w:spacing w:line="360" w:lineRule="auto"/>
        <w:ind w:firstLine="480" w:firstLineChars="200"/>
        <w:rPr>
          <w:rFonts w:ascii="宋体" w:hAnsi="宋体"/>
          <w:sz w:val="24"/>
        </w:rPr>
      </w:pPr>
      <w:r>
        <w:rPr>
          <w:rFonts w:hint="eastAsia" w:asciiTheme="minorEastAsia" w:hAnsiTheme="minorEastAsia" w:eastAsiaTheme="minorEastAsia" w:cstheme="minorEastAsia"/>
          <w:color w:val="000000"/>
          <w:sz w:val="24"/>
        </w:rPr>
        <w:t>2.</w:t>
      </w:r>
      <w:r>
        <w:rPr>
          <w:color w:val="000000"/>
          <w:sz w:val="24"/>
        </w:rPr>
        <w:t>投标单位必须详细根据施工图纸内容及现场可预见项目进行计算</w:t>
      </w:r>
      <w:r>
        <w:rPr>
          <w:bCs/>
          <w:color w:val="000000"/>
          <w:sz w:val="24"/>
        </w:rPr>
        <w:t>。若投标人对工程量清单中的工程子项及其工程量有异议，则应在接到工程量清单后</w:t>
      </w:r>
      <w:r>
        <w:rPr>
          <w:rFonts w:hint="eastAsia"/>
          <w:bCs/>
          <w:color w:val="000000"/>
          <w:sz w:val="24"/>
        </w:rPr>
        <w:t>答疑期限</w:t>
      </w:r>
      <w:r>
        <w:rPr>
          <w:bCs/>
          <w:color w:val="000000"/>
          <w:sz w:val="24"/>
        </w:rPr>
        <w:t>内提出。</w:t>
      </w:r>
      <w:r>
        <w:rPr>
          <w:color w:val="000000"/>
          <w:sz w:val="24"/>
        </w:rPr>
        <w:t>若在工程量清单</w:t>
      </w:r>
      <w:r>
        <w:rPr>
          <w:rFonts w:hint="eastAsia"/>
          <w:color w:val="000000"/>
          <w:sz w:val="24"/>
        </w:rPr>
        <w:t>答疑期限</w:t>
      </w:r>
      <w:r>
        <w:rPr>
          <w:color w:val="000000"/>
          <w:sz w:val="24"/>
        </w:rPr>
        <w:t>内，投标人未能提出异议，则视为投标人已完全接受该工程量清单，且招标人认为投标人的投标报价已包含了工程施工图纸中与本次招标相关的全部内容</w:t>
      </w:r>
      <w:r>
        <w:rPr>
          <w:rFonts w:hint="eastAsia"/>
          <w:color w:val="000000"/>
          <w:sz w:val="24"/>
        </w:rPr>
        <w:t>（</w:t>
      </w:r>
      <w:r>
        <w:rPr>
          <w:color w:val="000000"/>
          <w:sz w:val="24"/>
        </w:rPr>
        <w:t>施工期间可能发生的工程设计变更、现场签证除外）。</w:t>
      </w:r>
    </w:p>
    <w:p w14:paraId="02D5CCCA">
      <w:pPr>
        <w:spacing w:line="360" w:lineRule="auto"/>
        <w:ind w:firstLine="480" w:firstLineChars="200"/>
        <w:rPr>
          <w:rFonts w:ascii="宋体" w:hAnsi="宋体"/>
          <w:sz w:val="24"/>
        </w:rPr>
      </w:pPr>
      <w:r>
        <w:rPr>
          <w:rFonts w:ascii="宋体" w:hAnsi="宋体"/>
          <w:sz w:val="24"/>
        </w:rPr>
        <w:t>3.</w:t>
      </w:r>
      <w:r>
        <w:rPr>
          <w:rFonts w:hint="eastAsia" w:ascii="宋体" w:hAnsi="宋体"/>
          <w:sz w:val="24"/>
        </w:rPr>
        <w:t>工程量清单中的每一个</w:t>
      </w:r>
      <w:r>
        <w:rPr>
          <w:rFonts w:hint="eastAsia" w:ascii="宋体" w:hAnsi="宋体"/>
          <w:sz w:val="24"/>
          <w:lang w:val="en-US" w:eastAsia="zh-CN"/>
        </w:rPr>
        <w:t>子</w:t>
      </w:r>
      <w:r>
        <w:rPr>
          <w:rFonts w:hint="eastAsia" w:ascii="宋体" w:hAnsi="宋体"/>
          <w:sz w:val="24"/>
        </w:rPr>
        <w:t>目，都须填入单价及合价。清单中未填入的</w:t>
      </w:r>
      <w:r>
        <w:rPr>
          <w:rFonts w:hint="eastAsia" w:ascii="宋体" w:hAnsi="宋体"/>
          <w:sz w:val="24"/>
          <w:lang w:val="en-US" w:eastAsia="zh-CN"/>
        </w:rPr>
        <w:t>子</w:t>
      </w:r>
      <w:r>
        <w:rPr>
          <w:rFonts w:hint="eastAsia" w:ascii="宋体" w:hAnsi="宋体"/>
          <w:sz w:val="24"/>
        </w:rPr>
        <w:t>目，则视为投标人让利，结算时不予计入。</w:t>
      </w:r>
    </w:p>
    <w:p w14:paraId="0F340C06">
      <w:pPr>
        <w:spacing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lang w:val="en-US" w:eastAsia="zh-CN"/>
        </w:rPr>
        <w:t>若投标人有不平衡报价的单项产生了做法或材质变更，结算价格以清单控制价的单价为基准来调整</w:t>
      </w:r>
      <w:r>
        <w:rPr>
          <w:rFonts w:hint="eastAsia" w:ascii="宋体" w:hAnsi="宋体"/>
          <w:sz w:val="24"/>
        </w:rPr>
        <w:t>。</w:t>
      </w:r>
    </w:p>
    <w:p w14:paraId="6B847948">
      <w:pPr>
        <w:spacing w:line="360" w:lineRule="auto"/>
        <w:ind w:firstLine="480" w:firstLineChars="200"/>
        <w:rPr>
          <w:rFonts w:ascii="宋体" w:hAnsi="宋体"/>
          <w:sz w:val="24"/>
        </w:rPr>
      </w:pPr>
      <w:r>
        <w:rPr>
          <w:rFonts w:hint="eastAsia" w:ascii="宋体" w:hAnsi="宋体"/>
          <w:sz w:val="24"/>
        </w:rPr>
        <w:t>5.投标人必须认真阅读招标人的技术要求，对于材料、设备配件及技术要求应在报价时综合考虑，一旦报价则视为认可招标人要求，其价格变化不再调整。</w:t>
      </w:r>
    </w:p>
    <w:p w14:paraId="68630F72">
      <w:pPr>
        <w:spacing w:line="360" w:lineRule="auto"/>
        <w:ind w:firstLine="480" w:firstLineChars="200"/>
        <w:rPr>
          <w:rFonts w:hint="eastAsia"/>
          <w:bCs/>
          <w:sz w:val="24"/>
        </w:rPr>
      </w:pPr>
      <w:bookmarkStart w:id="0" w:name="OLE_LINK1"/>
      <w:bookmarkStart w:id="1" w:name="OLE_LINK2"/>
      <w:r>
        <w:rPr>
          <w:rFonts w:hint="eastAsia" w:ascii="宋体" w:hAnsi="宋体"/>
          <w:sz w:val="24"/>
          <w:lang w:val="en-US" w:eastAsia="zh-CN"/>
        </w:rPr>
        <w:t>6</w:t>
      </w:r>
      <w:r>
        <w:rPr>
          <w:rFonts w:hint="eastAsia" w:ascii="宋体" w:hAnsi="宋体"/>
          <w:sz w:val="24"/>
        </w:rPr>
        <w:t>.</w:t>
      </w:r>
      <w:r>
        <w:rPr>
          <w:sz w:val="24"/>
        </w:rPr>
        <w:t>清单综合单价</w:t>
      </w:r>
      <w:r>
        <w:rPr>
          <w:rFonts w:hint="eastAsia"/>
          <w:sz w:val="24"/>
        </w:rPr>
        <w:t>包括</w:t>
      </w:r>
      <w:r>
        <w:rPr>
          <w:sz w:val="24"/>
        </w:rPr>
        <w:t>人工费、</w:t>
      </w:r>
      <w:r>
        <w:rPr>
          <w:rFonts w:hint="eastAsia"/>
          <w:sz w:val="24"/>
        </w:rPr>
        <w:t>主材、辅材及材料损耗费</w:t>
      </w:r>
      <w:r>
        <w:rPr>
          <w:sz w:val="24"/>
        </w:rPr>
        <w:t>、机械费、管理费、利润及</w:t>
      </w:r>
      <w:r>
        <w:rPr>
          <w:rFonts w:hint="eastAsia" w:ascii="宋体" w:hAnsi="宋体"/>
          <w:sz w:val="24"/>
        </w:rPr>
        <w:t>风险</w:t>
      </w:r>
      <w:r>
        <w:rPr>
          <w:rFonts w:hint="eastAsia" w:ascii="宋体" w:hAnsi="宋体"/>
          <w:sz w:val="24"/>
          <w:lang w:eastAsia="zh-CN"/>
        </w:rPr>
        <w:t>、</w:t>
      </w:r>
      <w:r>
        <w:rPr>
          <w:rFonts w:hint="eastAsia" w:ascii="宋体" w:hAnsi="宋体"/>
          <w:sz w:val="24"/>
          <w:lang w:val="en-US" w:eastAsia="zh-CN"/>
        </w:rPr>
        <w:t>社会保险费</w:t>
      </w:r>
      <w:r>
        <w:rPr>
          <w:rFonts w:hint="eastAsia" w:ascii="宋体" w:hAnsi="宋体"/>
          <w:sz w:val="24"/>
        </w:rPr>
        <w:t>费等达到图纸、招标人的技术要求所需的一切费用</w:t>
      </w:r>
      <w:r>
        <w:rPr>
          <w:bCs/>
          <w:sz w:val="24"/>
        </w:rPr>
        <w:t>（特别应充分考虑施工期间人工、材料、机械等价格上涨可能带来的各项风险因素，以后不再调整）。投标报价优惠应体现在综合单价中，不得汇总报价后再进行优惠下浮</w:t>
      </w:r>
      <w:r>
        <w:rPr>
          <w:rFonts w:hint="eastAsia"/>
          <w:bCs/>
          <w:sz w:val="24"/>
        </w:rPr>
        <w:t>。</w:t>
      </w:r>
    </w:p>
    <w:p w14:paraId="012A92ED">
      <w:pPr>
        <w:spacing w:line="360" w:lineRule="auto"/>
        <w:ind w:firstLine="480" w:firstLineChars="200"/>
        <w:rPr>
          <w:rFonts w:hint="eastAsia" w:ascii="宋体" w:hAnsi="宋体" w:eastAsia="宋体"/>
          <w:sz w:val="24"/>
        </w:rPr>
      </w:pPr>
      <w:r>
        <w:rPr>
          <w:rFonts w:hint="eastAsia" w:ascii="宋体" w:hAnsi="宋体"/>
          <w:sz w:val="24"/>
          <w:lang w:val="en-US" w:eastAsia="zh-CN"/>
        </w:rPr>
        <w:t>7</w:t>
      </w:r>
      <w:r>
        <w:rPr>
          <w:rFonts w:hint="eastAsia" w:ascii="宋体" w:hAnsi="宋体"/>
          <w:sz w:val="24"/>
        </w:rPr>
        <w:t>.</w:t>
      </w:r>
      <w:r>
        <w:rPr>
          <w:rFonts w:hint="eastAsia" w:ascii="宋体" w:hAnsi="宋体" w:eastAsia="宋体"/>
          <w:sz w:val="24"/>
          <w:lang w:val="en-US" w:eastAsia="zh-CN"/>
        </w:rPr>
        <w:t>本工程中使用的石材、块料均已综合考虑了因规格偏大或偏小，地面排版不同而产生的损耗等，投标人应在投标报价时综合考虑；所有石材、块料各分部分项的工作内容均包含开槽、开孔、倒角、磨异形边、六面防护、石材结晶、面砖酸洗打蜡等特殊加工内容，投标人应在投标报价时综合考虑；</w:t>
      </w:r>
    </w:p>
    <w:p w14:paraId="23A65A7B">
      <w:pPr>
        <w:spacing w:line="360" w:lineRule="auto"/>
        <w:ind w:firstLine="480" w:firstLineChars="200"/>
        <w:rPr>
          <w:rFonts w:ascii="宋体" w:hAnsi="宋体"/>
          <w:sz w:val="24"/>
        </w:rPr>
      </w:pPr>
      <w:r>
        <w:rPr>
          <w:rFonts w:hint="eastAsia" w:ascii="宋体" w:hAnsi="宋体"/>
          <w:sz w:val="24"/>
          <w:lang w:val="en-US" w:eastAsia="zh-CN"/>
        </w:rPr>
        <w:t>8</w:t>
      </w:r>
      <w:r>
        <w:rPr>
          <w:rFonts w:hint="eastAsia" w:ascii="宋体" w:hAnsi="宋体"/>
          <w:sz w:val="24"/>
        </w:rPr>
        <w:t>.本工程报价时应充分考虑工程施工过程中所发生的材料检测费、材料采购保管费、二次搬运费、临时设施费、成品保护费、</w:t>
      </w:r>
      <w:r>
        <w:rPr>
          <w:rFonts w:hint="eastAsia" w:ascii="宋体" w:hAnsi="宋体"/>
          <w:sz w:val="24"/>
          <w:lang w:val="en-US" w:eastAsia="zh-CN"/>
        </w:rPr>
        <w:t>地下暗室内作增加费、</w:t>
      </w:r>
      <w:r>
        <w:rPr>
          <w:rFonts w:hint="eastAsia" w:ascii="宋体" w:hAnsi="宋体"/>
          <w:sz w:val="24"/>
        </w:rPr>
        <w:t>竣工卫生清理费、水费、电费等所有可能发生的费用。</w:t>
      </w:r>
    </w:p>
    <w:p w14:paraId="63FCF538">
      <w:pPr>
        <w:spacing w:line="360" w:lineRule="auto"/>
        <w:ind w:firstLine="480" w:firstLineChars="200"/>
        <w:rPr>
          <w:rFonts w:hint="eastAsia" w:ascii="宋体" w:hAnsi="宋体" w:eastAsia="宋体"/>
          <w:sz w:val="24"/>
        </w:rPr>
      </w:pPr>
      <w:r>
        <w:rPr>
          <w:rFonts w:hint="eastAsia" w:ascii="宋体" w:hAnsi="宋体"/>
          <w:sz w:val="24"/>
          <w:lang w:val="en-US" w:eastAsia="zh-CN"/>
        </w:rPr>
        <w:t>9</w:t>
      </w:r>
      <w:r>
        <w:rPr>
          <w:rFonts w:hint="eastAsia" w:ascii="宋体" w:hAnsi="宋体" w:eastAsia="宋体"/>
          <w:sz w:val="24"/>
        </w:rPr>
        <w:t>.</w:t>
      </w:r>
      <w:r>
        <w:rPr>
          <w:rFonts w:hint="eastAsia"/>
          <w:b w:val="0"/>
          <w:bCs w:val="0"/>
          <w:sz w:val="24"/>
          <w:szCs w:val="24"/>
          <w:highlight w:val="none"/>
          <w:lang w:val="en-US" w:eastAsia="zh-CN"/>
        </w:rPr>
        <w:t>变更导致实际完成的工程量超过已标价工程量清单工程量15%的，招标人有权将实际完成的工程量超过已标价工程量清单工程量15%以外部分单价重新组价</w:t>
      </w:r>
      <w:r>
        <w:rPr>
          <w:rFonts w:hint="eastAsia" w:ascii="宋体" w:hAnsi="宋体" w:eastAsia="宋体"/>
          <w:sz w:val="24"/>
        </w:rPr>
        <w:t>。</w:t>
      </w:r>
    </w:p>
    <w:p w14:paraId="43D7DA1F">
      <w:pPr>
        <w:tabs>
          <w:tab w:val="left" w:pos="993"/>
        </w:tabs>
        <w:spacing w:line="360" w:lineRule="auto"/>
        <w:ind w:firstLine="480" w:firstLineChars="200"/>
        <w:rPr>
          <w:rFonts w:ascii="宋体" w:hAnsi="宋体"/>
          <w:sz w:val="24"/>
        </w:rPr>
      </w:pPr>
      <w:r>
        <w:rPr>
          <w:rFonts w:hint="eastAsia" w:ascii="宋体" w:hAnsi="宋体"/>
          <w:sz w:val="24"/>
          <w:lang w:val="en-US" w:eastAsia="zh-CN"/>
        </w:rPr>
        <w:t>10</w:t>
      </w:r>
      <w:r>
        <w:rPr>
          <w:rFonts w:hint="eastAsia" w:ascii="宋体" w:hAnsi="宋体"/>
          <w:sz w:val="24"/>
        </w:rPr>
        <w:t>.因施工工艺、施工机械、施工措施等情况发生的变化，均不调整投标单价。</w:t>
      </w:r>
    </w:p>
    <w:p w14:paraId="63B0B56C">
      <w:pPr>
        <w:tabs>
          <w:tab w:val="left" w:pos="993"/>
        </w:tabs>
        <w:spacing w:line="360" w:lineRule="auto"/>
        <w:ind w:firstLine="480" w:firstLineChars="200"/>
        <w:rPr>
          <w:rFonts w:ascii="宋体" w:hAnsi="宋体"/>
          <w:sz w:val="24"/>
        </w:rPr>
      </w:pPr>
      <w:r>
        <w:rPr>
          <w:rFonts w:ascii="宋体" w:hAnsi="宋体"/>
          <w:sz w:val="24"/>
        </w:rPr>
        <w:t>1</w:t>
      </w:r>
      <w:r>
        <w:rPr>
          <w:rFonts w:hint="eastAsia" w:ascii="宋体" w:hAnsi="宋体"/>
          <w:sz w:val="24"/>
          <w:lang w:val="en-US" w:eastAsia="zh-CN"/>
        </w:rPr>
        <w:t>1</w:t>
      </w:r>
      <w:bookmarkEnd w:id="0"/>
      <w:bookmarkEnd w:id="1"/>
      <w:r>
        <w:rPr>
          <w:rFonts w:hint="eastAsia" w:ascii="宋体" w:hAnsi="宋体"/>
          <w:sz w:val="24"/>
        </w:rPr>
        <w:t>.建设项目工伤保险按相应费率计取，结算时</w:t>
      </w:r>
      <w:r>
        <w:rPr>
          <w:rFonts w:hint="eastAsia" w:ascii="宋体" w:hAnsi="宋体"/>
          <w:sz w:val="24"/>
          <w:lang w:val="en-US" w:eastAsia="zh-CN"/>
        </w:rPr>
        <w:t>按实</w:t>
      </w:r>
      <w:r>
        <w:rPr>
          <w:rFonts w:hint="eastAsia" w:ascii="宋体" w:hAnsi="宋体"/>
          <w:sz w:val="24"/>
        </w:rPr>
        <w:t>调整。</w:t>
      </w:r>
    </w:p>
    <w:p w14:paraId="56FAB516">
      <w:pPr>
        <w:pStyle w:val="8"/>
        <w:numPr>
          <w:ilvl w:val="3"/>
          <w:numId w:val="2"/>
        </w:numPr>
        <w:tabs>
          <w:tab w:val="left" w:pos="567"/>
          <w:tab w:val="left" w:pos="1134"/>
        </w:tabs>
        <w:spacing w:before="156" w:beforeLines="50" w:line="360" w:lineRule="auto"/>
        <w:ind w:left="1276" w:firstLineChars="0"/>
        <w:outlineLvl w:val="0"/>
        <w:rPr>
          <w:rFonts w:ascii="宋体" w:hAnsi="宋体"/>
          <w:b/>
          <w:sz w:val="24"/>
        </w:rPr>
      </w:pPr>
      <w:r>
        <w:rPr>
          <w:rFonts w:hint="eastAsia" w:ascii="宋体" w:hAnsi="宋体"/>
          <w:b/>
          <w:sz w:val="24"/>
        </w:rPr>
        <w:t xml:space="preserve">各专业情况说明       </w:t>
      </w:r>
    </w:p>
    <w:p w14:paraId="0577D797">
      <w:pPr>
        <w:spacing w:line="360" w:lineRule="auto"/>
        <w:ind w:firstLine="480" w:firstLineChars="200"/>
        <w:rPr>
          <w:rFonts w:ascii="宋体" w:hAnsi="宋体"/>
          <w:sz w:val="24"/>
        </w:rPr>
      </w:pPr>
      <w:r>
        <w:rPr>
          <w:rFonts w:hint="eastAsia" w:ascii="宋体" w:hAnsi="宋体"/>
          <w:sz w:val="24"/>
        </w:rPr>
        <w:t>1）</w:t>
      </w:r>
      <w:r>
        <w:rPr>
          <w:rFonts w:hint="eastAsia" w:ascii="宋体" w:hAnsi="宋体" w:eastAsia="宋体" w:cs="宋体"/>
          <w:sz w:val="24"/>
          <w:szCs w:val="24"/>
          <w:highlight w:val="none"/>
          <w:lang w:val="en-US" w:eastAsia="zh-CN"/>
        </w:rPr>
        <w:t>垃圾外运及处置费</w:t>
      </w:r>
      <w:r>
        <w:rPr>
          <w:rFonts w:hint="eastAsia" w:ascii="宋体" w:hAnsi="宋体" w:cs="宋体"/>
          <w:sz w:val="24"/>
          <w:szCs w:val="24"/>
          <w:highlight w:val="none"/>
          <w:lang w:val="en-US" w:eastAsia="zh-CN"/>
        </w:rPr>
        <w:t>含在综合单价中</w:t>
      </w:r>
      <w:r>
        <w:rPr>
          <w:rFonts w:hint="eastAsia" w:ascii="宋体" w:hAnsi="宋体" w:eastAsia="宋体" w:cs="宋体"/>
          <w:sz w:val="24"/>
          <w:szCs w:val="24"/>
          <w:highlight w:val="none"/>
          <w:lang w:val="en-US" w:eastAsia="zh-CN"/>
        </w:rPr>
        <w:t>，结算时不在单独记取</w:t>
      </w:r>
      <w:r>
        <w:rPr>
          <w:rFonts w:hint="eastAsia" w:ascii="宋体" w:hAnsi="宋体"/>
          <w:sz w:val="24"/>
        </w:rPr>
        <w:t>。</w:t>
      </w:r>
    </w:p>
    <w:p w14:paraId="6F24406B">
      <w:pPr>
        <w:spacing w:line="360" w:lineRule="auto"/>
        <w:ind w:firstLine="480" w:firstLineChars="200"/>
        <w:rPr>
          <w:rFonts w:ascii="宋体" w:hAnsi="宋体"/>
          <w:sz w:val="24"/>
        </w:rPr>
      </w:pPr>
      <w:r>
        <w:rPr>
          <w:rFonts w:hint="eastAsia" w:ascii="宋体" w:hAnsi="宋体"/>
          <w:sz w:val="24"/>
        </w:rPr>
        <w:t>2）本工程所用混凝土均按照商品混凝土考虑。投标人应按照清单特征描述及满足设计要求条件下报价，同时需综合混凝土输送（无论地泵、车泵或其他输送方式）的各项费用。</w:t>
      </w:r>
    </w:p>
    <w:p w14:paraId="24704125">
      <w:pPr>
        <w:spacing w:line="360" w:lineRule="auto"/>
        <w:ind w:firstLine="480" w:firstLineChars="200"/>
        <w:rPr>
          <w:rFonts w:ascii="宋体" w:hAnsi="宋体"/>
          <w:sz w:val="24"/>
        </w:rPr>
      </w:pPr>
      <w:r>
        <w:rPr>
          <w:rFonts w:ascii="宋体" w:hAnsi="宋体"/>
          <w:sz w:val="24"/>
        </w:rPr>
        <w:t>3</w:t>
      </w:r>
      <w:r>
        <w:rPr>
          <w:rFonts w:hint="eastAsia" w:ascii="宋体" w:hAnsi="宋体"/>
          <w:sz w:val="24"/>
        </w:rPr>
        <w:t>）本工程所用各类砂浆均按预拌砂浆考虑，不因特征描述中是否换算而影响。投标人应按照清单中描述的砂浆标号与设计要求的预拌砂浆规范等级对应关系进行报价。</w:t>
      </w:r>
    </w:p>
    <w:p w14:paraId="145A8563">
      <w:pPr>
        <w:spacing w:line="360" w:lineRule="auto"/>
        <w:ind w:firstLine="480" w:firstLineChars="200"/>
        <w:rPr>
          <w:rFonts w:hint="eastAsia" w:ascii="宋体" w:hAnsi="宋体"/>
          <w:sz w:val="24"/>
          <w:lang w:eastAsia="zh-CN"/>
        </w:rPr>
      </w:pPr>
      <w:r>
        <w:rPr>
          <w:rFonts w:hint="eastAsia" w:ascii="宋体" w:hAnsi="宋体"/>
          <w:sz w:val="24"/>
          <w:lang w:val="en-US" w:eastAsia="zh-CN"/>
        </w:rPr>
        <w:t>4</w:t>
      </w:r>
      <w:r>
        <w:rPr>
          <w:rFonts w:hint="eastAsia" w:ascii="宋体" w:hAnsi="宋体"/>
          <w:sz w:val="24"/>
        </w:rPr>
        <w:t>）本工程所有拆除</w:t>
      </w:r>
      <w:r>
        <w:rPr>
          <w:rFonts w:hint="eastAsia" w:ascii="宋体" w:hAnsi="宋体"/>
          <w:sz w:val="24"/>
          <w:lang w:eastAsia="zh-CN"/>
        </w:rPr>
        <w:t>、</w:t>
      </w:r>
      <w:r>
        <w:rPr>
          <w:rFonts w:hint="eastAsia" w:ascii="宋体" w:hAnsi="宋体"/>
          <w:sz w:val="24"/>
          <w:lang w:val="en-US" w:eastAsia="zh-CN"/>
        </w:rPr>
        <w:t>加固</w:t>
      </w:r>
      <w:r>
        <w:rPr>
          <w:rFonts w:hint="eastAsia" w:ascii="宋体" w:hAnsi="宋体"/>
          <w:sz w:val="24"/>
        </w:rPr>
        <w:t>工程</w:t>
      </w:r>
      <w:r>
        <w:rPr>
          <w:rFonts w:hint="eastAsia" w:ascii="宋体" w:hAnsi="宋体"/>
          <w:sz w:val="24"/>
          <w:lang w:val="en-US" w:eastAsia="zh-CN"/>
        </w:rPr>
        <w:t>，</w:t>
      </w:r>
      <w:r>
        <w:rPr>
          <w:rFonts w:hint="eastAsia" w:ascii="宋体" w:hAnsi="宋体"/>
          <w:sz w:val="24"/>
        </w:rPr>
        <w:t>投标单位应自行踏勘现场，垃圾外运运距</w:t>
      </w:r>
      <w:r>
        <w:rPr>
          <w:rFonts w:hint="eastAsia" w:ascii="宋体" w:hAnsi="宋体"/>
          <w:sz w:val="24"/>
          <w:lang w:eastAsia="zh-CN"/>
        </w:rPr>
        <w:t>、</w:t>
      </w:r>
      <w:r>
        <w:rPr>
          <w:rFonts w:hint="eastAsia" w:ascii="宋体" w:hAnsi="宋体"/>
          <w:sz w:val="24"/>
          <w:lang w:val="en-US" w:eastAsia="zh-CN"/>
        </w:rPr>
        <w:t>各项措施费用等</w:t>
      </w:r>
      <w:r>
        <w:rPr>
          <w:rFonts w:hint="eastAsia" w:ascii="宋体" w:hAnsi="宋体"/>
          <w:sz w:val="24"/>
        </w:rPr>
        <w:t>综合考虑</w:t>
      </w:r>
      <w:r>
        <w:rPr>
          <w:rFonts w:hint="eastAsia" w:ascii="宋体" w:hAnsi="宋体"/>
          <w:sz w:val="24"/>
          <w:lang w:eastAsia="zh-CN"/>
        </w:rPr>
        <w:t>，</w:t>
      </w:r>
      <w:r>
        <w:rPr>
          <w:rFonts w:hint="eastAsia" w:ascii="宋体" w:hAnsi="宋体"/>
          <w:sz w:val="24"/>
        </w:rPr>
        <w:t>结算不再调整</w:t>
      </w:r>
      <w:r>
        <w:rPr>
          <w:rFonts w:hint="eastAsia" w:ascii="宋体" w:hAnsi="宋体"/>
          <w:sz w:val="24"/>
          <w:lang w:eastAsia="zh-CN"/>
        </w:rPr>
        <w:t>。</w:t>
      </w:r>
    </w:p>
    <w:p w14:paraId="2EBA4A72">
      <w:pPr>
        <w:spacing w:line="360" w:lineRule="auto"/>
        <w:ind w:firstLine="480" w:firstLineChars="200"/>
        <w:rPr>
          <w:rFonts w:hint="eastAsia" w:ascii="宋体" w:hAnsi="宋体" w:cs="宋体"/>
          <w:sz w:val="24"/>
        </w:rPr>
      </w:pPr>
      <w:r>
        <w:rPr>
          <w:rFonts w:hint="eastAsia" w:ascii="宋体" w:hAnsi="宋体"/>
          <w:sz w:val="24"/>
          <w:lang w:val="en-US" w:eastAsia="zh-CN"/>
        </w:rPr>
        <w:t>5）拆除、加固工程量为暂估量，结算时根据现场实际发生，按实调整。</w:t>
      </w:r>
    </w:p>
    <w:p w14:paraId="4ACC944E">
      <w:pPr>
        <w:pStyle w:val="5"/>
        <w:widowControl/>
        <w:spacing w:beforeAutospacing="0" w:afterAutospacing="0" w:line="360" w:lineRule="auto"/>
        <w:ind w:firstLine="480" w:firstLineChars="200"/>
        <w:jc w:val="both"/>
        <w:rPr>
          <w:rFonts w:hint="eastAsia" w:ascii="宋体" w:hAnsi="宋体" w:cs="宋体"/>
          <w:color w:val="auto"/>
          <w:szCs w:val="24"/>
          <w:highlight w:val="none"/>
          <w:lang w:val="en-US" w:eastAsia="zh-CN"/>
        </w:rPr>
      </w:pPr>
      <w:r>
        <w:rPr>
          <w:rFonts w:hint="eastAsia" w:ascii="宋体" w:hAnsi="宋体" w:cs="宋体"/>
          <w:color w:val="auto"/>
          <w:szCs w:val="24"/>
          <w:highlight w:val="none"/>
          <w:lang w:val="en-US" w:eastAsia="zh-CN"/>
        </w:rPr>
        <w:t>6）给水管道施工立管至每层三通分支阀门处，层水平管道及卫生洁具不在本次范围内，排水管道施工至末端排水点位。</w:t>
      </w:r>
    </w:p>
    <w:p w14:paraId="7D0D39E1">
      <w:pPr>
        <w:pStyle w:val="5"/>
        <w:widowControl/>
        <w:spacing w:beforeAutospacing="0" w:afterAutospacing="0" w:line="360" w:lineRule="auto"/>
        <w:ind w:firstLine="480" w:firstLineChars="200"/>
        <w:jc w:val="both"/>
        <w:rPr>
          <w:rFonts w:hint="eastAsia" w:ascii="宋体" w:hAnsi="宋体" w:cs="宋体"/>
          <w:color w:val="auto"/>
          <w:szCs w:val="24"/>
          <w:highlight w:val="none"/>
          <w:lang w:val="en-US" w:eastAsia="zh-CN"/>
        </w:rPr>
      </w:pPr>
      <w:r>
        <w:rPr>
          <w:rFonts w:hint="eastAsia" w:ascii="宋体" w:hAnsi="宋体" w:cs="宋体"/>
          <w:color w:val="auto"/>
          <w:szCs w:val="24"/>
          <w:highlight w:val="none"/>
          <w:lang w:val="en-US" w:eastAsia="zh-CN"/>
        </w:rPr>
        <w:t>7）电气工程施工至层配电箱。</w:t>
      </w:r>
    </w:p>
    <w:p w14:paraId="71345418">
      <w:pPr>
        <w:pStyle w:val="5"/>
        <w:widowControl/>
        <w:spacing w:beforeAutospacing="0" w:afterAutospacing="0" w:line="360" w:lineRule="auto"/>
        <w:ind w:firstLine="480" w:firstLineChars="200"/>
        <w:jc w:val="both"/>
        <w:rPr>
          <w:rFonts w:hint="eastAsia" w:ascii="宋体" w:hAnsi="宋体" w:cs="宋体"/>
          <w:color w:val="auto"/>
          <w:szCs w:val="24"/>
          <w:highlight w:val="none"/>
          <w:lang w:val="en-US" w:eastAsia="zh-CN"/>
        </w:rPr>
      </w:pPr>
      <w:r>
        <w:rPr>
          <w:rFonts w:hint="eastAsia" w:ascii="宋体" w:hAnsi="宋体" w:cs="宋体"/>
          <w:color w:val="auto"/>
          <w:szCs w:val="24"/>
          <w:highlight w:val="none"/>
          <w:lang w:val="en-US" w:eastAsia="zh-CN"/>
        </w:rPr>
        <w:t>8）暖通工程不在本次招标范围内。</w:t>
      </w:r>
    </w:p>
    <w:p w14:paraId="18352E1C">
      <w:pPr>
        <w:pStyle w:val="5"/>
        <w:widowControl/>
        <w:spacing w:beforeAutospacing="0" w:afterAutospacing="0" w:line="360" w:lineRule="auto"/>
        <w:ind w:firstLine="480" w:firstLineChars="200"/>
        <w:jc w:val="both"/>
        <w:rPr>
          <w:rFonts w:hint="eastAsia" w:ascii="宋体" w:hAnsi="宋体" w:cs="宋体"/>
          <w:color w:val="auto"/>
          <w:szCs w:val="24"/>
          <w:highlight w:val="none"/>
          <w:lang w:val="en-US" w:eastAsia="zh-CN"/>
        </w:rPr>
      </w:pPr>
      <w:r>
        <w:rPr>
          <w:rFonts w:hint="eastAsia" w:ascii="宋体" w:hAnsi="宋体" w:cs="宋体"/>
          <w:color w:val="auto"/>
          <w:szCs w:val="24"/>
          <w:highlight w:val="none"/>
          <w:lang w:val="en-US" w:eastAsia="zh-CN"/>
        </w:rPr>
        <w:t>9）消防工程全部施工。</w:t>
      </w:r>
    </w:p>
    <w:p w14:paraId="193620E4">
      <w:pPr>
        <w:pStyle w:val="5"/>
        <w:widowControl/>
        <w:spacing w:beforeAutospacing="0" w:afterAutospacing="0" w:line="360" w:lineRule="auto"/>
        <w:ind w:firstLine="480" w:firstLineChars="200"/>
        <w:jc w:val="both"/>
        <w:rPr>
          <w:rFonts w:hint="eastAsia" w:ascii="宋体" w:hAnsi="宋体" w:cs="宋体"/>
          <w:color w:val="auto"/>
          <w:szCs w:val="24"/>
          <w:highlight w:val="none"/>
          <w:lang w:val="en-US" w:eastAsia="zh-CN"/>
        </w:rPr>
      </w:pPr>
      <w:r>
        <w:rPr>
          <w:rFonts w:hint="eastAsia" w:ascii="宋体" w:hAnsi="宋体" w:cs="宋体"/>
          <w:color w:val="auto"/>
          <w:szCs w:val="24"/>
          <w:highlight w:val="none"/>
          <w:lang w:val="en-US" w:eastAsia="zh-CN"/>
        </w:rPr>
        <w:t>10）图纸设计需二次深化设计的均不在本次招标范围。</w:t>
      </w:r>
    </w:p>
    <w:p w14:paraId="2FB5CF55">
      <w:pPr>
        <w:pStyle w:val="5"/>
        <w:widowControl/>
        <w:tabs>
          <w:tab w:val="left" w:pos="2310"/>
        </w:tabs>
        <w:spacing w:beforeAutospacing="0" w:afterAutospacing="0" w:line="360" w:lineRule="auto"/>
        <w:ind w:firstLine="480" w:firstLineChars="200"/>
        <w:jc w:val="both"/>
        <w:rPr>
          <w:rFonts w:hint="default" w:ascii="宋体" w:hAnsi="宋体" w:cs="宋体"/>
          <w:color w:val="auto"/>
          <w:szCs w:val="24"/>
          <w:highlight w:val="yellow"/>
          <w:lang w:val="en-US" w:eastAsia="zh-CN"/>
        </w:rPr>
      </w:pPr>
      <w:r>
        <w:rPr>
          <w:rFonts w:hint="eastAsia" w:ascii="宋体" w:hAnsi="宋体"/>
          <w:sz w:val="24"/>
          <w:lang w:val="en-US" w:eastAsia="zh-CN"/>
        </w:rPr>
        <w:t>11</w:t>
      </w:r>
      <w:r>
        <w:rPr>
          <w:rFonts w:hint="eastAsia" w:ascii="宋体" w:hAnsi="宋体"/>
          <w:sz w:val="24"/>
        </w:rPr>
        <w:t>）</w:t>
      </w:r>
      <w:r>
        <w:rPr>
          <w:rFonts w:hint="eastAsia" w:ascii="宋体" w:hAnsi="宋体" w:cs="宋体"/>
          <w:sz w:val="24"/>
        </w:rPr>
        <w:t>清单描述未详的，参照设计图纸及现场情况。</w:t>
      </w:r>
    </w:p>
    <w:p w14:paraId="6CC89175">
      <w:pPr>
        <w:pStyle w:val="8"/>
        <w:numPr>
          <w:ilvl w:val="0"/>
          <w:numId w:val="3"/>
        </w:numPr>
        <w:tabs>
          <w:tab w:val="left" w:pos="567"/>
          <w:tab w:val="left" w:pos="1134"/>
          <w:tab w:val="left" w:pos="2310"/>
        </w:tabs>
        <w:spacing w:before="156" w:beforeLines="50" w:line="360" w:lineRule="auto"/>
        <w:ind w:firstLineChars="0"/>
        <w:outlineLvl w:val="0"/>
        <w:rPr>
          <w:rFonts w:ascii="宋体" w:hAnsi="宋体"/>
          <w:sz w:val="24"/>
        </w:rPr>
      </w:pPr>
      <w:r>
        <w:rPr>
          <w:rFonts w:hint="eastAsia" w:ascii="宋体" w:hAnsi="宋体"/>
          <w:b/>
          <w:sz w:val="24"/>
        </w:rPr>
        <w:t xml:space="preserve">其他事项说明         </w:t>
      </w:r>
    </w:p>
    <w:p w14:paraId="0CF73F9F">
      <w:pPr>
        <w:tabs>
          <w:tab w:val="left" w:pos="2310"/>
        </w:tabs>
        <w:spacing w:line="360" w:lineRule="auto"/>
        <w:ind w:firstLine="480" w:firstLineChars="200"/>
        <w:rPr>
          <w:rFonts w:ascii="宋体" w:hAnsi="宋体"/>
          <w:sz w:val="24"/>
          <w:highlight w:val="none"/>
        </w:rPr>
      </w:pPr>
      <w:r>
        <w:rPr>
          <w:rFonts w:hint="eastAsia" w:ascii="宋体" w:hAnsi="宋体"/>
          <w:sz w:val="24"/>
          <w:highlight w:val="none"/>
          <w:lang w:val="en-US" w:eastAsia="zh-CN"/>
        </w:rPr>
        <w:t>1</w:t>
      </w:r>
      <w:r>
        <w:rPr>
          <w:rFonts w:ascii="宋体" w:hAnsi="宋体"/>
          <w:sz w:val="24"/>
          <w:highlight w:val="none"/>
        </w:rPr>
        <w:t>.</w:t>
      </w:r>
      <w:r>
        <w:rPr>
          <w:rFonts w:hint="eastAsia" w:ascii="宋体" w:hAnsi="宋体"/>
          <w:sz w:val="24"/>
          <w:highlight w:val="none"/>
        </w:rPr>
        <w:t>本工程暂列金</w:t>
      </w:r>
      <w:r>
        <w:rPr>
          <w:rFonts w:hint="eastAsia" w:ascii="宋体" w:hAnsi="宋体"/>
          <w:sz w:val="24"/>
          <w:highlight w:val="none"/>
          <w:lang w:val="en-US" w:eastAsia="zh-CN"/>
        </w:rPr>
        <w:t>金额为279359.54元，电梯专业工程暂估价为30万元整，</w:t>
      </w:r>
      <w:r>
        <w:rPr>
          <w:rFonts w:hint="eastAsia" w:ascii="宋体" w:hAnsi="宋体" w:eastAsia="宋体"/>
          <w:sz w:val="24"/>
          <w:highlight w:val="none"/>
        </w:rPr>
        <w:t>不另计取税金等任何费用</w:t>
      </w:r>
      <w:r>
        <w:rPr>
          <w:rFonts w:hint="eastAsia" w:ascii="宋体" w:hAnsi="宋体"/>
          <w:sz w:val="24"/>
          <w:highlight w:val="none"/>
        </w:rPr>
        <w:t>。</w:t>
      </w:r>
    </w:p>
    <w:p w14:paraId="528054A7">
      <w:pPr>
        <w:spacing w:line="360" w:lineRule="auto"/>
        <w:ind w:firstLine="480" w:firstLineChars="200"/>
        <w:rPr>
          <w:bCs/>
          <w:sz w:val="24"/>
        </w:rPr>
      </w:pPr>
      <w:r>
        <w:rPr>
          <w:rFonts w:hint="eastAsia" w:ascii="宋体" w:hAnsi="宋体" w:cs="宋体"/>
          <w:bCs/>
          <w:sz w:val="24"/>
          <w:lang w:val="en-US" w:eastAsia="zh-CN"/>
        </w:rPr>
        <w:t>2.</w:t>
      </w:r>
      <w:r>
        <w:rPr>
          <w:rFonts w:hint="eastAsia" w:ascii="宋体" w:hAnsi="宋体" w:cs="宋体"/>
          <w:bCs/>
          <w:sz w:val="24"/>
        </w:rPr>
        <w:t>本次招标若有工程量清单电子版则仅作参考，我公司出具并加盖公章的正式书面文本所含内容才具有法律意义上的投标价值。</w:t>
      </w:r>
    </w:p>
    <w:p w14:paraId="28C6E9C0">
      <w:pPr>
        <w:spacing w:line="360" w:lineRule="auto"/>
        <w:rPr>
          <w:rFonts w:ascii="宋体" w:hAnsi="宋体"/>
          <w:sz w:val="24"/>
        </w:rPr>
      </w:pPr>
    </w:p>
    <w:p w14:paraId="0EEB98DF">
      <w:pPr>
        <w:tabs>
          <w:tab w:val="left" w:pos="567"/>
        </w:tabs>
        <w:spacing w:line="360" w:lineRule="auto"/>
        <w:ind w:firstLine="590" w:firstLineChars="245"/>
        <w:outlineLvl w:val="0"/>
        <w:rPr>
          <w:rFonts w:ascii="宋体" w:hAnsi="宋体"/>
          <w:sz w:val="24"/>
          <w:highlight w:val="none"/>
        </w:rPr>
      </w:pPr>
      <w:r>
        <w:rPr>
          <w:rFonts w:hint="eastAsia" w:ascii="宋体" w:hAnsi="宋体"/>
          <w:b/>
          <w:sz w:val="24"/>
          <w:highlight w:val="none"/>
        </w:rPr>
        <w:t>附件</w:t>
      </w:r>
      <w:r>
        <w:rPr>
          <w:rFonts w:hint="eastAsia" w:ascii="宋体" w:hAnsi="宋体"/>
          <w:sz w:val="24"/>
          <w:highlight w:val="none"/>
        </w:rPr>
        <w:t>： 工程量清单</w:t>
      </w:r>
    </w:p>
    <w:p w14:paraId="6ED82325">
      <w:pPr>
        <w:spacing w:line="360" w:lineRule="auto"/>
        <w:rPr>
          <w:rFonts w:ascii="宋体" w:hAnsi="宋体" w:cs="宋体"/>
          <w:sz w:val="24"/>
        </w:rPr>
      </w:pPr>
    </w:p>
    <w:sectPr>
      <w:headerReference r:id="rId3" w:type="default"/>
      <w:footerReference r:id="rId4" w:type="default"/>
      <w:pgSz w:w="11906" w:h="16838"/>
      <w:pgMar w:top="1383" w:right="1689" w:bottom="1383"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雅酷黑 75W">
    <w:altName w:val="黑体"/>
    <w:panose1 w:val="00000000000000000000"/>
    <w:charset w:val="86"/>
    <w:family w:val="auto"/>
    <w:pitch w:val="default"/>
    <w:sig w:usb0="00000000" w:usb1="00000000" w:usb2="00000016" w:usb3="00000000" w:csb0="2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30D4B">
    <w:pPr>
      <w:pStyle w:val="3"/>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3BF93">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13BF93">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5</w:t>
                    </w:r>
                    <w:r>
                      <w:fldChar w:fldCharType="end"/>
                    </w:r>
                    <w:r>
                      <w:rPr>
                        <w:rFonts w:hint="eastAsia"/>
                      </w:rP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bottomMargin">
                <wp:align>top</wp:align>
              </wp:positionV>
              <wp:extent cx="5314950" cy="0"/>
              <wp:effectExtent l="0" t="4445" r="0" b="5080"/>
              <wp:wrapNone/>
              <wp:docPr id="8" name="直接连接符 8"/>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84.45pt;margin-top:773.1pt;height:0pt;width:418.5pt;mso-position-horizontal-relative:page;mso-position-vertical-relative:page;z-index:251659264;mso-width-relative:margin;mso-height-relative:page;mso-width-percent:1000;" filled="f" stroked="t" coordsize="21600,21600" o:gfxdata="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3ni19MAAAACAQAADwAA&#10;AAAAAAABACAAAAAiAAAAZHJzL2Rvd25yZXYueG1sUEsBAhQAFAAAAAgAh07iQH9BalHiAQAAsQMA&#10;AA4AAAAAAAAAAQAgAAAAIgEAAGRycy9lMm9Eb2MueG1sUEsFBgAAAAAGAAYAWQEAAHYFAAAAAA==&#10;">
              <v:fill on="f" focussize="0,0"/>
              <v:stroke color="#000000 [3213]" miterlimit="8" joinstyle="miter"/>
              <v:imagedata o:title=""/>
              <o:lock v:ext="edit" aspectratio="f"/>
            </v:line>
          </w:pict>
        </mc:Fallback>
      </mc:AlternateContent>
    </w:r>
    <w:r>
      <mc:AlternateContent>
        <mc:Choice Requires="wpg">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1117600" cy="303530"/>
              <wp:effectExtent l="0" t="0" r="0" b="0"/>
              <wp:wrapNone/>
              <wp:docPr id="5" name="组合 5"/>
              <wp:cNvGraphicFramePr/>
              <a:graphic xmlns:a="http://schemas.openxmlformats.org/drawingml/2006/main">
                <a:graphicData uri="http://schemas.microsoft.com/office/word/2010/wordprocessingGroup">
                  <wpg:wgp>
                    <wpg:cNvGrpSpPr/>
                    <wpg:grpSpPr>
                      <a:xfrm>
                        <a:off x="0" y="0"/>
                        <a:ext cx="1117600" cy="303530"/>
                        <a:chOff x="4728" y="1163"/>
                        <a:chExt cx="1760" cy="478"/>
                      </a:xfrm>
                    </wpg:grpSpPr>
                    <wps:wsp>
                      <wps:cNvPr id="6"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4748" y="1171"/>
                          <a:ext cx="1719" cy="46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4E98E8">
                            <w:pPr>
                              <w:jc w:val="center"/>
                              <w:rPr>
                                <w:rFonts w:ascii="汉仪雅酷黑 75W" w:hAnsi="汉仪雅酷黑 75W" w:eastAsia="汉仪雅酷黑 75W" w:cs="汉仪雅酷黑 75W"/>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53.65pt;margin-top:772.75pt;height:23.9pt;width:88pt;mso-position-horizontal-relative:page;mso-position-vertical-relative:page;z-index:251660288;mso-width-relative:page;mso-height-relative:page;" coordorigin="4728,1163" coordsize="1760,478" o:gfxdata="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de8+W&#10;1QAAAAQBAAAPAAAAAAAAAAEAIAAAACIAAABkcnMvZG93bnJldi54bWxQSwECFAAUAAAACACHTuJA&#10;wpkPd0EDAACfCAAADgAAAAAAAAABACAAAAAkAQAAZHJzL2Uyb0RvYy54bWxQSwUGAAAAAAYABgBZ&#10;AQAA1wYAAAAA&#10;">
              <o:lock v:ext="edit" aspectratio="f"/>
              <v:rect id="矩形 2" o:spid="_x0000_s1026" o:spt="1" style="position:absolute;left:4728;top:1163;height:478;width:1760;v-text-anchor:middle;" fillcolor="#FFFFFF [3212]" filled="t" stroked="f" coordsize="21600,21600" o:gfxdata="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3jnsvQAA&#10;ANoAAAAPAAAAAAAAAAEAIAAAACIAAABkcnMvZG93bnJldi54bWxQSwECFAAUAAAACACHTuJAMy8F&#10;njsAAAA5AAAAEAAAAAAAAAABACAAAAAMAQAAZHJzL3NoYXBleG1sLnhtbFBLBQYAAAAABgAGAFsB&#10;AAC2AwAAAAA=&#10;">
                <v:fill on="t" opacity="0f" focussize="0,0"/>
                <v:stroke on="f" weight="1pt" miterlimit="8" joinstyle="miter"/>
                <v:imagedata o:title=""/>
                <o:lock v:ext="edit" aspectratio="f"/>
              </v:rect>
              <v:shape id="文本框 3" o:spid="_x0000_s1026" o:spt="202" type="#_x0000_t202" style="position:absolute;left:4748;top:1171;height:461;width:171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A4E98E8">
                      <w:pPr>
                        <w:jc w:val="center"/>
                        <w:rPr>
                          <w:rFonts w:ascii="汉仪雅酷黑 75W" w:hAnsi="汉仪雅酷黑 75W" w:eastAsia="汉仪雅酷黑 75W" w:cs="汉仪雅酷黑 75W"/>
                        </w:rPr>
                      </w:pPr>
                    </w:p>
                  </w:txbxContent>
                </v:textbox>
              </v:shape>
            </v:group>
          </w:pict>
        </mc:Fallback>
      </mc:AlternateContent>
    </w:r>
    <w:r>
      <w:rPr>
        <w:rFonts w:hint="eastAsia"/>
      </w:rPr>
      <w:t>山东</w:t>
    </w:r>
    <w:r>
      <w:rPr>
        <w:rFonts w:hint="eastAsia"/>
        <w:lang w:val="en-US" w:eastAsia="zh-CN"/>
      </w:rPr>
      <w:t>信一</w:t>
    </w:r>
    <w:r>
      <w:rPr>
        <w:rFonts w:hint="eastAsia"/>
      </w:rPr>
      <w:t>项目管理</w:t>
    </w:r>
    <w:r>
      <w:rPr>
        <w:rFonts w:hint="eastAsia"/>
        <w:lang w:val="en-US" w:eastAsia="zh-CN"/>
      </w:rPr>
      <w:t>集团</w:t>
    </w:r>
    <w:r>
      <w:rPr>
        <w:rFonts w:hint="eastAsia"/>
      </w:rPr>
      <w:t>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432F8">
    <w:pPr>
      <w:pStyle w:val="4"/>
      <w:rPr>
        <w:rFonts w:hint="default" w:eastAsia="宋体"/>
        <w:lang w:val="en-US" w:eastAsia="zh-CN"/>
      </w:rPr>
    </w:pPr>
    <w:r>
      <w:rPr>
        <w:rFonts w:hint="eastAsia"/>
      </w:rPr>
      <w:t xml:space="preserve">                </w:t>
    </w:r>
    <w:r>
      <w:rPr>
        <w:rFonts w:hint="eastAsia"/>
        <w:lang w:val="en-US" w:eastAsia="zh-CN"/>
      </w:rPr>
      <w:t xml:space="preserve">                                              乳山市综合服务中心乙楼改造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AC2934"/>
    <w:multiLevelType w:val="multilevel"/>
    <w:tmpl w:val="0DAC2934"/>
    <w:lvl w:ilvl="0" w:tentative="0">
      <w:start w:val="7"/>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C562969"/>
    <w:multiLevelType w:val="multilevel"/>
    <w:tmpl w:val="5C562969"/>
    <w:lvl w:ilvl="0" w:tentative="0">
      <w:start w:val="1"/>
      <w:numFmt w:val="decimal"/>
      <w:lvlText w:val="%1."/>
      <w:lvlJc w:val="left"/>
      <w:pPr>
        <w:ind w:left="1271"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6"/>
      <w:numFmt w:val="japaneseCounting"/>
      <w:lvlText w:val="%4、"/>
      <w:lvlJc w:val="left"/>
      <w:pPr>
        <w:ind w:left="1980" w:hanging="720"/>
      </w:pPr>
      <w:rPr>
        <w:rFonts w:hint="default"/>
      </w:rPr>
    </w:lvl>
    <w:lvl w:ilvl="4" w:tentative="0">
      <w:start w:val="1"/>
      <w:numFmt w:val="japaneseCounting"/>
      <w:lvlText w:val="（%5）"/>
      <w:lvlJc w:val="left"/>
      <w:pPr>
        <w:ind w:left="2436" w:hanging="756"/>
      </w:pPr>
      <w:rPr>
        <w:rFonts w:hint="default"/>
      </w:r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A753D4"/>
    <w:multiLevelType w:val="multilevel"/>
    <w:tmpl w:val="75A753D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OWMxNTk1MmM4NDA1MjBhOTE1MDllOTBkNWQ1ODMifQ=="/>
  </w:docVars>
  <w:rsids>
    <w:rsidRoot w:val="00822995"/>
    <w:rsid w:val="00070BD7"/>
    <w:rsid w:val="003B1556"/>
    <w:rsid w:val="0047403A"/>
    <w:rsid w:val="005364BB"/>
    <w:rsid w:val="00577E27"/>
    <w:rsid w:val="005B05CD"/>
    <w:rsid w:val="00714BE8"/>
    <w:rsid w:val="00822995"/>
    <w:rsid w:val="008E4233"/>
    <w:rsid w:val="00A65A10"/>
    <w:rsid w:val="00D34F6A"/>
    <w:rsid w:val="00EE6D1D"/>
    <w:rsid w:val="00F25BF0"/>
    <w:rsid w:val="00FA0D6F"/>
    <w:rsid w:val="00FD17A5"/>
    <w:rsid w:val="01AA6A28"/>
    <w:rsid w:val="02AB78A7"/>
    <w:rsid w:val="02BA21E0"/>
    <w:rsid w:val="02C40969"/>
    <w:rsid w:val="02EC430E"/>
    <w:rsid w:val="034A5312"/>
    <w:rsid w:val="035F6E49"/>
    <w:rsid w:val="03945843"/>
    <w:rsid w:val="0421531A"/>
    <w:rsid w:val="04BE31D4"/>
    <w:rsid w:val="05D95643"/>
    <w:rsid w:val="06540256"/>
    <w:rsid w:val="06F55595"/>
    <w:rsid w:val="076321D2"/>
    <w:rsid w:val="076F4383"/>
    <w:rsid w:val="07A43E04"/>
    <w:rsid w:val="07CA4C73"/>
    <w:rsid w:val="07FB307F"/>
    <w:rsid w:val="080F6B2A"/>
    <w:rsid w:val="081F3AE6"/>
    <w:rsid w:val="086C0076"/>
    <w:rsid w:val="09235756"/>
    <w:rsid w:val="09891731"/>
    <w:rsid w:val="09A17C56"/>
    <w:rsid w:val="0AE04FBF"/>
    <w:rsid w:val="0C26603B"/>
    <w:rsid w:val="0CA53245"/>
    <w:rsid w:val="0D0C11CF"/>
    <w:rsid w:val="0D10782A"/>
    <w:rsid w:val="0D3A1F53"/>
    <w:rsid w:val="0E0209CB"/>
    <w:rsid w:val="0E6A2F61"/>
    <w:rsid w:val="0FF860F6"/>
    <w:rsid w:val="10A8433C"/>
    <w:rsid w:val="10C7690A"/>
    <w:rsid w:val="10E70644"/>
    <w:rsid w:val="110F1949"/>
    <w:rsid w:val="11BE2A5C"/>
    <w:rsid w:val="13347445"/>
    <w:rsid w:val="133D09EF"/>
    <w:rsid w:val="13426006"/>
    <w:rsid w:val="136B7202"/>
    <w:rsid w:val="13E457F1"/>
    <w:rsid w:val="144F19EF"/>
    <w:rsid w:val="149E708C"/>
    <w:rsid w:val="150A66AF"/>
    <w:rsid w:val="151A5541"/>
    <w:rsid w:val="15A72150"/>
    <w:rsid w:val="15C75217"/>
    <w:rsid w:val="15F01B6D"/>
    <w:rsid w:val="169756AB"/>
    <w:rsid w:val="172D3058"/>
    <w:rsid w:val="1811244B"/>
    <w:rsid w:val="181A5E08"/>
    <w:rsid w:val="18243F2C"/>
    <w:rsid w:val="1912736B"/>
    <w:rsid w:val="19964664"/>
    <w:rsid w:val="1A17021F"/>
    <w:rsid w:val="1AFC50D3"/>
    <w:rsid w:val="1B684130"/>
    <w:rsid w:val="1B8C79BD"/>
    <w:rsid w:val="1C762E11"/>
    <w:rsid w:val="1C9D605B"/>
    <w:rsid w:val="1D061E52"/>
    <w:rsid w:val="1DBD682C"/>
    <w:rsid w:val="1F4629DA"/>
    <w:rsid w:val="1FE65F6B"/>
    <w:rsid w:val="21F80FA3"/>
    <w:rsid w:val="22CB60E8"/>
    <w:rsid w:val="22CE78A8"/>
    <w:rsid w:val="22D447A0"/>
    <w:rsid w:val="235B27CC"/>
    <w:rsid w:val="246374F0"/>
    <w:rsid w:val="258828BB"/>
    <w:rsid w:val="26C86959"/>
    <w:rsid w:val="273852FE"/>
    <w:rsid w:val="27A27901"/>
    <w:rsid w:val="286F1D01"/>
    <w:rsid w:val="28904CC6"/>
    <w:rsid w:val="294A3005"/>
    <w:rsid w:val="2A0E4D42"/>
    <w:rsid w:val="2A8A490C"/>
    <w:rsid w:val="2B8A1473"/>
    <w:rsid w:val="2BE04918"/>
    <w:rsid w:val="2C043A01"/>
    <w:rsid w:val="2C5327A7"/>
    <w:rsid w:val="2C6B0F62"/>
    <w:rsid w:val="2CD05FD9"/>
    <w:rsid w:val="2D0C0DAC"/>
    <w:rsid w:val="2D2354D5"/>
    <w:rsid w:val="2D560AFA"/>
    <w:rsid w:val="2E00469C"/>
    <w:rsid w:val="2E6C1D31"/>
    <w:rsid w:val="2F666780"/>
    <w:rsid w:val="30904E40"/>
    <w:rsid w:val="31602DDD"/>
    <w:rsid w:val="31660C3C"/>
    <w:rsid w:val="31ED3189"/>
    <w:rsid w:val="34BA37F6"/>
    <w:rsid w:val="3548049B"/>
    <w:rsid w:val="35700359"/>
    <w:rsid w:val="36460CA1"/>
    <w:rsid w:val="365437D6"/>
    <w:rsid w:val="36BD75CE"/>
    <w:rsid w:val="3842422E"/>
    <w:rsid w:val="39DA0497"/>
    <w:rsid w:val="3AD44EE6"/>
    <w:rsid w:val="3AEA25F9"/>
    <w:rsid w:val="3AF85078"/>
    <w:rsid w:val="3B623846"/>
    <w:rsid w:val="3C5E0698"/>
    <w:rsid w:val="3D915CD8"/>
    <w:rsid w:val="3E8975D6"/>
    <w:rsid w:val="3F204B9E"/>
    <w:rsid w:val="3FFC2B04"/>
    <w:rsid w:val="40243321"/>
    <w:rsid w:val="40EB169F"/>
    <w:rsid w:val="41A831D9"/>
    <w:rsid w:val="429412F8"/>
    <w:rsid w:val="434B5F61"/>
    <w:rsid w:val="43595B31"/>
    <w:rsid w:val="43A2148A"/>
    <w:rsid w:val="44751D1C"/>
    <w:rsid w:val="447A08AC"/>
    <w:rsid w:val="448533AF"/>
    <w:rsid w:val="452B604A"/>
    <w:rsid w:val="46115240"/>
    <w:rsid w:val="47206B69"/>
    <w:rsid w:val="47C92E0A"/>
    <w:rsid w:val="47F16D0B"/>
    <w:rsid w:val="48376AB4"/>
    <w:rsid w:val="49535ACC"/>
    <w:rsid w:val="4A7364C9"/>
    <w:rsid w:val="4AF36A1F"/>
    <w:rsid w:val="4BA23CE4"/>
    <w:rsid w:val="4C6027CD"/>
    <w:rsid w:val="4CE6712F"/>
    <w:rsid w:val="4DB95604"/>
    <w:rsid w:val="4DBD1CC6"/>
    <w:rsid w:val="4E2B70BB"/>
    <w:rsid w:val="4F6901F3"/>
    <w:rsid w:val="50811B32"/>
    <w:rsid w:val="51496DFA"/>
    <w:rsid w:val="516945EC"/>
    <w:rsid w:val="52BB0A0D"/>
    <w:rsid w:val="52C63223"/>
    <w:rsid w:val="53D61877"/>
    <w:rsid w:val="54560A64"/>
    <w:rsid w:val="550146D2"/>
    <w:rsid w:val="563B44A4"/>
    <w:rsid w:val="56655D30"/>
    <w:rsid w:val="56A7044E"/>
    <w:rsid w:val="5883395A"/>
    <w:rsid w:val="58B01687"/>
    <w:rsid w:val="596E6164"/>
    <w:rsid w:val="59E051FD"/>
    <w:rsid w:val="5A666BB9"/>
    <w:rsid w:val="5B0D4316"/>
    <w:rsid w:val="5B9A1264"/>
    <w:rsid w:val="5BCA3A6F"/>
    <w:rsid w:val="5BCA53B6"/>
    <w:rsid w:val="5BD76CE2"/>
    <w:rsid w:val="5CF60482"/>
    <w:rsid w:val="5DFB3C6C"/>
    <w:rsid w:val="5F2E1F96"/>
    <w:rsid w:val="5F314D65"/>
    <w:rsid w:val="5F447FDD"/>
    <w:rsid w:val="60116111"/>
    <w:rsid w:val="602A505B"/>
    <w:rsid w:val="617D3332"/>
    <w:rsid w:val="62214605"/>
    <w:rsid w:val="62671DAA"/>
    <w:rsid w:val="62F6308E"/>
    <w:rsid w:val="63CF44BE"/>
    <w:rsid w:val="65C24069"/>
    <w:rsid w:val="66187ACD"/>
    <w:rsid w:val="66BF6833"/>
    <w:rsid w:val="66D25ECE"/>
    <w:rsid w:val="6734614C"/>
    <w:rsid w:val="6735628F"/>
    <w:rsid w:val="678C3318"/>
    <w:rsid w:val="69401BDD"/>
    <w:rsid w:val="6A794FDE"/>
    <w:rsid w:val="6B974A7B"/>
    <w:rsid w:val="6CDA3D2E"/>
    <w:rsid w:val="6CDC7AA6"/>
    <w:rsid w:val="6E240435"/>
    <w:rsid w:val="6E503DDA"/>
    <w:rsid w:val="6F531EFA"/>
    <w:rsid w:val="6FD11419"/>
    <w:rsid w:val="700D3BE0"/>
    <w:rsid w:val="70CD7E32"/>
    <w:rsid w:val="711E63EB"/>
    <w:rsid w:val="71237A52"/>
    <w:rsid w:val="718E37B7"/>
    <w:rsid w:val="727A36C8"/>
    <w:rsid w:val="73C318B9"/>
    <w:rsid w:val="74CB28DA"/>
    <w:rsid w:val="75A51D7A"/>
    <w:rsid w:val="75A849CA"/>
    <w:rsid w:val="76263B40"/>
    <w:rsid w:val="779A1AF2"/>
    <w:rsid w:val="77CA0C1E"/>
    <w:rsid w:val="782A4576"/>
    <w:rsid w:val="7883527A"/>
    <w:rsid w:val="791E43FA"/>
    <w:rsid w:val="79556A5B"/>
    <w:rsid w:val="799449AC"/>
    <w:rsid w:val="7AAF05A8"/>
    <w:rsid w:val="7B810197"/>
    <w:rsid w:val="7C4371FA"/>
    <w:rsid w:val="7C7373CD"/>
    <w:rsid w:val="7D6904ED"/>
    <w:rsid w:val="7DCC1471"/>
    <w:rsid w:val="7E926217"/>
    <w:rsid w:val="7ED07412"/>
    <w:rsid w:val="7F2B43BF"/>
    <w:rsid w:val="7F402117"/>
    <w:rsid w:val="7F7D2A23"/>
    <w:rsid w:val="7FB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napToGrid w:val="0"/>
      <w:spacing w:line="360" w:lineRule="auto"/>
      <w:ind w:firstLine="200" w:firstLineChars="200"/>
    </w:pPr>
    <w:rPr>
      <w:sz w:val="2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kern w:val="0"/>
      <w:sz w:val="24"/>
    </w:rPr>
  </w:style>
  <w:style w:type="paragraph" w:styleId="8">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1920</Words>
  <Characters>2002</Characters>
  <Lines>25</Lines>
  <Paragraphs>7</Paragraphs>
  <TotalTime>0</TotalTime>
  <ScaleCrop>false</ScaleCrop>
  <LinksUpToDate>false</LinksUpToDate>
  <CharactersWithSpaces>2043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2021-03-09T08:47:00Z</dcterms:created>
  <dc:creator>aa</dc:creator>
  <cp:lastModifiedBy>WPS_1577668851</cp:lastModifiedBy>
  <dcterms:modified xsi:type="dcterms:W3CDTF">2026-06-15T06:28:38Z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F5B68E9AFD6B4EC89251B2F66984B326_13</vt:lpwstr>
  </property>
  <property fmtid="{D5CDD505-2E9C-101B-9397-08002B2CF9AE}" pid="4" name="KSOTemplateDocerSaveRecord">
    <vt:lpwstr>eyJoZGlkIjoiZjU2MTEzNTNlNTQ1MTgyNzAxOTIxMTFjNTVkYmU3ODAiLCJ1c2VySWQiOiI3NDU3Njc1MjQifQ==</vt:lpwstr>
  </property>
</Properties>
</file>