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F1126">
      <w:pPr>
        <w:pStyle w:val="76"/>
        <w:rPr>
          <w:rFonts w:hint="eastAsia" w:ascii="Calibri" w:hAnsi="Calibri" w:eastAsia="仿宋" w:cs="仿宋"/>
          <w:color w:val="auto"/>
          <w:highlight w:val="none"/>
        </w:rPr>
      </w:pPr>
      <w:bookmarkStart w:id="0" w:name="_Toc2218"/>
    </w:p>
    <w:p w14:paraId="682A25CC">
      <w:pPr>
        <w:pStyle w:val="76"/>
        <w:rPr>
          <w:rFonts w:hint="eastAsia" w:ascii="Calibri" w:hAnsi="Calibri" w:eastAsia="仿宋" w:cs="仿宋"/>
          <w:color w:val="auto"/>
          <w:highlight w:val="none"/>
        </w:rPr>
      </w:pPr>
    </w:p>
    <w:p w14:paraId="1EA7DEE3">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3F37D19D">
      <w:pPr>
        <w:pStyle w:val="31"/>
        <w:rPr>
          <w:color w:val="auto"/>
          <w:sz w:val="72"/>
          <w:szCs w:val="72"/>
          <w:highlight w:val="none"/>
        </w:rPr>
      </w:pPr>
    </w:p>
    <w:p w14:paraId="20DBDDD0">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03DB7CE8">
      <w:pPr>
        <w:spacing w:line="360" w:lineRule="auto"/>
        <w:jc w:val="left"/>
        <w:rPr>
          <w:rFonts w:ascii="仿宋" w:hAnsi="仿宋" w:eastAsia="仿宋" w:cs="仿宋"/>
          <w:color w:val="auto"/>
          <w:sz w:val="28"/>
          <w:szCs w:val="28"/>
          <w:highlight w:val="none"/>
        </w:rPr>
      </w:pPr>
    </w:p>
    <w:p w14:paraId="4ABF016F">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WHSW-SWT2026-001</w:t>
      </w:r>
    </w:p>
    <w:p w14:paraId="4AA92CBD">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威海水务投资有限责任公司选定PAM阳离子、PAM阴离子、三氯化铁、单过硫酸氢钾消毒剂、复合碳源年度供应商</w:t>
      </w:r>
    </w:p>
    <w:p w14:paraId="14C3B0B9">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25F4362B">
      <w:pPr>
        <w:spacing w:line="360" w:lineRule="auto"/>
        <w:rPr>
          <w:rFonts w:ascii="仿宋" w:hAnsi="仿宋" w:eastAsia="仿宋" w:cs="仿宋"/>
          <w:b/>
          <w:color w:val="auto"/>
          <w:sz w:val="32"/>
          <w:szCs w:val="32"/>
          <w:highlight w:val="none"/>
        </w:rPr>
      </w:pPr>
    </w:p>
    <w:p w14:paraId="5845472E">
      <w:pPr>
        <w:spacing w:line="360" w:lineRule="auto"/>
        <w:rPr>
          <w:rFonts w:ascii="仿宋" w:hAnsi="仿宋" w:eastAsia="仿宋" w:cs="仿宋"/>
          <w:b/>
          <w:color w:val="auto"/>
          <w:sz w:val="32"/>
          <w:szCs w:val="32"/>
          <w:highlight w:val="none"/>
        </w:rPr>
      </w:pPr>
    </w:p>
    <w:p w14:paraId="55F9A7DF">
      <w:pPr>
        <w:spacing w:line="360" w:lineRule="auto"/>
        <w:rPr>
          <w:rFonts w:ascii="仿宋" w:hAnsi="仿宋" w:eastAsia="仿宋" w:cs="仿宋"/>
          <w:b/>
          <w:color w:val="auto"/>
          <w:sz w:val="32"/>
          <w:szCs w:val="32"/>
          <w:highlight w:val="none"/>
        </w:rPr>
      </w:pPr>
    </w:p>
    <w:p w14:paraId="33B5339A">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25926397">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2026年8月13日</w:t>
      </w:r>
    </w:p>
    <w:p w14:paraId="0A19E10F">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2101D6B6">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677A23D6">
      <w:pPr>
        <w:jc w:val="center"/>
        <w:rPr>
          <w:rFonts w:hint="eastAsia" w:ascii="仿宋" w:hAnsi="仿宋" w:eastAsia="仿宋" w:cs="仿宋"/>
          <w:b/>
          <w:bCs/>
          <w:sz w:val="36"/>
          <w:szCs w:val="36"/>
          <w:highlight w:val="none"/>
        </w:rPr>
      </w:pPr>
    </w:p>
    <w:p w14:paraId="20497925">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14A5275">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7D39A0A">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2AF59D06">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38</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6F688C2E">
      <w:pPr>
        <w:pStyle w:val="31"/>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43</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4F04E9D">
      <w:pPr>
        <w:pStyle w:val="31"/>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72</w:t>
      </w:r>
    </w:p>
    <w:p w14:paraId="3B036F02">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24DCA401">
      <w:pPr>
        <w:pStyle w:val="3"/>
        <w:bidi w:val="0"/>
        <w:rPr>
          <w:rFonts w:hint="eastAsia"/>
          <w:highlight w:val="none"/>
        </w:rPr>
      </w:pPr>
      <w:bookmarkStart w:id="1" w:name="_Toc1540"/>
      <w:r>
        <w:rPr>
          <w:rFonts w:hint="eastAsia"/>
          <w:highlight w:val="none"/>
        </w:rPr>
        <w:t>第一部分  招标公告</w:t>
      </w:r>
      <w:bookmarkEnd w:id="1"/>
    </w:p>
    <w:p w14:paraId="0C08C838">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威海水务投资有限责任公司选定PAM阳离子、PAM阴离子、三氯化铁、单过硫酸氢钾消毒剂、复合碳源年度供应商</w:t>
      </w:r>
      <w:r>
        <w:rPr>
          <w:rFonts w:hint="eastAsia" w:ascii="仿宋" w:hAnsi="仿宋" w:eastAsia="仿宋" w:cs="仿宋"/>
          <w:b/>
          <w:bCs/>
          <w:spacing w:val="8"/>
          <w:sz w:val="28"/>
          <w:szCs w:val="28"/>
          <w:highlight w:val="none"/>
          <w:lang w:val="en-US" w:eastAsia="zh-CN"/>
        </w:rPr>
        <w:t>招标公告</w:t>
      </w:r>
    </w:p>
    <w:p w14:paraId="0DF5FC3A">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default" w:ascii="仿宋" w:hAnsi="仿宋" w:eastAsia="仿宋" w:cs="仿宋"/>
          <w:b/>
          <w:bCs/>
          <w:spacing w:val="8"/>
          <w:sz w:val="28"/>
          <w:szCs w:val="28"/>
          <w:highlight w:val="none"/>
          <w:lang w:val="en-US" w:eastAsia="zh-CN"/>
        </w:rPr>
      </w:pPr>
      <w:r>
        <w:rPr>
          <w:rFonts w:hint="eastAsia" w:ascii="仿宋" w:hAnsi="仿宋" w:eastAsia="仿宋" w:cs="仿宋"/>
          <w:b/>
          <w:bCs/>
          <w:spacing w:val="8"/>
          <w:sz w:val="28"/>
          <w:szCs w:val="28"/>
          <w:highlight w:val="none"/>
          <w:lang w:val="en-US" w:eastAsia="zh-CN"/>
        </w:rPr>
        <w:t>（第三轮）</w:t>
      </w:r>
    </w:p>
    <w:p w14:paraId="3597723A">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招标编号：WHSW-SWT2026-001</w:t>
      </w:r>
      <w:r>
        <w:rPr>
          <w:rFonts w:hint="eastAsia" w:ascii="仿宋" w:hAnsi="仿宋" w:eastAsia="仿宋" w:cs="仿宋"/>
          <w:b/>
          <w:bCs/>
          <w:spacing w:val="8"/>
          <w:sz w:val="28"/>
          <w:szCs w:val="28"/>
          <w:highlight w:val="none"/>
          <w:lang w:eastAsia="zh-CN"/>
        </w:rPr>
        <w:t>）</w:t>
      </w:r>
    </w:p>
    <w:p w14:paraId="49EC96BB">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威海水务投资有限责任公司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威海水务投资有限责任公司选定PAM阳离子、PAM阴离子、三氯化铁、单过硫酸氢钾消毒剂、复合碳源年度供应商</w:t>
      </w:r>
      <w:r>
        <w:rPr>
          <w:rFonts w:hint="eastAsia" w:ascii="仿宋" w:hAnsi="仿宋" w:eastAsia="仿宋" w:cs="仿宋"/>
          <w:spacing w:val="8"/>
          <w:sz w:val="24"/>
          <w:szCs w:val="24"/>
          <w:highlight w:val="none"/>
        </w:rPr>
        <w:t>以公开招标方式确定中标单位。</w:t>
      </w:r>
    </w:p>
    <w:p w14:paraId="1B88E309">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威海水务投资有限责任公司选定PAM阳离子、PAM阴离子、三氯化铁、单过硫酸氢钾消毒剂、复合碳源年度供应商</w:t>
      </w:r>
    </w:p>
    <w:p w14:paraId="0C827617">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7C4F817F">
      <w:pPr>
        <w:pStyle w:val="17"/>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威海水务投资有限责任公司选定PAM阳离子、PAM阴离子、三氯化铁、单过硫酸氢钾消毒剂、复合碳源年度供应商</w:t>
      </w:r>
    </w:p>
    <w:p w14:paraId="4D292ABF">
      <w:pPr>
        <w:pStyle w:val="17"/>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项目概况：威海水务投资有限责任公司选定</w:t>
      </w:r>
      <w:r>
        <w:rPr>
          <w:rFonts w:hint="eastAsia" w:ascii="仿宋" w:hAnsi="仿宋" w:eastAsia="仿宋"/>
          <w:color w:val="000000"/>
          <w:sz w:val="24"/>
          <w:highlight w:val="none"/>
          <w:lang w:val="en-US" w:eastAsia="zh-CN"/>
        </w:rPr>
        <w:t>PAM阳离子、PAM阴离子、三氯化铁、单过硫酸氢钾消毒剂、复合碳源</w:t>
      </w:r>
      <w:r>
        <w:rPr>
          <w:rFonts w:hint="eastAsia" w:ascii="仿宋" w:hAnsi="仿宋" w:eastAsia="仿宋" w:cs="仿宋"/>
          <w:spacing w:val="8"/>
          <w:kern w:val="2"/>
          <w:sz w:val="24"/>
          <w:szCs w:val="24"/>
          <w:highlight w:val="none"/>
          <w:lang w:val="en-US" w:eastAsia="zh-CN" w:bidi="ar-SA"/>
        </w:rPr>
        <w:t>年度供应商。该项目本轮采购一个标包，具体内容详见下表。药剂按批次采购，单次实际采购量以招标人通知为准。</w:t>
      </w:r>
    </w:p>
    <w:tbl>
      <w:tblPr>
        <w:tblStyle w:val="43"/>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3259"/>
        <w:gridCol w:w="1582"/>
        <w:gridCol w:w="2073"/>
        <w:gridCol w:w="777"/>
      </w:tblGrid>
      <w:tr w14:paraId="54693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6" w:hRule="atLeast"/>
        </w:trPr>
        <w:tc>
          <w:tcPr>
            <w:tcW w:w="927" w:type="dxa"/>
            <w:noWrap w:val="0"/>
            <w:vAlign w:val="center"/>
          </w:tcPr>
          <w:p w14:paraId="7C6EE152">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259" w:type="dxa"/>
            <w:noWrap w:val="0"/>
            <w:vAlign w:val="center"/>
          </w:tcPr>
          <w:p w14:paraId="143C4B27">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582" w:type="dxa"/>
            <w:noWrap w:val="0"/>
            <w:vAlign w:val="center"/>
          </w:tcPr>
          <w:p w14:paraId="64469243">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14:paraId="49611377">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073" w:type="dxa"/>
            <w:noWrap w:val="0"/>
            <w:vAlign w:val="center"/>
          </w:tcPr>
          <w:p w14:paraId="07BAD5EC">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14:paraId="63CF468D">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（除税）</w:t>
            </w:r>
          </w:p>
        </w:tc>
        <w:tc>
          <w:tcPr>
            <w:tcW w:w="777" w:type="dxa"/>
            <w:noWrap w:val="0"/>
            <w:vAlign w:val="center"/>
          </w:tcPr>
          <w:p w14:paraId="1BEAAAB0">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05F0C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27" w:type="dxa"/>
            <w:noWrap w:val="0"/>
            <w:vAlign w:val="center"/>
          </w:tcPr>
          <w:p w14:paraId="7BC642A4">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259" w:type="dxa"/>
            <w:noWrap w:val="0"/>
            <w:vAlign w:val="center"/>
          </w:tcPr>
          <w:p w14:paraId="1E7871EC">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固体聚丙烯酰胺（PAM阴离子）</w:t>
            </w:r>
          </w:p>
        </w:tc>
        <w:tc>
          <w:tcPr>
            <w:tcW w:w="1582" w:type="dxa"/>
            <w:noWrap w:val="0"/>
            <w:vAlign w:val="center"/>
          </w:tcPr>
          <w:p w14:paraId="425FD3BF">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190</w:t>
            </w:r>
          </w:p>
        </w:tc>
        <w:tc>
          <w:tcPr>
            <w:tcW w:w="2073" w:type="dxa"/>
            <w:noWrap w:val="0"/>
            <w:vAlign w:val="center"/>
          </w:tcPr>
          <w:p w14:paraId="34293E8D">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5654.86</w:t>
            </w:r>
          </w:p>
        </w:tc>
        <w:tc>
          <w:tcPr>
            <w:tcW w:w="777" w:type="dxa"/>
            <w:noWrap w:val="0"/>
            <w:vAlign w:val="center"/>
          </w:tcPr>
          <w:p w14:paraId="54FFEFF6">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00A5D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8618" w:type="dxa"/>
            <w:gridSpan w:val="5"/>
            <w:noWrap w:val="0"/>
            <w:vAlign w:val="center"/>
          </w:tcPr>
          <w:p w14:paraId="6A4397F1">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注：此数量为一年计划采购数量，只作为投标参考使用，实际采购数量根据处理规模、来水量变化等影响因素，采购量可适时调整，并据实结算，实际采购量多于或少于计划采购量均不视为违约。</w:t>
            </w:r>
          </w:p>
        </w:tc>
      </w:tr>
    </w:tbl>
    <w:p w14:paraId="3EAD1227">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合同期限为1年。合同期满后，招标人可选择依据有关制度规定对中标单位履约情况进行评价，合格可续签合同，续签不超过2次。招标人也可以选择重新招标选择供应商。具体选择何种方式以招标人结合实际需要确定。</w:t>
      </w:r>
    </w:p>
    <w:p w14:paraId="32DFE72F">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4.供货期：自接到招标人通知之日起，按照通知要求在3-7日内将货物运抵招标人指定地点，药剂按批次采购，单次实际采购量以招标人通知为准。</w:t>
      </w:r>
    </w:p>
    <w:p w14:paraId="7782E930">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5.交货地点：</w:t>
      </w:r>
      <w:r>
        <w:rPr>
          <w:rFonts w:hint="eastAsia" w:ascii="仿宋" w:hAnsi="仿宋" w:eastAsia="仿宋" w:cs="Times New Roman"/>
          <w:color w:val="000000"/>
          <w:sz w:val="24"/>
          <w:highlight w:val="none"/>
          <w:lang w:val="en-US" w:eastAsia="zh-CN"/>
        </w:rPr>
        <w:t>招标人指定地点，具体详见</w:t>
      </w:r>
      <w:r>
        <w:rPr>
          <w:rFonts w:hint="eastAsia" w:ascii="仿宋" w:hAnsi="仿宋" w:eastAsia="仿宋" w:cs="仿宋"/>
          <w:spacing w:val="8"/>
          <w:kern w:val="2"/>
          <w:sz w:val="24"/>
          <w:szCs w:val="24"/>
          <w:highlight w:val="none"/>
          <w:lang w:val="en-US" w:eastAsia="zh-CN" w:bidi="ar-SA"/>
        </w:rPr>
        <w:t>第三部分招标内容与要求。</w:t>
      </w:r>
    </w:p>
    <w:p w14:paraId="7E32A830">
      <w:pPr>
        <w:pStyle w:val="17"/>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6.质量标准：</w:t>
      </w:r>
      <w:r>
        <w:rPr>
          <w:rFonts w:hint="eastAsia" w:ascii="仿宋" w:hAnsi="仿宋" w:eastAsia="仿宋"/>
          <w:color w:val="000000"/>
          <w:sz w:val="24"/>
          <w:highlight w:val="none"/>
        </w:rPr>
        <w:t>达到合格标准</w:t>
      </w:r>
      <w:r>
        <w:rPr>
          <w:rFonts w:hint="eastAsia" w:ascii="仿宋" w:hAnsi="仿宋" w:eastAsia="仿宋" w:cs="仿宋"/>
          <w:spacing w:val="8"/>
          <w:kern w:val="2"/>
          <w:sz w:val="24"/>
          <w:szCs w:val="24"/>
          <w:highlight w:val="none"/>
          <w:lang w:val="en-US" w:eastAsia="zh-CN" w:bidi="ar-SA"/>
        </w:rPr>
        <w:t>。</w:t>
      </w:r>
    </w:p>
    <w:p w14:paraId="187BC6B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7.采购范围：包括但不限于药剂的采购、检测、包装、运输、保管、装卸、验收、售后服务及其他服务。</w:t>
      </w:r>
    </w:p>
    <w:p w14:paraId="0DC5DD33">
      <w:pPr>
        <w:pStyle w:val="17"/>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01DD038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1.具有独立承担民事责任能力的法人或其他组织，投标人若为经销商需提供生产厂家的授权书（授权书须注明药剂状态，授权时间需满足项目服务期要求）</w:t>
      </w:r>
      <w:r>
        <w:rPr>
          <w:rFonts w:hint="eastAsia" w:ascii="仿宋" w:hAnsi="仿宋" w:eastAsia="仿宋" w:cs="仿宋"/>
          <w:spacing w:val="8"/>
          <w:sz w:val="24"/>
          <w:szCs w:val="24"/>
          <w:highlight w:val="none"/>
        </w:rPr>
        <w:t>；</w:t>
      </w:r>
    </w:p>
    <w:p w14:paraId="72C16DD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2.投标人具有有效的道路运输经营许可证；若投标人不具有有效的道路运输经营许可证需提供相应的运输合同以及运输方的有效的道路运输经营许可证；</w:t>
      </w:r>
    </w:p>
    <w:p w14:paraId="385A382B">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具有良好的商业信誉和健全的财务会计制度及履约能力；</w:t>
      </w:r>
    </w:p>
    <w:p w14:paraId="48EE989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具有履行合同所必需的设备和专业技术能力；</w:t>
      </w:r>
    </w:p>
    <w:p w14:paraId="5BD4AC6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具有依法缴纳税收和社会保障资金的记录；</w:t>
      </w:r>
    </w:p>
    <w:p w14:paraId="23630F09">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参加本次招标活动前三年内，在经营活动中没有重大违法记录（若成立时间不足三年，则承诺自成立时间至今，在经营活动中没有重大违法记录）；</w:t>
      </w:r>
    </w:p>
    <w:p w14:paraId="61CD591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投标人及其法定代表人、委托代理人未被最高法院（查询网址为：http://zxgk.court.gov.cn/shixin/）列入失信被执行人；</w:t>
      </w:r>
    </w:p>
    <w:p w14:paraId="2C384A8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一年在“信用中国”或“信用中国（山东）”无严重失信记录（个体工商户可提供通过“信用中国”各省级分站网站下载的无“严重失信主体名单”记录或无“失信惩戒信息”记录的公共信用信息报告）；</w:t>
      </w:r>
    </w:p>
    <w:p w14:paraId="6AB6FB6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投标人近三年内无行贿犯罪行为记录（若成立时间不足三年，则承诺自成立时间至今，无行贿犯罪行为记录）；</w:t>
      </w:r>
    </w:p>
    <w:p w14:paraId="0E8F1DD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本项目不接受联合体投标。</w:t>
      </w:r>
    </w:p>
    <w:p w14:paraId="46C1628B">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57DDC99B">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14:paraId="3EF3FAEA">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0BDF6227">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9C22BC5">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2087A45A">
      <w:pPr>
        <w:keepNext w:val="0"/>
        <w:keepLines w:val="0"/>
        <w:pageBreakBefore w:val="0"/>
        <w:kinsoku/>
        <w:wordWrap/>
        <w:overflowPunct/>
        <w:topLinePunct w:val="0"/>
        <w:autoSpaceDE/>
        <w:autoSpaceDN/>
        <w:bidi w:val="0"/>
        <w:snapToGrid/>
        <w:spacing w:line="410" w:lineRule="exact"/>
        <w:ind w:firstLine="512" w:firstLineChars="200"/>
        <w:contextualSpacing/>
        <w:textAlignment w:val="auto"/>
        <w:rPr>
          <w:rFonts w:ascii="仿宋" w:hAnsi="仿宋" w:eastAsia="仿宋" w:cs="仿宋"/>
          <w:b/>
          <w:bCs/>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w:t>
      </w:r>
    </w:p>
    <w:p w14:paraId="514B04A8">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办系统-（新版）一网通办系统”按钮登录端口注册登记，并办理“安全证书（CA）”和“电子签章”进行获取文件。“安全证书（CA）”和“电子签章”办理请按照“威海市公共资源交易网”右侧“CA办理”中“CA证书办理介绍”进行办理。</w:t>
      </w:r>
    </w:p>
    <w:p w14:paraId="2AAB9D85">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7A487E51">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035444CA">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3261D8C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7B6E32F0">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:00（北京时间）</w:t>
      </w:r>
    </w:p>
    <w:p w14:paraId="55558C98">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十厅</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14:paraId="0E247CF0">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5A6CC9D1">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提交投标文件截止时间前，随时关注威海市公共资源交易网（变更公告栏）内变更提醒。</w:t>
      </w:r>
    </w:p>
    <w:p w14:paraId="77005EA2">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6D7A37F4">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2FA63AA1">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4D53A5BA">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威海水务投资有限责任公司</w:t>
      </w:r>
    </w:p>
    <w:p w14:paraId="37E8EA92">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威海市经区崮山路6号</w:t>
      </w:r>
    </w:p>
    <w:p w14:paraId="4C993CCB">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张莹</w:t>
      </w:r>
    </w:p>
    <w:p w14:paraId="4E316506">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联系方式：0631-5978699</w:t>
      </w:r>
    </w:p>
    <w:p w14:paraId="0A2DDE34">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1ED051A5">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2637D108">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4EB07FEA">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杨晓青</w:t>
      </w:r>
    </w:p>
    <w:p w14:paraId="3BC0538A">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2FBD836B">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3"/>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49BC4637">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4CFCFAF7">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8213886"/>
      <w:bookmarkStart w:id="7" w:name="_Toc39827101"/>
      <w:bookmarkStart w:id="8" w:name="_Toc39827471"/>
      <w:bookmarkStart w:id="9" w:name="_Toc39827536"/>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中国招标投标公共服务平台（www.cebpubservice.com）、山东省公共资源交易网（https://ggzyjy.shandong.gov.cn/）、威海市公共资源交易网（http://ggzyjy.weihai.cn/）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05CCF98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14:paraId="4B8FF098">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045321EC">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2026年8</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日</w:t>
      </w:r>
      <w:bookmarkEnd w:id="2"/>
    </w:p>
    <w:p w14:paraId="59F5065D">
      <w:pPr>
        <w:pStyle w:val="37"/>
        <w:rPr>
          <w:highlight w:val="none"/>
        </w:rPr>
      </w:pPr>
    </w:p>
    <w:p w14:paraId="1DF0E846">
      <w:pPr>
        <w:pStyle w:val="3"/>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5A81CB63">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2"/>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410D02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4811132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2C5DA7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1EF006FB">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33BA7E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754A631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14D5D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47B86CEF">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威海水务投资有限责任公司选定PAM阳离子、PAM阴离子、三氯化铁、单过硫酸氢钾消毒剂、复合碳源年度供应商</w:t>
            </w:r>
          </w:p>
        </w:tc>
      </w:tr>
      <w:tr w14:paraId="214A1F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2392FDE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7C4DC2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533CB6CA">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WHSW-SWT2026-001</w:t>
            </w:r>
          </w:p>
        </w:tc>
      </w:tr>
      <w:tr w14:paraId="1C2BC5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59EE208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6AE71DE">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12F225CF">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威海水务投资有限责任公司</w:t>
            </w:r>
          </w:p>
          <w:p w14:paraId="5B822701">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威海市经区崮山路6号</w:t>
            </w:r>
          </w:p>
          <w:p w14:paraId="6B2B468E">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张莹</w:t>
            </w:r>
          </w:p>
          <w:p w14:paraId="3354E0F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联系电话：0631-5978699</w:t>
            </w:r>
          </w:p>
        </w:tc>
      </w:tr>
      <w:tr w14:paraId="172AD8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421AB0B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DC41DE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43F2AE5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52A6725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6F1C4710">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杨晓青</w:t>
            </w:r>
          </w:p>
          <w:p w14:paraId="6D60369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5A62A1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6972744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670DEF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409E82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10FE999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4EEA3A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6FFA2A8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6ED692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3631545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0201C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6D4F6BD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1C11D5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48C381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07C016A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1DB6D78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10BC191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4072A2F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633ED7E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2F77CA2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5CE949F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31D1D61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4115418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495DFE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0033EBC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228052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5287BD7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17353CB5">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3C5CDE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B3865A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CFE37F7">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4E241EAF">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网上按时递交电子投标文件1份以及纸质投标文件2份</w:t>
            </w:r>
          </w:p>
        </w:tc>
      </w:tr>
      <w:tr w14:paraId="6A0AE6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3F1A91D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2D8B4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6FFBF46C">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1135A3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FD9B7EE">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C3A73F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76C8491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25641B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051CA958">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D6981F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636FC1EA">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66551C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280DDF9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DAF3C3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193E97E1">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62D47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5CCABD62">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CBF54D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5516996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5CCB74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1E6E4B8E">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D7A75E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3377E25E">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46C532C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3B40A09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7F896390">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14:paraId="2A2BF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37E27D2B">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EB0579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65EAC55F">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3C018A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0C3AE946">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33939E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6F19C6E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5A4E43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735F9F71">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AB638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47002970">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0F849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54163B59">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97C9B6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47FBF64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342ABBD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527B6F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743687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326A79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434C94A7">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4C9591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77E400A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BD31BD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371E4BCA">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5492FD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7AA79C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D3568A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1AB5EFC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712710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76119BA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6602F1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2F4067B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6F8E31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BB36D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CFF27E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49231944">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p>
          <w:p w14:paraId="2D650577">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14:paraId="31EE410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14:paraId="7C93AB1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57A1C61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F71053B">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r>
              <w:rPr>
                <w:rFonts w:hint="eastAsia" w:ascii="仿宋" w:hAnsi="仿宋" w:eastAsia="仿宋" w:cs="仿宋"/>
                <w:sz w:val="24"/>
                <w:szCs w:val="24"/>
                <w:highlight w:val="none"/>
                <w:lang w:eastAsia="zh-CN"/>
              </w:rPr>
              <w:t>。</w:t>
            </w:r>
          </w:p>
          <w:p w14:paraId="1D7A3A3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w:t>
            </w:r>
            <w:bookmarkStart w:id="25" w:name="_GoBack"/>
            <w:bookmarkEnd w:id="25"/>
            <w:r>
              <w:rPr>
                <w:rFonts w:hint="eastAsia" w:ascii="仿宋" w:hAnsi="仿宋" w:eastAsia="仿宋" w:cs="仿宋"/>
                <w:sz w:val="24"/>
                <w:szCs w:val="24"/>
                <w:highlight w:val="none"/>
              </w:rPr>
              <w:t>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088A0A1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778484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34F045F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09241C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35A33AA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3E9D24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109DBF5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4A2996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6DCBB7E1">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0BC4A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14:paraId="4CEDB83B">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F357CF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76CA165F">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招标代理服务费由中标单位支付，此费用包含在投标报价中，招标人不再另行考虑。代理服务费执行国家发改委规定的标准（详见《招标代理服务收费管理暂行办法》计价格［2002］1980号)。</w:t>
            </w:r>
          </w:p>
          <w:p w14:paraId="36EEB909">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（1）按标准取费计算在3万以下的（含3万），按标准取费下浮20%。</w:t>
            </w:r>
          </w:p>
          <w:p w14:paraId="300DA33A">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（2）按标准取费计算在3-6万元之间的（含6万），按标准取费下浮40%。</w:t>
            </w:r>
          </w:p>
          <w:p w14:paraId="22ABD51F">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（3）按标准取费计算在6万元以上的，按标准取费下浮50%。不足3000元按3000元计，发放中标通知书时由中标单位向代理公司全额缴纳。</w:t>
            </w:r>
          </w:p>
          <w:p w14:paraId="7093DF50">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开户名称：山东富尔工程咨询管理有限公司</w:t>
            </w:r>
          </w:p>
          <w:p w14:paraId="0C0228DC">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开户银行：中国建设银行威海文化支行</w:t>
            </w:r>
          </w:p>
          <w:p w14:paraId="04B39FB0">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银行账号：37001707101050000572</w:t>
            </w:r>
          </w:p>
        </w:tc>
      </w:tr>
      <w:tr w14:paraId="297156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14:paraId="3E0377B2">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CC8F46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1CEA9E6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07B52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6F38332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AA9F19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27EABA4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14:paraId="268634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14:paraId="19D909AB">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5FBDC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19D2E87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按货物类</w:t>
            </w:r>
            <w:r>
              <w:rPr>
                <w:rFonts w:hint="eastAsia" w:ascii="仿宋" w:hAnsi="仿宋" w:eastAsia="仿宋" w:cs="仿宋"/>
                <w:sz w:val="24"/>
                <w:szCs w:val="24"/>
                <w:highlight w:val="none"/>
              </w:rPr>
              <w:t>以公开招标方式实施采购。</w:t>
            </w:r>
          </w:p>
          <w:p w14:paraId="08C8D25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038BA0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229DEB32">
            <w:p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p w14:paraId="38DD5438">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投标单位参与本项目需接受的风险：本次招标项目（第三轮）为威海水务投资有限责任公司选定PAM阴离子年度供应商，投标单位在中标后及合同期限内由招标人根据项目及中标单位的实际情况安排后续供货情况，中标单位的供货量有可能会出现数量少，不排除在服务期限内无供货情况的风险，以上风险不视为招标人违约。</w:t>
            </w:r>
          </w:p>
        </w:tc>
      </w:tr>
    </w:tbl>
    <w:p w14:paraId="7EC8CC55">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7D058322">
      <w:pPr>
        <w:snapToGrid w:val="0"/>
        <w:spacing w:line="400" w:lineRule="exact"/>
        <w:jc w:val="left"/>
        <w:rPr>
          <w:rFonts w:ascii="仿宋" w:hAnsi="仿宋" w:eastAsia="仿宋" w:cs="仿宋"/>
          <w:sz w:val="24"/>
          <w:szCs w:val="24"/>
          <w:highlight w:val="none"/>
        </w:rPr>
      </w:pPr>
    </w:p>
    <w:p w14:paraId="2C9B2AEF">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2"/>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6F19E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29278EB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CFC1624">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3D74762D">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35B081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8" w:hRule="atLeast"/>
          <w:jc w:val="center"/>
        </w:trPr>
        <w:tc>
          <w:tcPr>
            <w:tcW w:w="942" w:type="dxa"/>
            <w:tcBorders>
              <w:top w:val="single" w:color="auto" w:sz="4" w:space="0"/>
              <w:bottom w:val="single" w:color="auto" w:sz="4" w:space="0"/>
              <w:right w:val="single" w:color="auto" w:sz="4" w:space="0"/>
            </w:tcBorders>
            <w:noWrap w:val="0"/>
            <w:vAlign w:val="center"/>
          </w:tcPr>
          <w:p w14:paraId="53D670B1">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7E212D3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1C206529">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有效的营业执照副本扫描件，若投标人为经销商，还需提供生产厂</w:t>
            </w:r>
            <w:r>
              <w:rPr>
                <w:rFonts w:hint="eastAsia" w:ascii="仿宋" w:hAnsi="仿宋" w:eastAsia="仿宋" w:cs="仿宋"/>
                <w:color w:val="auto"/>
                <w:sz w:val="24"/>
                <w:szCs w:val="24"/>
                <w:highlight w:val="none"/>
                <w:lang w:eastAsia="zh-CN"/>
              </w:rPr>
              <w:t>商的授权书（授权书须注明药剂状态，授权时间需满足项目服务期要求）扫描件</w:t>
            </w:r>
            <w:r>
              <w:rPr>
                <w:rFonts w:hint="eastAsia" w:ascii="仿宋" w:hAnsi="仿宋" w:eastAsia="仿宋" w:cs="仿宋"/>
                <w:color w:val="auto"/>
                <w:sz w:val="24"/>
                <w:szCs w:val="24"/>
                <w:highlight w:val="none"/>
              </w:rPr>
              <w:t xml:space="preserve">； </w:t>
            </w:r>
          </w:p>
          <w:p w14:paraId="56B35012">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有效的道路运输经营许可证扫描件；若不具有有效的道路运输经营许可证需提供相应的运输合同以及运输方的有效的道路运输经营许可证扫描件</w:t>
            </w:r>
            <w:r>
              <w:rPr>
                <w:rFonts w:hint="eastAsia" w:ascii="仿宋" w:hAnsi="仿宋" w:eastAsia="仿宋" w:cs="仿宋"/>
                <w:color w:val="auto"/>
                <w:sz w:val="24"/>
                <w:szCs w:val="24"/>
                <w:highlight w:val="none"/>
                <w:lang w:eastAsia="zh-CN"/>
              </w:rPr>
              <w:t>；</w:t>
            </w:r>
          </w:p>
          <w:p w14:paraId="2C7FA485">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法定代表人身份证明或授权委托书:</w:t>
            </w:r>
          </w:p>
          <w:p w14:paraId="4FAE54B5">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若法定代表人参加投标，投标文件附法定代表人身份证明及法定代表人身份证</w:t>
            </w:r>
            <w:r>
              <w:rPr>
                <w:rFonts w:hint="eastAsia" w:ascii="仿宋" w:hAnsi="仿宋" w:eastAsia="仿宋" w:cs="仿宋"/>
                <w:sz w:val="24"/>
                <w:szCs w:val="24"/>
                <w:highlight w:val="none"/>
              </w:rPr>
              <w:t>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rPr>
              <w:t>授权委托书及被授权人身份证扫描件；</w:t>
            </w:r>
          </w:p>
          <w:p w14:paraId="0A3997CF">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4.投标承诺函；</w:t>
            </w:r>
          </w:p>
          <w:p w14:paraId="5D5C691A">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投标人参与投标的声明函；</w:t>
            </w:r>
          </w:p>
          <w:p w14:paraId="4390D260">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47426527">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投标人、法定代表人、委托代理人未被最高法院（查询网址为：http://zxgk.court.gov.cn/shixin/）列入失信被执行人。投标文件附通过网站查询信息记录（省份为全部）；</w:t>
            </w:r>
          </w:p>
          <w:p w14:paraId="27F8A455">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3"/>
                <w:rFonts w:hint="eastAsia" w:ascii="仿宋" w:hAnsi="仿宋" w:eastAsia="仿宋" w:cs="仿宋"/>
                <w:color w:val="auto"/>
                <w:sz w:val="24"/>
                <w:szCs w:val="24"/>
                <w:highlight w:val="none"/>
              </w:rPr>
              <w:t>https://www.creditchina.gov.cn）或信用中国（山东）（https://credit.shandong.gov.cn）查询的信用报告（个体工商户可提供通过“信用中国”各省级分站网站下载的无“严重失信主体名单”记录或无“失信惩戒信息”记录的公共信用信息报告）</w:t>
            </w:r>
            <w:r>
              <w:rPr>
                <w:rStyle w:val="53"/>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zh-CN"/>
              </w:rPr>
              <w:t>近一年是指2025年1月1日至查询日止，查询日期不早于招标文件开始获取日期</w:t>
            </w:r>
            <w:r>
              <w:rPr>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lang w:eastAsia="zh-CN"/>
              </w:rPr>
              <w:t>；</w:t>
            </w:r>
          </w:p>
          <w:p w14:paraId="0BBEA5F9">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highlight w:val="none"/>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投标保证金：按招标文件要求交纳（标包二：人民币10000.00元），交纳投标保证金的证明材料两者缺一不可：（1）企业银行基本账户开户证明（如开户许可证或银行开户证明等）、（2）电汇凭证或电子汇款截图扫描件。</w:t>
            </w:r>
          </w:p>
        </w:tc>
      </w:tr>
      <w:tr w14:paraId="0DC5DD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4DA3FF8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14153721">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636CA6EB">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1.报价低于（或等于）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lang w:eastAsia="zh-CN"/>
              </w:rPr>
              <w:t>控制价</w:t>
            </w:r>
            <w:r>
              <w:rPr>
                <w:rFonts w:hint="eastAsia" w:ascii="仿宋" w:hAnsi="仿宋" w:eastAsia="仿宋" w:cs="仿宋"/>
                <w:sz w:val="24"/>
                <w:szCs w:val="24"/>
                <w:highlight w:val="none"/>
              </w:rPr>
              <w:t>；</w:t>
            </w:r>
          </w:p>
          <w:p w14:paraId="5B973825">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供货期</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自接到招标人通知之日起，按照通知要求在3-7日内将货物运抵招标人指定地点，药剂按批次采购，单次实际采购量以招标人通知为准</w:t>
            </w:r>
            <w:r>
              <w:rPr>
                <w:rFonts w:hint="eastAsia" w:ascii="仿宋" w:hAnsi="仿宋" w:eastAsia="仿宋" w:cs="Times New Roman"/>
                <w:color w:val="000000"/>
                <w:sz w:val="24"/>
                <w:highlight w:val="none"/>
                <w:lang w:eastAsia="zh-CN"/>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质量标准</w:t>
            </w:r>
            <w:r>
              <w:rPr>
                <w:rFonts w:hint="eastAsia" w:ascii="仿宋" w:hAnsi="仿宋" w:eastAsia="仿宋" w:cs="仿宋"/>
                <w:sz w:val="24"/>
                <w:szCs w:val="24"/>
                <w:highlight w:val="none"/>
                <w:lang w:eastAsia="zh-CN"/>
              </w:rPr>
              <w:t>（</w:t>
            </w:r>
            <w:r>
              <w:rPr>
                <w:rFonts w:hint="eastAsia" w:ascii="仿宋" w:hAnsi="仿宋" w:eastAsia="仿宋" w:cs="Times New Roman"/>
                <w:color w:val="000000"/>
                <w:sz w:val="24"/>
                <w:highlight w:val="none"/>
                <w:lang w:val="en-US" w:eastAsia="zh-CN"/>
              </w:rPr>
              <w:t>达到合格标准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7C164CEB">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3.不存在招标文件规定的关于投标人串通投标的情形及其他投标无效的情形。</w:t>
            </w:r>
          </w:p>
        </w:tc>
      </w:tr>
    </w:tbl>
    <w:p w14:paraId="52D80510">
      <w:pPr>
        <w:rPr>
          <w:rFonts w:ascii="仿宋" w:hAnsi="仿宋" w:eastAsia="仿宋" w:cs="仿宋"/>
          <w:b/>
          <w:sz w:val="24"/>
          <w:szCs w:val="24"/>
          <w:highlight w:val="none"/>
        </w:rPr>
      </w:pPr>
      <w:r>
        <w:rPr>
          <w:rFonts w:hint="eastAsia" w:ascii="仿宋" w:hAnsi="仿宋" w:eastAsia="仿宋" w:cs="仿宋"/>
          <w:b/>
          <w:sz w:val="24"/>
          <w:szCs w:val="24"/>
          <w:highlight w:val="none"/>
        </w:rPr>
        <w:br w:type="page"/>
      </w:r>
      <w:r>
        <w:rPr>
          <w:rFonts w:hint="eastAsia" w:ascii="仿宋" w:hAnsi="仿宋" w:eastAsia="仿宋" w:cs="仿宋"/>
          <w:b/>
          <w:sz w:val="24"/>
          <w:szCs w:val="24"/>
          <w:highlight w:val="none"/>
        </w:rPr>
        <w:t>一、说明</w:t>
      </w:r>
    </w:p>
    <w:p w14:paraId="645B7AF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6B9DF36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20329E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19BB4C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07AFDB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6836B10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37B327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7C765BC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264EE1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7A99AA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59BE39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3C157F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32C53306">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1B18BF3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6CED359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734712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565614E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1CA807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097252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4BA38A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4C2BDCC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17497D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6F652F6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126D0E9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6ECFF2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061309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23FF09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1879155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0BE8B8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4A7DFF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6A5970D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5AF705D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78056F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7C24E66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6B312C4E">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03AB8A4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7CD27E7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7426DE1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6509FD1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4966856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21B02A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5B2FAF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01AFF57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6016F74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5651575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44101F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0E2188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3852E2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255C993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7EE76DB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603075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7AFA74F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6C0E0D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72C9FF8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518670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1D7BF3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1D3E7DE8">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23CEF5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098C23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3DC372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4E1754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7A6C84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402118F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03FD4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7123205A">
      <w:pPr>
        <w:snapToGrid w:val="0"/>
        <w:spacing w:line="360" w:lineRule="auto"/>
        <w:ind w:firstLine="482" w:firstLineChars="200"/>
        <w:jc w:val="lef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注：数据文件—投标报价表（含明细）中的价格均为除税价格。</w:t>
      </w:r>
    </w:p>
    <w:p w14:paraId="173092A6">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50FBFE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6B26058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6D4777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6450E7C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6409FAE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1B16D98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5FD114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1974185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7408240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41C46C91">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128FF6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0A5D7B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4A253E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40881DC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7B568A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0C447B9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39253A0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6BF8C9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4294ACD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75DFA7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76E84B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00004ED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2E5268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134B16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7F77312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31A85C9B">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0AE0B56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0E4C2ED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53457BEA">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0AEA1EB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6AE4CE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2B5361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0387456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788C42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7E1F188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60D3560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44E158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00D16F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4F15DA6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3C81A9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1F1CCB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622C0F8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78421B3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075154F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p>
    <w:p w14:paraId="1A6D28D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2D3FBF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7C0067C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039379C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5D09152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242DB58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6700660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322AA82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0889EF5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4915AE35">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666BF40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46848F1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42A7216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283F0BB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501EB4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449A35E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195B6E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2E84E9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35468B1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7AB3D6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3761D7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3E7E93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1B0D06DB">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2FF1F9C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009A6C13">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2082778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2D7B997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4773EC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59B74C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299E06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649852B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32D4AFD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22915F90">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4ADB132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112376A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26BA93E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250CE3B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06F087A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3C7639A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5B012FE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6B76E5C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031930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4C99C1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4594AB9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5AA1796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629371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63DD1A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05753C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3173964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2D4408F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759F7D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652164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6E9D1D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0C6F099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03471D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5837A5C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342BE8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690BC4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77E3BEA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730BFB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76952C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2D4A7F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261472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6B325F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233885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0C0E51D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6FB1BD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7407AE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14BF071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05B819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77499D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1516C4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48A4B6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0F6AC9B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50D7E5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6BA521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29FD48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76FDC62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27B6F55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177B7E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4AF972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4256AB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1F2E15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0B3D421B">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1BF686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0A4C4A3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04F35DB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0214D1F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164D981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0C5DB0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659CD58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75021BB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793576A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60A59B9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6204BDD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机构负责组织评标工作，具体评审事务由依法组建的评标委员会负责，评标委员会成员由评审专家5人以上的单数组成。情况特殊的，通过随机方式难以确定合适的评审专家的项目，经主管部门同意，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086764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665488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0B73268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5F10231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216FDA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417FB7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6E2C2F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39F0805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147BAC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48EC14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2670FE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4C192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684F0C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1DD6B61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451CB6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2BB88C6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3950F7F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3304B3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453369E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1933F0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4A5E7FF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546E81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2C38AC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639257E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2351AF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19108C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55DBC5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7A2F18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283DCDD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0CDF96F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422B24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347282C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391305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219D6B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73DA208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10160E0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7205D6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6ECCC51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274DD3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1C4F895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613176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12111BB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12E11C0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0BDE64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40B98B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56B61C0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2F247DD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57CB83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47B78CD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1BF3AD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7D2929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0E418E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26D6AE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10A5C9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3624F0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4D7245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5F2950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032FEF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7064AB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59156D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039117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28F943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6E7932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5A95EC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16F8E7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37D92D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710D07B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71602833">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5DAEE6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1BB42E4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0225ACE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3CF728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171EB62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6DF0B81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23A4E6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2A8EFCD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0E3B18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641001A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5402EB7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6E2A6A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7B18FF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09484F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117551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3B34AF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EBF8E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647F119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5E03EE3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191D13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20340F9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5FE7C4D5">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1849AE5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295FD17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2D56AC1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3627DDE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32873730">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58B5A8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246D9F5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5E0EC9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2BFDF5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76B2A3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545334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72B6B1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69FFD21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03158D8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标包二（固体聚丙烯酰胺（PAM阴离子））确定排名前三名的中标候选人为中标人</w:t>
      </w:r>
      <w:r>
        <w:rPr>
          <w:rFonts w:hint="eastAsia" w:ascii="仿宋" w:hAnsi="仿宋" w:eastAsia="仿宋" w:cs="仿宋"/>
          <w:sz w:val="24"/>
          <w:szCs w:val="24"/>
          <w:highlight w:val="none"/>
        </w:rPr>
        <w:t>；也可以自主定标。自主定标的，招标人应当在收到评审报告后3个工作日内确定中标人，招标人逾期未确定中标人且不提出异议的，标包二（固体聚丙烯酰胺（PAM阴离子）</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视为确定评审报告排名前</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名的</w:t>
      </w:r>
      <w:r>
        <w:rPr>
          <w:rFonts w:hint="eastAsia" w:ascii="仿宋" w:hAnsi="仿宋" w:eastAsia="仿宋" w:cs="仿宋"/>
          <w:sz w:val="24"/>
          <w:szCs w:val="24"/>
          <w:highlight w:val="none"/>
          <w:lang w:val="en-US" w:eastAsia="zh-CN"/>
        </w:rPr>
        <w:t>中标候选人为</w:t>
      </w:r>
      <w:r>
        <w:rPr>
          <w:rFonts w:hint="eastAsia" w:ascii="仿宋" w:hAnsi="仿宋" w:eastAsia="仿宋" w:cs="仿宋"/>
          <w:sz w:val="24"/>
          <w:szCs w:val="24"/>
          <w:highlight w:val="none"/>
        </w:rPr>
        <w:t>中标人。</w:t>
      </w:r>
    </w:p>
    <w:p w14:paraId="3EA22D9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14:paraId="130555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72467ED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2ED68F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1674EEE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2249FCD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011C17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70CC3CC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w:t>
      </w:r>
      <w:r>
        <w:rPr>
          <w:rFonts w:hint="eastAsia" w:ascii="仿宋" w:hAnsi="仿宋" w:eastAsia="仿宋" w:cs="仿宋"/>
          <w:sz w:val="24"/>
          <w:szCs w:val="24"/>
          <w:highlight w:val="none"/>
          <w:lang w:val="en-US" w:eastAsia="zh-CN"/>
        </w:rPr>
        <w:t>中</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名单排序，确定下一</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为中标人，也可以重新开展招标活动。</w:t>
      </w:r>
    </w:p>
    <w:p w14:paraId="7194862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4A13BEC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78DD2EEE">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招标人应当自定标结束后在招标公告发布媒介公示中标人。公示期为3日。</w:t>
      </w:r>
      <w:r>
        <w:rPr>
          <w:rFonts w:hint="eastAsia" w:ascii="仿宋" w:hAnsi="仿宋" w:eastAsia="仿宋" w:cs="仿宋"/>
          <w:b/>
          <w:bCs/>
          <w:sz w:val="24"/>
          <w:szCs w:val="24"/>
          <w:highlight w:val="none"/>
        </w:rPr>
        <w:t>31.签发中标通知书</w:t>
      </w:r>
    </w:p>
    <w:p w14:paraId="62B0439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17FC12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7F9611D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6DB6AA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63B8FDF3">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5B8E5B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565D39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42473E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24BA80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7AB703D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65CDDCC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1436F9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75C77D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366E1E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176A77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1534A8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7E15D5D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7770B9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0FD05DD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62136B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3E08582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058809B3">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71F032F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7DF45BD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010DE0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53297C71">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342A65CD">
      <w:pPr>
        <w:pStyle w:val="3"/>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048B5E7C">
      <w:pPr>
        <w:keepNext w:val="0"/>
        <w:keepLines w:val="0"/>
        <w:pageBreakBefore w:val="0"/>
        <w:kinsoku/>
        <w:wordWrap/>
        <w:overflowPunct/>
        <w:topLinePunct w:val="0"/>
        <w:autoSpaceDE/>
        <w:autoSpaceDN/>
        <w:bidi w:val="0"/>
        <w:adjustRightInd/>
        <w:snapToGrid/>
        <w:spacing w:line="336" w:lineRule="auto"/>
        <w:ind w:left="1925" w:leftChars="228" w:hanging="1446" w:hangingChars="600"/>
        <w:textAlignment w:val="auto"/>
        <w:rPr>
          <w:rFonts w:hint="eastAsia" w:ascii="仿宋" w:hAnsi="仿宋" w:eastAsia="仿宋" w:cs="仿宋"/>
          <w:b w:val="0"/>
          <w:bCs w:val="0"/>
          <w:sz w:val="24"/>
          <w:szCs w:val="24"/>
          <w:highlight w:val="none"/>
          <w:lang w:val="en-US" w:eastAsia="zh-CN"/>
        </w:rPr>
      </w:pPr>
      <w:bookmarkStart w:id="14" w:name="_Toc484525621"/>
      <w:r>
        <w:rPr>
          <w:rFonts w:hint="eastAsia" w:ascii="仿宋" w:hAnsi="仿宋" w:eastAsia="仿宋" w:cs="仿宋"/>
          <w:b/>
          <w:bCs/>
          <w:sz w:val="24"/>
          <w:szCs w:val="24"/>
          <w:highlight w:val="none"/>
        </w:rPr>
        <w:t>一、项目名称：</w:t>
      </w:r>
      <w:bookmarkStart w:id="15" w:name="_Hlk163316215"/>
      <w:r>
        <w:rPr>
          <w:rFonts w:hint="eastAsia" w:ascii="仿宋" w:hAnsi="仿宋" w:eastAsia="仿宋" w:cs="仿宋"/>
          <w:b w:val="0"/>
          <w:bCs w:val="0"/>
          <w:sz w:val="24"/>
          <w:szCs w:val="24"/>
          <w:highlight w:val="none"/>
          <w:lang w:val="en-US" w:eastAsia="zh-CN"/>
        </w:rPr>
        <w:t>威海水务投资有限责任公司选定PAM阳离子、PAM阴离子、</w:t>
      </w:r>
    </w:p>
    <w:p w14:paraId="3D5CF541">
      <w:pPr>
        <w:keepNext w:val="0"/>
        <w:keepLines w:val="0"/>
        <w:pageBreakBefore w:val="0"/>
        <w:kinsoku/>
        <w:wordWrap/>
        <w:overflowPunct/>
        <w:topLinePunct w:val="0"/>
        <w:autoSpaceDE/>
        <w:autoSpaceDN/>
        <w:bidi w:val="0"/>
        <w:adjustRightInd/>
        <w:snapToGrid/>
        <w:spacing w:line="336" w:lineRule="auto"/>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三氯化铁、单过硫酸氢钾消毒剂、复合碳源年度供应商</w:t>
      </w:r>
    </w:p>
    <w:p w14:paraId="2FBE7493">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rPr>
        <w:t>二、</w:t>
      </w:r>
      <w:r>
        <w:rPr>
          <w:rFonts w:hint="eastAsia" w:ascii="仿宋" w:hAnsi="仿宋" w:eastAsia="仿宋" w:cs="仿宋"/>
          <w:b/>
          <w:bCs/>
          <w:sz w:val="24"/>
          <w:szCs w:val="24"/>
          <w:highlight w:val="none"/>
          <w:lang w:val="en-US" w:eastAsia="zh-CN"/>
        </w:rPr>
        <w:t>服务期：</w:t>
      </w:r>
      <w:r>
        <w:rPr>
          <w:rFonts w:hint="eastAsia" w:ascii="仿宋" w:hAnsi="仿宋" w:eastAsia="仿宋" w:cs="仿宋"/>
          <w:b w:val="0"/>
          <w:bCs w:val="0"/>
          <w:sz w:val="24"/>
          <w:szCs w:val="24"/>
          <w:highlight w:val="none"/>
          <w:lang w:val="en-US" w:eastAsia="zh-CN"/>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p w14:paraId="6A787B80">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三、供货期：</w:t>
      </w:r>
      <w:r>
        <w:rPr>
          <w:rFonts w:hint="eastAsia" w:ascii="仿宋" w:hAnsi="仿宋" w:eastAsia="仿宋" w:cs="仿宋"/>
          <w:b w:val="0"/>
          <w:bCs w:val="0"/>
          <w:sz w:val="24"/>
          <w:szCs w:val="24"/>
          <w:highlight w:val="none"/>
          <w:lang w:val="en-US" w:eastAsia="zh-CN"/>
        </w:rPr>
        <w:t>自接到招标人通知之日起，按照通知要求在3-7日内将货物运抵招标人指定地点，药剂按批次采购，单次实际采购量以招标人通知为准。</w:t>
      </w:r>
    </w:p>
    <w:p w14:paraId="41AAA54C">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四、应急供货的时间要求：24小时；服务响应的时间要求：乙方在得到甲方通知后2小时内进行电话或邮件响应，如电话或邮件未能解决问题则在12小时内前往现场进行调试。</w:t>
      </w:r>
    </w:p>
    <w:p w14:paraId="7B28E9C7">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五、交货地点：</w:t>
      </w:r>
      <w:r>
        <w:rPr>
          <w:rFonts w:hint="eastAsia" w:ascii="仿宋" w:hAnsi="仿宋" w:eastAsia="仿宋" w:cs="仿宋"/>
          <w:b w:val="0"/>
          <w:bCs w:val="0"/>
          <w:sz w:val="24"/>
          <w:szCs w:val="24"/>
          <w:highlight w:val="none"/>
          <w:lang w:val="en-US" w:eastAsia="zh-CN"/>
        </w:rPr>
        <w:t>威海水务投资公司经区污水处理厂（威海市经济技术开发区崮山路6号）、威海水务投资公司初村污水处理厂（威海市高区初村镇职业学院北）、威海水务投资公司高区污水处理厂（威海市高区营口路6号）、威海水务投资公司临港区污水处理厂（威海市临港区草庙子镇曹格庄村南）、威海水务投资公司渗滤液处理中心（威海市环翠区张村镇天目路）。</w:t>
      </w:r>
    </w:p>
    <w:p w14:paraId="78EF02AA">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六、质量标准：</w:t>
      </w:r>
      <w:r>
        <w:rPr>
          <w:rFonts w:hint="eastAsia" w:ascii="仿宋" w:hAnsi="仿宋" w:eastAsia="仿宋" w:cs="仿宋"/>
          <w:b w:val="0"/>
          <w:bCs w:val="0"/>
          <w:sz w:val="24"/>
          <w:szCs w:val="24"/>
          <w:highlight w:val="none"/>
          <w:lang w:val="en-US" w:eastAsia="zh-CN"/>
        </w:rPr>
        <w:t>达到合格标准。</w:t>
      </w:r>
    </w:p>
    <w:p w14:paraId="2A4A470F">
      <w:pPr>
        <w:pStyle w:val="2"/>
        <w:keepNext w:val="0"/>
        <w:keepLines w:val="0"/>
        <w:pageBreakBefore w:val="0"/>
        <w:widowControl w:val="0"/>
        <w:kinsoku/>
        <w:wordWrap/>
        <w:overflowPunct/>
        <w:topLinePunct w:val="0"/>
        <w:bidi w:val="0"/>
        <w:snapToGrid/>
        <w:spacing w:line="336" w:lineRule="auto"/>
        <w:ind w:firstLine="482"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七、采购范围：</w:t>
      </w:r>
      <w:r>
        <w:rPr>
          <w:rFonts w:hint="eastAsia" w:ascii="仿宋" w:hAnsi="仿宋" w:eastAsia="仿宋" w:cs="仿宋"/>
          <w:b w:val="0"/>
          <w:bCs w:val="0"/>
          <w:color w:val="auto"/>
          <w:kern w:val="2"/>
          <w:sz w:val="24"/>
          <w:szCs w:val="24"/>
          <w:highlight w:val="none"/>
          <w:lang w:val="en-US" w:eastAsia="zh-CN" w:bidi="ar-SA"/>
        </w:rPr>
        <w:t>包括但不限于药剂的采购、检测、包装、运输、保管、装卸、验收、售后服务及其他服务。</w:t>
      </w:r>
    </w:p>
    <w:p w14:paraId="719EA72D">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八、药剂计划采购量和控制价：</w:t>
      </w:r>
    </w:p>
    <w:tbl>
      <w:tblPr>
        <w:tblStyle w:val="43"/>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3260"/>
        <w:gridCol w:w="1582"/>
        <w:gridCol w:w="2074"/>
        <w:gridCol w:w="777"/>
      </w:tblGrid>
      <w:tr w14:paraId="2DB0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927" w:type="dxa"/>
            <w:noWrap w:val="0"/>
            <w:vAlign w:val="center"/>
          </w:tcPr>
          <w:p w14:paraId="439E585F">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260" w:type="dxa"/>
            <w:noWrap w:val="0"/>
            <w:vAlign w:val="center"/>
          </w:tcPr>
          <w:p w14:paraId="590207AD">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582" w:type="dxa"/>
            <w:noWrap w:val="0"/>
            <w:vAlign w:val="center"/>
          </w:tcPr>
          <w:p w14:paraId="02915F41">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14:paraId="42F0E570">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074" w:type="dxa"/>
            <w:noWrap w:val="0"/>
            <w:vAlign w:val="center"/>
          </w:tcPr>
          <w:p w14:paraId="4E3FDE41">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14:paraId="7EF63F8D">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（除税）</w:t>
            </w:r>
          </w:p>
        </w:tc>
        <w:tc>
          <w:tcPr>
            <w:tcW w:w="777" w:type="dxa"/>
            <w:noWrap w:val="0"/>
            <w:vAlign w:val="center"/>
          </w:tcPr>
          <w:p w14:paraId="65A074CA">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3FF35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927" w:type="dxa"/>
            <w:noWrap w:val="0"/>
            <w:vAlign w:val="center"/>
          </w:tcPr>
          <w:p w14:paraId="4132B4EF">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260" w:type="dxa"/>
            <w:noWrap w:val="0"/>
            <w:vAlign w:val="center"/>
          </w:tcPr>
          <w:p w14:paraId="4A29C98F">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固体聚丙烯酰胺（PAM阴离子）</w:t>
            </w:r>
          </w:p>
        </w:tc>
        <w:tc>
          <w:tcPr>
            <w:tcW w:w="1582" w:type="dxa"/>
            <w:noWrap w:val="0"/>
            <w:vAlign w:val="center"/>
          </w:tcPr>
          <w:p w14:paraId="1C74B8E4">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190</w:t>
            </w:r>
          </w:p>
        </w:tc>
        <w:tc>
          <w:tcPr>
            <w:tcW w:w="2074" w:type="dxa"/>
            <w:noWrap w:val="0"/>
            <w:vAlign w:val="center"/>
          </w:tcPr>
          <w:p w14:paraId="0068E284">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5654.86</w:t>
            </w:r>
          </w:p>
        </w:tc>
        <w:tc>
          <w:tcPr>
            <w:tcW w:w="777" w:type="dxa"/>
            <w:noWrap w:val="0"/>
            <w:vAlign w:val="center"/>
          </w:tcPr>
          <w:p w14:paraId="2F5A1073">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7983F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3" w:hRule="atLeast"/>
        </w:trPr>
        <w:tc>
          <w:tcPr>
            <w:tcW w:w="8620" w:type="dxa"/>
            <w:gridSpan w:val="5"/>
            <w:noWrap w:val="0"/>
            <w:vAlign w:val="center"/>
          </w:tcPr>
          <w:p w14:paraId="689078EA">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注：1、报价包括但不限于药剂的采购、检测、包装、运输、保管、装卸、验收、售后服务及其他服务。</w:t>
            </w:r>
          </w:p>
          <w:p w14:paraId="4DE6F48B">
            <w:pPr>
              <w:pStyle w:val="17"/>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2、此数量为一年计划采购数量，只作为投标参考使用，实际采购数量根据处理规模、来水量变化等影响因素，采购量可适时调整，并据实结算，实际采购量多于或少于计划采购量均不视为违约。</w:t>
            </w:r>
          </w:p>
        </w:tc>
      </w:tr>
    </w:tbl>
    <w:p w14:paraId="3C547343">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九、药剂技术参数要求：</w:t>
      </w:r>
    </w:p>
    <w:tbl>
      <w:tblPr>
        <w:tblStyle w:val="43"/>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1759"/>
        <w:gridCol w:w="5155"/>
        <w:gridCol w:w="755"/>
      </w:tblGrid>
      <w:tr w14:paraId="06FA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002" w:type="dxa"/>
            <w:noWrap w:val="0"/>
            <w:vAlign w:val="center"/>
          </w:tcPr>
          <w:p w14:paraId="6597FC4F">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标包号</w:t>
            </w:r>
          </w:p>
        </w:tc>
        <w:tc>
          <w:tcPr>
            <w:tcW w:w="1759" w:type="dxa"/>
            <w:noWrap w:val="0"/>
            <w:vAlign w:val="center"/>
          </w:tcPr>
          <w:p w14:paraId="2209A023">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药剂名称</w:t>
            </w:r>
          </w:p>
        </w:tc>
        <w:tc>
          <w:tcPr>
            <w:tcW w:w="5155" w:type="dxa"/>
            <w:noWrap w:val="0"/>
            <w:vAlign w:val="center"/>
          </w:tcPr>
          <w:p w14:paraId="0F731040">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规格参数</w:t>
            </w:r>
          </w:p>
        </w:tc>
        <w:tc>
          <w:tcPr>
            <w:tcW w:w="755" w:type="dxa"/>
            <w:noWrap w:val="0"/>
            <w:vAlign w:val="center"/>
          </w:tcPr>
          <w:p w14:paraId="1FAB6758">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备注</w:t>
            </w:r>
          </w:p>
        </w:tc>
      </w:tr>
      <w:tr w14:paraId="7F9E2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1" w:hRule="atLeast"/>
          <w:jc w:val="center"/>
        </w:trPr>
        <w:tc>
          <w:tcPr>
            <w:tcW w:w="1002" w:type="dxa"/>
            <w:noWrap w:val="0"/>
            <w:vAlign w:val="center"/>
          </w:tcPr>
          <w:p w14:paraId="5B3D2F83">
            <w:pPr>
              <w:pStyle w:val="17"/>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pacing w:val="8"/>
                <w:kern w:val="2"/>
                <w:sz w:val="21"/>
                <w:szCs w:val="21"/>
                <w:highlight w:val="none"/>
                <w:vertAlign w:val="baseline"/>
                <w:lang w:val="en-US" w:eastAsia="zh-CN" w:bidi="ar-SA"/>
              </w:rPr>
              <w:t>标包二</w:t>
            </w:r>
          </w:p>
        </w:tc>
        <w:tc>
          <w:tcPr>
            <w:tcW w:w="1759" w:type="dxa"/>
            <w:noWrap w:val="0"/>
            <w:vAlign w:val="center"/>
          </w:tcPr>
          <w:p w14:paraId="3C673EB8">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固体</w:t>
            </w:r>
            <w:r>
              <w:rPr>
                <w:rFonts w:hint="eastAsia" w:ascii="仿宋" w:hAnsi="仿宋" w:eastAsia="仿宋" w:cs="仿宋"/>
                <w:sz w:val="21"/>
                <w:szCs w:val="21"/>
                <w:highlight w:val="none"/>
              </w:rPr>
              <w:t>聚丙烯酰胺</w:t>
            </w:r>
          </w:p>
          <w:p w14:paraId="06ACE810">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rPr>
              <w:t>（PAM</w:t>
            </w:r>
            <w:r>
              <w:rPr>
                <w:rFonts w:hint="eastAsia" w:ascii="仿宋" w:hAnsi="仿宋" w:eastAsia="仿宋" w:cs="仿宋"/>
                <w:sz w:val="21"/>
                <w:szCs w:val="21"/>
                <w:highlight w:val="none"/>
                <w:lang w:eastAsia="zh-CN"/>
              </w:rPr>
              <w:t>阴</w:t>
            </w:r>
            <w:r>
              <w:rPr>
                <w:rFonts w:hint="eastAsia" w:ascii="仿宋" w:hAnsi="仿宋" w:eastAsia="仿宋" w:cs="仿宋"/>
                <w:sz w:val="21"/>
                <w:szCs w:val="21"/>
                <w:highlight w:val="none"/>
              </w:rPr>
              <w:t>离子</w:t>
            </w:r>
            <w:r>
              <w:rPr>
                <w:rFonts w:hint="eastAsia" w:ascii="仿宋" w:hAnsi="仿宋" w:eastAsia="仿宋" w:cs="仿宋"/>
                <w:sz w:val="21"/>
                <w:szCs w:val="21"/>
                <w:highlight w:val="none"/>
                <w:lang w:eastAsia="zh-CN"/>
              </w:rPr>
              <w:t>）</w:t>
            </w:r>
          </w:p>
        </w:tc>
        <w:tc>
          <w:tcPr>
            <w:tcW w:w="5155" w:type="dxa"/>
            <w:noWrap w:val="0"/>
            <w:vAlign w:val="center"/>
          </w:tcPr>
          <w:p w14:paraId="5FCE0DF8">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符合标准：《水处理剂 阴离子和非离子型聚丙烯酰胺》GB/T17514-2017</w:t>
            </w:r>
          </w:p>
          <w:p w14:paraId="5369918E">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1、固含量（固体）/%≥90.0</w:t>
            </w:r>
          </w:p>
          <w:p w14:paraId="7A08B4C6">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2、丙烯酰胺单体含量（以干基计）/%≤0.02</w:t>
            </w:r>
          </w:p>
          <w:p w14:paraId="609CA08E">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3、溶解时间（阴离子型）/min≤60</w:t>
            </w:r>
          </w:p>
          <w:p w14:paraId="70144342">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4、筛余物（1.00mm筛网）/%≤2</w:t>
            </w:r>
          </w:p>
          <w:p w14:paraId="062C0D90">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5、筛余物（180μm筛网）/%≥88</w:t>
            </w:r>
          </w:p>
          <w:p w14:paraId="661AA68B">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6、水不溶物/%≤0.3</w:t>
            </w:r>
          </w:p>
          <w:p w14:paraId="451D18BD">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7、氯化物含量/%≤0.5</w:t>
            </w:r>
          </w:p>
          <w:p w14:paraId="78043156">
            <w:pPr>
              <w:keepNext w:val="0"/>
              <w:keepLines w:val="0"/>
              <w:pageBreakBefore w:val="0"/>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color w:val="000000"/>
                <w:sz w:val="21"/>
                <w:szCs w:val="21"/>
                <w:highlight w:val="none"/>
              </w:rPr>
              <w:t>8、硫酸盐含量/%≤1.0</w:t>
            </w:r>
          </w:p>
        </w:tc>
        <w:tc>
          <w:tcPr>
            <w:tcW w:w="755" w:type="dxa"/>
            <w:noWrap w:val="0"/>
            <w:vAlign w:val="center"/>
          </w:tcPr>
          <w:p w14:paraId="49055AE6">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bl>
    <w:p w14:paraId="68F32F48">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注：投标人应出具具备国家认定资质的第三方检测机构出具的有效的药剂检验/检测报告，证明所投标产品符合标准要求，否则投标无效。</w:t>
      </w:r>
    </w:p>
    <w:p w14:paraId="690164EB">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十、付款条件：</w:t>
      </w:r>
      <w:r>
        <w:rPr>
          <w:rFonts w:hint="eastAsia" w:ascii="仿宋" w:hAnsi="仿宋" w:eastAsia="仿宋" w:cs="仿宋"/>
          <w:b w:val="0"/>
          <w:bCs w:val="0"/>
          <w:sz w:val="24"/>
          <w:szCs w:val="24"/>
          <w:highlight w:val="none"/>
          <w:lang w:val="en-US" w:eastAsia="zh-CN"/>
        </w:rPr>
        <w:t>货到验收合格后招标人办理入库手续，双方每月定期对当月的药剂采购量和采购金额进行核对，中标单位应在采购量和采购金额核对无误后，及时开具增值税专用发票。招标人根据到厂物资报验单/送货单、验收入库单、增值税专用发票等作为结算确认依据。招标人每年安排三次付款，每次付款比例不超过当期账面应付账款的30%。</w:t>
      </w:r>
    </w:p>
    <w:p w14:paraId="2407C2A2">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一、标包二（固体聚丙烯酰胺（PAM阴离子））最终中标价格统一执行所有中标单位投标报价中分项报价（除税价）的最低价，中标候选单位如不能接受此价格，视为放弃中标资格，由综合得分排名次之的投标人中标，依次类推或重新招标。</w:t>
      </w:r>
    </w:p>
    <w:p w14:paraId="26804CBB">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十二、中标单位售后服务要求</w:t>
      </w:r>
    </w:p>
    <w:p w14:paraId="6EC2E14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中标单位所报价的药剂单价包括但不限于药剂的采购、检测、包装、运输、保管、装卸、验收、售后服务及其他服务。中标单位需自接到招标人通知之日起3-7日内，将药剂运送至招标方指定地点，招标人不再另行支付其他任何费用。</w:t>
      </w:r>
    </w:p>
    <w:p w14:paraId="7D4B53C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2、中标单位产品包装规格严格执行国家、行业有关标准，同时应有利于药剂使用、仓储及物流运输，包装费用包含在药剂价格内；</w:t>
      </w:r>
    </w:p>
    <w:p w14:paraId="6CF57E0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3、中标单位对所提供的药剂质量负责，提供的药剂必须符合国家、行业标准和合同约定标准，并与送交招标人的药剂检验合格证明中的检验结果保持一致。</w:t>
      </w:r>
    </w:p>
    <w:p w14:paraId="2711DEC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中标单位所提供的产品到达现场后，招标人对产品质量和数量进行验收。数量验收方面，固定包装固体类药剂，现场清点确定。液体类药剂过磅计量确定。产品质量验收方面，招标方每月委托指定单位对中标单位供应药剂进行抽检，抽检结果不合格时：（1）如抽检不合格药剂尚未使用，招标人有权要求中标单位对抽检不合格批次药剂进行更换，因产品质量问题给招标方造成的一切损失由中标单位负责赔偿；（2）如抽检不合格药剂已经使用，招标人有权对中标单位该批次药剂不予结算采购金额（采购金额=药剂结算单价*经抽检确定为不合格的同批次药剂总量）。另外，因产品质量问题给招标人造成的一切损失亦由中标单位负责赔偿；</w:t>
      </w:r>
    </w:p>
    <w:p w14:paraId="4A086DB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5、药剂每月抽检的检测单位由招标人确定，抽检结果即为唯一最终结果，不接受质疑。中标单位委托其他检测单位进行药剂检验的结果，招标人不予认可。</w:t>
      </w:r>
    </w:p>
    <w:p w14:paraId="55A7CF4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6、鉴于药剂抽检检测过程中，不可避免存在误差。因此，如抽检结果与约定的指标要求的误差范围在±2%以内（含±2%），则视为抽检合格。</w:t>
      </w:r>
    </w:p>
    <w:p w14:paraId="10ED37B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sz w:val="24"/>
          <w:szCs w:val="24"/>
          <w:highlight w:val="none"/>
          <w:lang w:val="en-US"/>
        </w:rPr>
      </w:pPr>
      <w:r>
        <w:rPr>
          <w:rFonts w:hint="eastAsia" w:ascii="仿宋" w:hAnsi="仿宋" w:eastAsia="仿宋" w:cs="仿宋"/>
          <w:b w:val="0"/>
          <w:bCs w:val="0"/>
          <w:sz w:val="24"/>
          <w:szCs w:val="24"/>
          <w:highlight w:val="none"/>
          <w:lang w:val="en-US" w:eastAsia="zh-CN"/>
        </w:rPr>
        <w:t>7、鉴于药剂原材料市场价格不可避免存在波动，中标的综合单价除税金外，若价格因市场变化因素变动超过5%，对于超出部分经双方协商同意后，按双方协商意见，只对超出5%的部分进行调整。</w:t>
      </w:r>
    </w:p>
    <w:p w14:paraId="69AABE1C">
      <w:pPr>
        <w:pStyle w:val="37"/>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25"/>
          <w:highlight w:val="none"/>
        </w:rPr>
      </w:pPr>
      <w:r>
        <w:rPr>
          <w:rFonts w:hint="eastAsia" w:ascii="仿宋" w:hAnsi="仿宋" w:eastAsia="仿宋" w:cs="Times New Roman"/>
          <w:b w:val="0"/>
          <w:bCs w:val="0"/>
          <w:sz w:val="24"/>
          <w:szCs w:val="24"/>
          <w:highlight w:val="none"/>
          <w:lang w:val="en-US" w:eastAsia="zh-CN"/>
        </w:rPr>
        <w:br w:type="page"/>
      </w:r>
      <w:bookmarkEnd w:id="15"/>
      <w:bookmarkStart w:id="16" w:name="_Toc16250"/>
      <w:r>
        <w:rPr>
          <w:rStyle w:val="125"/>
          <w:rFonts w:hint="eastAsia"/>
          <w:highlight w:val="none"/>
        </w:rPr>
        <w:t>第四部分  评标原则、程序与方法</w:t>
      </w:r>
    </w:p>
    <w:bookmarkEnd w:id="16"/>
    <w:p w14:paraId="750EB7EA">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46F0D45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577593A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677CC1E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39FB714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0C82768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6E0557F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2A8613C4">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4650B29A">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12FBED1A">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557D96F3">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447F3EF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5F6E560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2C904B8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046CE6D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796D44C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1A63655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50A1C9D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70704EC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45AF84A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6C471E1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1D308B0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4D88274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2621D2C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3C13949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17977BC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2D78180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70B5860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2F7B6F0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18ED9D92">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tbl>
      <w:tblPr>
        <w:tblStyle w:val="42"/>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2712F0A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6A13478E">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1BA30870">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4CF4A707">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26393F5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919" w:hRule="atLeast"/>
          <w:jc w:val="center"/>
        </w:trPr>
        <w:tc>
          <w:tcPr>
            <w:tcW w:w="1996" w:type="dxa"/>
            <w:tcBorders>
              <w:right w:val="single" w:color="auto" w:sz="4" w:space="0"/>
            </w:tcBorders>
            <w:noWrap w:val="0"/>
            <w:vAlign w:val="center"/>
          </w:tcPr>
          <w:p w14:paraId="6507038E">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bottom w:val="single" w:color="auto" w:sz="4" w:space="0"/>
            </w:tcBorders>
            <w:noWrap w:val="0"/>
            <w:vAlign w:val="center"/>
          </w:tcPr>
          <w:p w14:paraId="6D0B9CD8">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6C55533F">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投标报价不能超过招标控制价，否则否决其投标资格。</w:t>
            </w:r>
          </w:p>
          <w:p w14:paraId="25A92151">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评标基准价计算方法：</w:t>
            </w:r>
          </w:p>
          <w:p w14:paraId="4B727F1D">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当有效投标单位≥10家，评审基准价=（所有投标单位的有效报价之和-有效报价的最高值及次高值-有效报价的最低值及次低值）的算术平均值*0.95；</w:t>
            </w:r>
          </w:p>
          <w:p w14:paraId="7BD0EDB7">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当6家≤有效投标单位＜10家，评审基准价=（所有投标单位的有效报价之和-有效报价的最高值-有效报价的最低值）的算术平均值*0.95；</w:t>
            </w:r>
          </w:p>
          <w:p w14:paraId="72F6C768">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当有效投标单位数＜6家，评审基准价=所有投标单位的有效报价的算术平均值*0.95。</w:t>
            </w:r>
          </w:p>
          <w:p w14:paraId="74456E7F">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投标报价与评标基准价一致的，得40分；投标报价比评标基准价每高1%，扣0.5分；投标报价比评标基准价每低价1%，扣0.3分，最低计至0分。偏离不足1%，按插入法计算得分（四舍五入精确至小数点后两位）。</w:t>
            </w:r>
          </w:p>
          <w:p w14:paraId="1837DA91">
            <w:pPr>
              <w:pStyle w:val="13"/>
              <w:spacing w:line="400" w:lineRule="exact"/>
              <w:ind w:left="0" w:leftChars="0" w:firstLine="0" w:firstLineChars="0"/>
              <w:rPr>
                <w:rFonts w:hint="default" w:ascii="仿宋" w:hAnsi="仿宋" w:eastAsia="仿宋" w:cs="仿宋"/>
                <w:kern w:val="0"/>
                <w:sz w:val="24"/>
                <w:szCs w:val="24"/>
                <w:highlight w:val="none"/>
                <w:lang w:val="en-US"/>
              </w:rPr>
            </w:pPr>
            <w:r>
              <w:rPr>
                <w:rFonts w:hint="eastAsia" w:ascii="仿宋" w:hAnsi="仿宋" w:eastAsia="仿宋" w:cs="仿宋"/>
                <w:kern w:val="0"/>
                <w:sz w:val="24"/>
                <w:szCs w:val="24"/>
                <w:highlight w:val="none"/>
                <w:lang w:val="en-US" w:eastAsia="zh-CN"/>
              </w:rPr>
              <w:t>注：按除税价格计算报价得分。</w:t>
            </w:r>
          </w:p>
        </w:tc>
      </w:tr>
      <w:tr w14:paraId="10CEC5F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0A906080">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7A12D8EF">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28F25AC6">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提供投标人或生产厂家2023年01月01日至今的类似供货业绩，每提供一个单项合同或者年度供货合同（包括年度供货单价合同）得1分，满分5分。</w:t>
            </w:r>
          </w:p>
          <w:p w14:paraId="143A44F1">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注：1、类似供货业绩：</w:t>
            </w:r>
          </w:p>
          <w:p w14:paraId="091D599A">
            <w:pPr>
              <w:pStyle w:val="13"/>
              <w:spacing w:line="400" w:lineRule="exact"/>
              <w:ind w:left="0" w:leftChars="0" w:firstLine="0" w:firstLineChars="0"/>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标包二指固体聚丙烯酰胺（PAM阴离子）供货业绩。</w:t>
            </w:r>
          </w:p>
          <w:p w14:paraId="31031E51">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2、时间以合同签订时间为准。</w:t>
            </w:r>
          </w:p>
          <w:p w14:paraId="40D0440B">
            <w:pPr>
              <w:pStyle w:val="13"/>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3、投标文件中提供的合同复印件，项目名称或合同承包范围如不能体现类似业绩，应附相关证明材料，否则不得分</w:t>
            </w:r>
            <w:r>
              <w:rPr>
                <w:rFonts w:hint="eastAsia" w:ascii="仿宋" w:hAnsi="仿宋" w:eastAsia="仿宋" w:cs="仿宋"/>
                <w:kern w:val="0"/>
                <w:sz w:val="24"/>
                <w:szCs w:val="24"/>
                <w:highlight w:val="none"/>
              </w:rPr>
              <w:t>。</w:t>
            </w:r>
          </w:p>
        </w:tc>
      </w:tr>
      <w:tr w14:paraId="522A46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41F59F8B">
            <w:pPr>
              <w:pStyle w:val="13"/>
              <w:ind w:left="0" w:leftChars="0" w:firstLine="0" w:firstLineChars="0"/>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产品技术性能</w:t>
            </w:r>
          </w:p>
        </w:tc>
        <w:tc>
          <w:tcPr>
            <w:tcW w:w="835" w:type="dxa"/>
            <w:tcBorders>
              <w:top w:val="single" w:color="auto" w:sz="4" w:space="0"/>
              <w:left w:val="single" w:color="auto" w:sz="4" w:space="0"/>
            </w:tcBorders>
            <w:noWrap w:val="0"/>
            <w:vAlign w:val="center"/>
          </w:tcPr>
          <w:p w14:paraId="75B2CBE1">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noWrap w:val="0"/>
            <w:vAlign w:val="center"/>
          </w:tcPr>
          <w:p w14:paraId="11D638AE">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投标单位所报产品技术方面不能实质性满足招标文件要求的投标无效。能实质性满足招标文件要求的，由评委根据以下标准酌情打分：</w:t>
            </w:r>
          </w:p>
          <w:p w14:paraId="313B3532">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分-20分（含）】：投标人所报产品市场知名度及市场认知度高，提供国家认定资质的第三方检测机构出具的所投药剂的检验/检测报告检测报告复印件，质量可靠、安全性能稳定，产品的技术水平领先、技术参数等重要指标优于招标文件要求。</w:t>
            </w:r>
          </w:p>
          <w:p w14:paraId="333B51A3">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【7分-14分（含）】：投标人所报产品市场知名度及市场认知度较高，质量可靠、安全性能稳定，产品的技术水平、技术参数以及重要指标满足招标文件要求.</w:t>
            </w:r>
          </w:p>
          <w:p w14:paraId="2F94E3CC">
            <w:pPr>
              <w:pStyle w:val="13"/>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【0分-7分（含）】：投标人所报产品的技术水平、技术参数以及重要指标仅能满足招标文件要求。</w:t>
            </w:r>
          </w:p>
        </w:tc>
      </w:tr>
      <w:tr w14:paraId="4956686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1AD258A3">
            <w:pPr>
              <w:pStyle w:val="13"/>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产品质量控制</w:t>
            </w:r>
          </w:p>
          <w:p w14:paraId="4998B9EA">
            <w:pPr>
              <w:pStyle w:val="13"/>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方案和措施</w:t>
            </w:r>
          </w:p>
        </w:tc>
        <w:tc>
          <w:tcPr>
            <w:tcW w:w="835" w:type="dxa"/>
            <w:tcBorders>
              <w:top w:val="single" w:color="auto" w:sz="4" w:space="0"/>
              <w:left w:val="single" w:color="auto" w:sz="4" w:space="0"/>
            </w:tcBorders>
            <w:noWrap w:val="0"/>
            <w:vAlign w:val="center"/>
          </w:tcPr>
          <w:p w14:paraId="4084CB8D">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1F36C6C6">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评委根据投标人提供的产品质量控制方案和措施按照以下标准酌情打分：</w:t>
            </w:r>
          </w:p>
          <w:p w14:paraId="2EE676B0">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分-15分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：质量控制方案和措施描述合理、全面；</w:t>
            </w:r>
          </w:p>
          <w:p w14:paraId="65E99212">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：质量控制方案和措施描述一般；</w:t>
            </w:r>
          </w:p>
          <w:p w14:paraId="0219320C">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：较差的。</w:t>
            </w:r>
          </w:p>
          <w:p w14:paraId="28A2012C">
            <w:pPr>
              <w:pStyle w:val="13"/>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未提供产品质量控制方案和措施的本项不得分。</w:t>
            </w:r>
          </w:p>
        </w:tc>
      </w:tr>
      <w:tr w14:paraId="627856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117D238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供货方案</w:t>
            </w:r>
          </w:p>
        </w:tc>
        <w:tc>
          <w:tcPr>
            <w:tcW w:w="835" w:type="dxa"/>
            <w:tcBorders>
              <w:top w:val="single" w:color="auto" w:sz="4" w:space="0"/>
              <w:left w:val="single" w:color="auto" w:sz="4" w:space="0"/>
            </w:tcBorders>
            <w:noWrap w:val="0"/>
            <w:vAlign w:val="center"/>
          </w:tcPr>
          <w:p w14:paraId="5ECAAAF0">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14:paraId="2CFB85B9">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评标委员会根据投标文件中供货方案等进行分析比较，按照以下标准进行打分。</w:t>
            </w:r>
          </w:p>
          <w:p w14:paraId="74AADFF2">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-10分（含）】：投标人的供货方案、运输方案、应急预案全面、供货响应时间、紧急供货响应时间快速，安排内容全面；组织实施方案严谨、科学、可操作性强，能有效保证本项目的实施，具有明显的优势。</w:t>
            </w:r>
          </w:p>
          <w:p w14:paraId="6D23073B">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【3分-6分（含）】：投标人供货方案、运输方案、应急预案较全面、供货响应时间、紧急供货响应时间整体较长；能够满足招标文件的需求，不具有突出优势。</w:t>
            </w:r>
          </w:p>
          <w:p w14:paraId="1733762E">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【0分-3分（含）】：投标人的供货方案、运输方案、应急预案整体一般、供货响应时间、紧急供货响应时间安排松散；组织不协调；实用性差。</w:t>
            </w:r>
          </w:p>
          <w:p w14:paraId="134A7E01">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未提供供货方案的本项不得分。</w:t>
            </w:r>
          </w:p>
        </w:tc>
      </w:tr>
      <w:tr w14:paraId="09911F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7C3EF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售后及相关</w:t>
            </w:r>
          </w:p>
          <w:p w14:paraId="7EC921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szCs w:val="24"/>
                <w:highlight w:val="none"/>
                <w:lang w:val="en-US" w:eastAsia="zh-CN"/>
              </w:rPr>
              <w:t>服务方案</w:t>
            </w:r>
          </w:p>
        </w:tc>
        <w:tc>
          <w:tcPr>
            <w:tcW w:w="835" w:type="dxa"/>
            <w:tcBorders>
              <w:top w:val="single" w:color="auto" w:sz="4" w:space="0"/>
              <w:left w:val="single" w:color="auto" w:sz="4" w:space="0"/>
            </w:tcBorders>
            <w:noWrap w:val="0"/>
            <w:vAlign w:val="center"/>
          </w:tcPr>
          <w:p w14:paraId="588C1011">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14:paraId="152B9352">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由评委审核根据投标单位提供的售后及相关服务方案按照以下标准酌情打分：</w:t>
            </w:r>
          </w:p>
          <w:p w14:paraId="40A5F195">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：投标人提供的售后服务内容全面、措施完善，故障、技术支持响应时间快；</w:t>
            </w:r>
          </w:p>
          <w:p w14:paraId="2A43D6B2">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投标人拟派售后服务技术人员多、经验丰富，能够很好的满足用户实际使用要求，有突出的售后服务优势；</w:t>
            </w:r>
          </w:p>
          <w:p w14:paraId="3F1F8B02">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分-6分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：投标人提供的售后服务内容比较全面、服务措施比较完善，故障、技术支持响应时间偏长，能够满足用户实际使用要求；</w:t>
            </w:r>
          </w:p>
          <w:p w14:paraId="565035C6">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分-3分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：投标人提供的售后服务内容比较简陋或存在部分缺陷，承诺的服务水平相对较低，仅能基本满足用户实际使用要求。</w:t>
            </w:r>
          </w:p>
          <w:p w14:paraId="4D01CBC0">
            <w:pPr>
              <w:spacing w:line="36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未提供售后及相关服务方案本项不得分。</w:t>
            </w:r>
          </w:p>
        </w:tc>
      </w:tr>
    </w:tbl>
    <w:p w14:paraId="5EC5187D">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5D39054D">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5969181C">
      <w:pPr>
        <w:spacing w:line="440" w:lineRule="exact"/>
        <w:contextualSpacing/>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rPr>
        <w:t>③汇总各评委打分进行算术平均，计算出各投标人的综合得分。</w:t>
      </w:r>
    </w:p>
    <w:p w14:paraId="1CB1005C">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5D0C196C">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1、评标委员会根据招标文件载明的评标细则进行综合评审，并按评审后得分由高到低顺序排列，标包二（固体聚丙烯酰胺（PAM阴离子））</w:t>
      </w:r>
      <w:r>
        <w:rPr>
          <w:rFonts w:hint="eastAsia" w:ascii="仿宋" w:hAnsi="仿宋" w:eastAsia="仿宋" w:cs="仿宋"/>
          <w:bCs/>
          <w:sz w:val="24"/>
          <w:szCs w:val="24"/>
          <w:highlight w:val="none"/>
          <w:lang w:val="en-US" w:eastAsia="zh-CN"/>
        </w:rPr>
        <w:t>确定排名前三名的为中标候选人</w:t>
      </w:r>
      <w:r>
        <w:rPr>
          <w:rFonts w:hint="eastAsia" w:ascii="仿宋" w:hAnsi="仿宋" w:eastAsia="仿宋" w:cs="仿宋"/>
          <w:bCs/>
          <w:sz w:val="24"/>
          <w:szCs w:val="24"/>
          <w:highlight w:val="none"/>
        </w:rPr>
        <w:t>。</w:t>
      </w:r>
    </w:p>
    <w:p w14:paraId="06EC3C55">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2、评标结束后，公示无异议标包二（固体聚丙烯酰胺（PAM阴离子））确定排名前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w:t>
      </w:r>
      <w:r>
        <w:rPr>
          <w:rFonts w:hint="eastAsia" w:ascii="仿宋" w:hAnsi="仿宋" w:eastAsia="仿宋" w:cs="仿宋"/>
          <w:bCs/>
          <w:sz w:val="24"/>
          <w:szCs w:val="24"/>
          <w:highlight w:val="none"/>
          <w:lang w:val="en-US" w:eastAsia="zh-CN"/>
        </w:rPr>
        <w:t>中标候选人</w:t>
      </w:r>
      <w:r>
        <w:rPr>
          <w:rFonts w:hint="eastAsia" w:ascii="仿宋" w:hAnsi="仿宋" w:eastAsia="仿宋" w:cs="仿宋"/>
          <w:bCs/>
          <w:sz w:val="24"/>
          <w:szCs w:val="24"/>
          <w:highlight w:val="none"/>
        </w:rPr>
        <w:t>为中标人。</w:t>
      </w:r>
      <w:r>
        <w:rPr>
          <w:rFonts w:hint="eastAsia" w:ascii="仿宋" w:hAnsi="仿宋" w:eastAsia="仿宋" w:cs="仿宋"/>
          <w:b/>
          <w:bCs w:val="0"/>
          <w:sz w:val="24"/>
          <w:szCs w:val="24"/>
          <w:highlight w:val="none"/>
        </w:rPr>
        <w:t>标包二（固体聚丙烯酰胺（PAM阴离子））最终中标价格统一执行所有中标单位投标报价中分项报价</w:t>
      </w:r>
      <w:r>
        <w:rPr>
          <w:rFonts w:hint="eastAsia" w:ascii="仿宋" w:hAnsi="仿宋" w:eastAsia="仿宋" w:cs="仿宋"/>
          <w:b/>
          <w:bCs w:val="0"/>
          <w:sz w:val="24"/>
          <w:szCs w:val="24"/>
          <w:highlight w:val="none"/>
          <w:lang w:eastAsia="zh-CN"/>
        </w:rPr>
        <w:t>（</w:t>
      </w:r>
      <w:r>
        <w:rPr>
          <w:rFonts w:hint="eastAsia" w:ascii="仿宋" w:hAnsi="仿宋" w:eastAsia="仿宋" w:cs="仿宋"/>
          <w:b/>
          <w:bCs w:val="0"/>
          <w:sz w:val="24"/>
          <w:szCs w:val="24"/>
          <w:highlight w:val="none"/>
          <w:lang w:val="en-US" w:eastAsia="zh-CN"/>
        </w:rPr>
        <w:t>除税价</w:t>
      </w:r>
      <w:r>
        <w:rPr>
          <w:rFonts w:hint="eastAsia" w:ascii="仿宋" w:hAnsi="仿宋" w:eastAsia="仿宋" w:cs="仿宋"/>
          <w:b/>
          <w:bCs w:val="0"/>
          <w:sz w:val="24"/>
          <w:szCs w:val="24"/>
          <w:highlight w:val="none"/>
          <w:lang w:eastAsia="zh-CN"/>
        </w:rPr>
        <w:t>）</w:t>
      </w:r>
      <w:r>
        <w:rPr>
          <w:rFonts w:hint="eastAsia" w:ascii="仿宋" w:hAnsi="仿宋" w:eastAsia="仿宋" w:cs="仿宋"/>
          <w:b/>
          <w:bCs w:val="0"/>
          <w:sz w:val="24"/>
          <w:szCs w:val="24"/>
          <w:highlight w:val="none"/>
        </w:rPr>
        <w:t>的最低价，</w:t>
      </w:r>
      <w:r>
        <w:rPr>
          <w:rFonts w:hint="eastAsia" w:ascii="仿宋" w:hAnsi="仿宋" w:eastAsia="仿宋" w:cs="仿宋"/>
          <w:bCs/>
          <w:sz w:val="24"/>
          <w:szCs w:val="24"/>
          <w:highlight w:val="none"/>
        </w:rPr>
        <w:t>中标候选单位如不能接受此价格，视为放弃中标资格，由综合得分排名次之的投标人中标，依次类推或重新招标。</w:t>
      </w:r>
    </w:p>
    <w:p w14:paraId="44AE0478">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如发现中标候选人存在与招标文件、投标文件不符或弄虚作假等其它违法行为，经招标单位同意：取消中标候选人资格，由排名次之的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中标，依次类推或重新招标。</w:t>
      </w:r>
    </w:p>
    <w:p w14:paraId="32DDFC09">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276FD768">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12CD5535">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6D3CC56B">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3B544628">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31825F3C">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03DDFE6E">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签订合同或重新组织招标。</w:t>
      </w:r>
    </w:p>
    <w:p w14:paraId="44A33F78">
      <w:pPr>
        <w:jc w:val="center"/>
        <w:outlineLvl w:val="0"/>
        <w:rPr>
          <w:rStyle w:val="125"/>
          <w:highlight w:val="none"/>
        </w:rPr>
      </w:pPr>
      <w:r>
        <w:rPr>
          <w:rFonts w:hint="eastAsia" w:ascii="仿宋" w:hAnsi="仿宋" w:eastAsia="仿宋" w:cs="仿宋"/>
          <w:bCs/>
          <w:sz w:val="24"/>
          <w:szCs w:val="24"/>
          <w:highlight w:val="none"/>
        </w:rPr>
        <w:br w:type="page"/>
      </w:r>
      <w:bookmarkStart w:id="17" w:name="_Toc5498"/>
      <w:r>
        <w:rPr>
          <w:rStyle w:val="125"/>
          <w:rFonts w:hint="eastAsia"/>
          <w:highlight w:val="none"/>
        </w:rPr>
        <w:t>第五部分    投标文件（格式）</w:t>
      </w:r>
      <w:bookmarkEnd w:id="17"/>
    </w:p>
    <w:p w14:paraId="172BB71D">
      <w:pPr>
        <w:jc w:val="center"/>
        <w:rPr>
          <w:rFonts w:hint="eastAsia" w:ascii="仿宋" w:hAnsi="仿宋" w:eastAsia="仿宋" w:cs="仿宋"/>
          <w:bCs/>
          <w:sz w:val="30"/>
          <w:szCs w:val="30"/>
          <w:highlight w:val="none"/>
        </w:rPr>
      </w:pPr>
    </w:p>
    <w:p w14:paraId="25771582">
      <w:pPr>
        <w:jc w:val="center"/>
        <w:rPr>
          <w:rFonts w:hint="eastAsia" w:ascii="仿宋" w:hAnsi="仿宋" w:eastAsia="仿宋" w:cs="仿宋"/>
          <w:bCs/>
          <w:sz w:val="30"/>
          <w:szCs w:val="30"/>
          <w:highlight w:val="none"/>
        </w:rPr>
      </w:pPr>
    </w:p>
    <w:p w14:paraId="5E6D6F4B">
      <w:pPr>
        <w:jc w:val="center"/>
        <w:rPr>
          <w:rFonts w:hint="eastAsia" w:ascii="仿宋" w:hAnsi="仿宋" w:eastAsia="仿宋" w:cs="仿宋"/>
          <w:bCs/>
          <w:sz w:val="30"/>
          <w:szCs w:val="30"/>
          <w:highlight w:val="none"/>
        </w:rPr>
      </w:pPr>
    </w:p>
    <w:p w14:paraId="666C6464">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27894600">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24D1E670">
      <w:pPr>
        <w:ind w:firstLine="900" w:firstLineChars="300"/>
        <w:jc w:val="left"/>
        <w:rPr>
          <w:rFonts w:ascii="仿宋" w:hAnsi="仿宋" w:eastAsia="仿宋" w:cs="仿宋"/>
          <w:bCs/>
          <w:sz w:val="30"/>
          <w:szCs w:val="30"/>
          <w:highlight w:val="none"/>
        </w:rPr>
      </w:pPr>
    </w:p>
    <w:p w14:paraId="56AA4A02">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35EE42CE">
      <w:pPr>
        <w:ind w:firstLine="900" w:firstLineChars="300"/>
        <w:jc w:val="left"/>
        <w:rPr>
          <w:rFonts w:ascii="仿宋" w:hAnsi="仿宋" w:eastAsia="仿宋" w:cs="仿宋"/>
          <w:bCs/>
          <w:sz w:val="30"/>
          <w:szCs w:val="30"/>
          <w:highlight w:val="none"/>
        </w:rPr>
      </w:pPr>
    </w:p>
    <w:p w14:paraId="26FEB32E">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4CD1C6B3">
      <w:pPr>
        <w:ind w:firstLine="900" w:firstLineChars="300"/>
        <w:jc w:val="left"/>
        <w:rPr>
          <w:rFonts w:hint="eastAsia" w:ascii="仿宋" w:hAnsi="仿宋" w:eastAsia="仿宋" w:cs="仿宋"/>
          <w:bCs/>
          <w:sz w:val="30"/>
          <w:szCs w:val="30"/>
          <w:highlight w:val="none"/>
        </w:rPr>
      </w:pPr>
    </w:p>
    <w:p w14:paraId="3546E14B">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14:paraId="60CD5304">
      <w:pPr>
        <w:ind w:firstLine="900" w:firstLineChars="300"/>
        <w:jc w:val="left"/>
        <w:rPr>
          <w:rFonts w:hint="eastAsia" w:ascii="仿宋" w:hAnsi="仿宋" w:eastAsia="仿宋" w:cs="仿宋"/>
          <w:bCs/>
          <w:sz w:val="30"/>
          <w:szCs w:val="30"/>
          <w:highlight w:val="none"/>
        </w:rPr>
      </w:pPr>
    </w:p>
    <w:p w14:paraId="73FD4080">
      <w:pPr>
        <w:pStyle w:val="2"/>
        <w:rPr>
          <w:rFonts w:hint="eastAsia"/>
          <w:highlight w:val="none"/>
        </w:rPr>
      </w:pPr>
    </w:p>
    <w:p w14:paraId="0AD3BF33">
      <w:pPr>
        <w:ind w:firstLine="900" w:firstLineChars="300"/>
        <w:jc w:val="left"/>
        <w:rPr>
          <w:rFonts w:hint="eastAsia" w:ascii="仿宋" w:hAnsi="仿宋" w:eastAsia="仿宋" w:cs="仿宋"/>
          <w:bCs/>
          <w:sz w:val="30"/>
          <w:szCs w:val="30"/>
          <w:highlight w:val="none"/>
        </w:rPr>
      </w:pPr>
    </w:p>
    <w:p w14:paraId="3FA961D9">
      <w:pPr>
        <w:pStyle w:val="24"/>
        <w:rPr>
          <w:rFonts w:ascii="仿宋" w:hAnsi="仿宋" w:eastAsia="仿宋" w:cs="仿宋"/>
          <w:kern w:val="0"/>
          <w:sz w:val="30"/>
          <w:szCs w:val="30"/>
          <w:highlight w:val="none"/>
        </w:rPr>
      </w:pPr>
    </w:p>
    <w:p w14:paraId="063DF31E">
      <w:pPr>
        <w:pStyle w:val="37"/>
        <w:rPr>
          <w:rFonts w:ascii="仿宋" w:hAnsi="仿宋" w:eastAsia="仿宋" w:cs="仿宋"/>
          <w:sz w:val="30"/>
          <w:szCs w:val="30"/>
          <w:highlight w:val="none"/>
        </w:rPr>
      </w:pPr>
    </w:p>
    <w:p w14:paraId="1646C4B8">
      <w:pPr>
        <w:pStyle w:val="37"/>
        <w:rPr>
          <w:rFonts w:ascii="仿宋" w:hAnsi="仿宋" w:eastAsia="仿宋" w:cs="仿宋"/>
          <w:sz w:val="30"/>
          <w:szCs w:val="30"/>
          <w:highlight w:val="none"/>
        </w:rPr>
      </w:pPr>
    </w:p>
    <w:p w14:paraId="4AFAB7EB">
      <w:pPr>
        <w:pStyle w:val="37"/>
        <w:rPr>
          <w:rFonts w:ascii="仿宋" w:hAnsi="仿宋" w:eastAsia="仿宋" w:cs="仿宋"/>
          <w:sz w:val="30"/>
          <w:szCs w:val="30"/>
          <w:highlight w:val="none"/>
        </w:rPr>
      </w:pPr>
    </w:p>
    <w:p w14:paraId="793E00DD">
      <w:pPr>
        <w:pStyle w:val="37"/>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204E5524">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33DB1292">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03235EE3">
      <w:pPr>
        <w:pStyle w:val="2"/>
        <w:rPr>
          <w:rFonts w:hint="eastAsia"/>
        </w:rPr>
      </w:pPr>
    </w:p>
    <w:p w14:paraId="6047C135">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21F3E22E">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2C1D5E5E">
      <w:pPr>
        <w:jc w:val="center"/>
        <w:rPr>
          <w:rFonts w:ascii="仿宋" w:hAnsi="仿宋" w:eastAsia="仿宋" w:cs="仿宋"/>
          <w:b/>
          <w:bCs/>
          <w:sz w:val="24"/>
          <w:szCs w:val="24"/>
          <w:highlight w:val="none"/>
        </w:rPr>
      </w:pPr>
    </w:p>
    <w:p w14:paraId="3DF46891">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4729DDC5">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52099B06">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14:paraId="6EFDE04C">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47DC31BC">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135AB010">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57ADBA1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04102394">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5B9E49A2">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6A180239">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7BE63694">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50F79824">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07517B92">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2B385BCD">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03B02494">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7D42354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7B860E33">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06160CBF">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6BF98382">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37C8D446">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027CB8F1">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14:paraId="74C1E99E">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5E86B750">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36BDC9CB">
      <w:pPr>
        <w:pStyle w:val="24"/>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WHSW-SWT2026-001</w:t>
      </w:r>
    </w:p>
    <w:p w14:paraId="5AC3E776">
      <w:pPr>
        <w:pStyle w:val="24"/>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威海水务投资有限责任公司选定PAM阳离子、PAM阴离子、三氯化铁、单过硫酸氢钾消毒剂、复合碳源年度供应商</w:t>
      </w:r>
    </w:p>
    <w:tbl>
      <w:tblPr>
        <w:tblStyle w:val="42"/>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6391"/>
      </w:tblGrid>
      <w:tr w14:paraId="3CBB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23BF2968">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noWrap w:val="0"/>
            <w:vAlign w:val="center"/>
          </w:tcPr>
          <w:p w14:paraId="070A4A6F">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w:t>
            </w:r>
          </w:p>
        </w:tc>
      </w:tr>
      <w:tr w14:paraId="2B05C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72CC6D22">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除税</w:t>
            </w:r>
            <w:r>
              <w:rPr>
                <w:rFonts w:hint="eastAsia" w:ascii="仿宋" w:hAnsi="仿宋" w:eastAsia="仿宋" w:cs="仿宋"/>
                <w:sz w:val="24"/>
                <w:highlight w:val="none"/>
                <w:lang w:eastAsia="zh-CN"/>
              </w:rPr>
              <w:t>）</w:t>
            </w:r>
          </w:p>
        </w:tc>
        <w:tc>
          <w:tcPr>
            <w:tcW w:w="6391" w:type="dxa"/>
            <w:noWrap w:val="0"/>
            <w:vAlign w:val="center"/>
          </w:tcPr>
          <w:p w14:paraId="51A9BF62">
            <w:pPr>
              <w:tabs>
                <w:tab w:val="left" w:pos="4860"/>
              </w:tabs>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eastAsia="zh-Hans"/>
              </w:rPr>
              <w:t xml:space="preserve">             </w:t>
            </w:r>
            <w:r>
              <w:rPr>
                <w:rFonts w:ascii="仿宋" w:hAnsi="仿宋" w:eastAsia="仿宋" w:cs="仿宋"/>
                <w:sz w:val="24"/>
                <w:highlight w:val="none"/>
                <w:u w:val="single"/>
                <w:lang w:eastAsia="zh-Hans"/>
              </w:rPr>
              <w:t xml:space="preserve">  </w:t>
            </w:r>
            <w:r>
              <w:rPr>
                <w:rFonts w:hint="eastAsia" w:ascii="仿宋" w:hAnsi="仿宋" w:eastAsia="仿宋" w:cs="仿宋"/>
                <w:sz w:val="24"/>
                <w:highlight w:val="none"/>
                <w:lang w:eastAsia="zh-Hans"/>
              </w:rPr>
              <w:t>元</w:t>
            </w:r>
            <w:r>
              <w:rPr>
                <w:rFonts w:hint="eastAsia" w:ascii="仿宋" w:hAnsi="仿宋" w:eastAsia="仿宋" w:cs="仿宋"/>
                <w:sz w:val="24"/>
                <w:highlight w:val="none"/>
                <w:lang w:val="en-US" w:eastAsia="zh-CN"/>
              </w:rPr>
              <w:t>/吨</w:t>
            </w:r>
          </w:p>
        </w:tc>
      </w:tr>
      <w:tr w14:paraId="2DA3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246CC298">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税率</w:t>
            </w:r>
          </w:p>
        </w:tc>
        <w:tc>
          <w:tcPr>
            <w:tcW w:w="6391" w:type="dxa"/>
            <w:noWrap w:val="0"/>
            <w:vAlign w:val="center"/>
          </w:tcPr>
          <w:p w14:paraId="557E08C2">
            <w:pPr>
              <w:spacing w:line="240" w:lineRule="auto"/>
              <w:jc w:val="left"/>
              <w:rPr>
                <w:rFonts w:hint="eastAsia" w:ascii="仿宋" w:hAnsi="仿宋" w:eastAsia="仿宋" w:cs="仿宋"/>
                <w:color w:val="auto"/>
                <w:kern w:val="2"/>
                <w:sz w:val="24"/>
                <w:szCs w:val="24"/>
                <w:highlight w:val="none"/>
                <w:u w:val="single"/>
                <w:lang w:val="en-US" w:eastAsia="zh-CN" w:bidi="ar-SA"/>
              </w:rPr>
            </w:pPr>
          </w:p>
        </w:tc>
      </w:tr>
      <w:tr w14:paraId="424C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64544AAB">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noWrap w:val="0"/>
            <w:vAlign w:val="center"/>
          </w:tcPr>
          <w:p w14:paraId="0F4EF2E3">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u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tc>
      </w:tr>
      <w:tr w14:paraId="43CF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42641DC7">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供货期</w:t>
            </w:r>
          </w:p>
        </w:tc>
        <w:tc>
          <w:tcPr>
            <w:tcW w:w="6391" w:type="dxa"/>
            <w:noWrap w:val="0"/>
            <w:vAlign w:val="center"/>
          </w:tcPr>
          <w:p w14:paraId="7F713B97">
            <w:pPr>
              <w:tabs>
                <w:tab w:val="left" w:pos="4860"/>
              </w:tabs>
              <w:spacing w:line="44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u w:val="none"/>
              </w:rPr>
              <w:t>自接到招标人通知之日起，按照通知要求在</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rPr>
              <w:t>日内将货物运抵招标人指定地点，药剂按批次采购，单次实际采购量以招标人通知为准。</w:t>
            </w:r>
          </w:p>
        </w:tc>
      </w:tr>
      <w:tr w14:paraId="4E435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70566FD4">
            <w:pPr>
              <w:tabs>
                <w:tab w:val="left" w:pos="4860"/>
              </w:tabs>
              <w:spacing w:line="440" w:lineRule="exact"/>
              <w:jc w:val="center"/>
              <w:rPr>
                <w:rFonts w:hint="eastAsia" w:ascii="仿宋" w:hAnsi="仿宋" w:eastAsia="仿宋" w:cs="仿宋"/>
                <w:sz w:val="24"/>
                <w:highlight w:val="none"/>
                <w:lang w:eastAsia="zh-Hans"/>
              </w:rPr>
            </w:pPr>
            <w:r>
              <w:rPr>
                <w:rFonts w:hint="eastAsia" w:ascii="仿宋" w:hAnsi="仿宋" w:eastAsia="仿宋" w:cs="仿宋"/>
                <w:sz w:val="24"/>
                <w:highlight w:val="none"/>
                <w:lang w:eastAsia="zh-Hans"/>
              </w:rPr>
              <w:t>质量标准</w:t>
            </w:r>
          </w:p>
        </w:tc>
        <w:tc>
          <w:tcPr>
            <w:tcW w:w="6391" w:type="dxa"/>
            <w:noWrap w:val="0"/>
            <w:vAlign w:val="center"/>
          </w:tcPr>
          <w:p w14:paraId="33176BD6">
            <w:pPr>
              <w:tabs>
                <w:tab w:val="left" w:pos="4860"/>
              </w:tabs>
              <w:spacing w:line="44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达到合格标准</w:t>
            </w:r>
          </w:p>
        </w:tc>
      </w:tr>
      <w:tr w14:paraId="02903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76E036DF">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noWrap w:val="0"/>
            <w:vAlign w:val="center"/>
          </w:tcPr>
          <w:p w14:paraId="3EE457D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48F68692">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3F31BA7A">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注：1.报价声明用于填写除总报价、服务期、供货期、质量标准、税率外的其它主要内容，由投标人自行确定，做到言简意赅无歧义。</w:t>
      </w:r>
    </w:p>
    <w:p w14:paraId="111D138C">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2.该表中的总报价须与报价明细表中的合计相符。</w:t>
      </w:r>
    </w:p>
    <w:p w14:paraId="5DEB18F0">
      <w:pPr>
        <w:pStyle w:val="2"/>
        <w:rPr>
          <w:rFonts w:hint="eastAsia"/>
          <w:highlight w:val="none"/>
        </w:rPr>
      </w:pPr>
    </w:p>
    <w:p w14:paraId="6620A4B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EF273B7">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2DF09EDD">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4B94DCFE">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26C317CF">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报价明细表</w:t>
      </w:r>
    </w:p>
    <w:p w14:paraId="4F8F5E45">
      <w:pPr>
        <w:jc w:val="center"/>
        <w:rPr>
          <w:rFonts w:hint="eastAsia"/>
          <w:highlight w:val="none"/>
          <w:lang w:val="en-US" w:eastAsia="zh-CN"/>
        </w:rPr>
      </w:pPr>
      <w:r>
        <w:rPr>
          <w:rFonts w:hint="eastAsia" w:ascii="仿宋" w:hAnsi="仿宋" w:eastAsia="仿宋" w:cs="仿宋"/>
          <w:b/>
          <w:bCs/>
          <w:kern w:val="2"/>
          <w:sz w:val="30"/>
          <w:szCs w:val="30"/>
          <w:highlight w:val="none"/>
          <w:lang w:val="en-US" w:eastAsia="zh-CN" w:bidi="ar-SA"/>
        </w:rPr>
        <w:t>标包二</w:t>
      </w:r>
    </w:p>
    <w:tbl>
      <w:tblPr>
        <w:tblStyle w:val="42"/>
        <w:tblW w:w="15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8"/>
        <w:gridCol w:w="967"/>
        <w:gridCol w:w="5183"/>
        <w:gridCol w:w="679"/>
        <w:gridCol w:w="905"/>
        <w:gridCol w:w="1516"/>
        <w:gridCol w:w="1367"/>
        <w:gridCol w:w="1567"/>
        <w:gridCol w:w="1066"/>
        <w:gridCol w:w="861"/>
        <w:gridCol w:w="1089"/>
      </w:tblGrid>
      <w:tr w14:paraId="60398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1151054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13F2862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60A7325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14:paraId="7CBBA698">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4CA0D02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14:paraId="715A031D">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1491375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控制单价（元）（除税）</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48B0464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175FD06B">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控制合价（元）（除税）</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6E0352E8">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2B6025F7">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4A37FE89">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14:paraId="65C7E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018FAF0A">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0D4A58B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固体聚丙烯酰胺</w:t>
            </w:r>
          </w:p>
          <w:p w14:paraId="0C2E6DE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（PAM阴离子）</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3E0EEDE6">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阴离子和非离子型聚丙烯酰胺》GB/T17514-2017</w:t>
            </w:r>
          </w:p>
          <w:p w14:paraId="092B580E">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1、固含量（固体）/%≥90.0</w:t>
            </w:r>
          </w:p>
          <w:p w14:paraId="53A71B2A">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2、丙烯酰胺单体含量（以干基计）/%≤0.02</w:t>
            </w:r>
          </w:p>
          <w:p w14:paraId="27B3BA2E">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3、溶解时间（阴离子型）/min≤60</w:t>
            </w:r>
          </w:p>
          <w:p w14:paraId="5D2219AA">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4、筛余物（1.00mm筛网）/%≤2</w:t>
            </w:r>
          </w:p>
          <w:p w14:paraId="6C67A4C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5、筛余物（180μm筛网）/%≥88</w:t>
            </w:r>
          </w:p>
          <w:p w14:paraId="36986048">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6、水不溶物/%≤0.3</w:t>
            </w:r>
          </w:p>
          <w:p w14:paraId="602D8B6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7、氯化物含量/%≤0.5</w:t>
            </w:r>
          </w:p>
          <w:p w14:paraId="1CAA7CE5">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8、硫酸盐含量/%≤1.0</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14:paraId="452FC76B">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3C5C1BCB">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190</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6DA6C6F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5654.86</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42ED8F6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04BD27B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default"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1074423.40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3EC6520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3844567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6D0C27B4">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14:paraId="4D31502D">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14:paraId="7DC84C4E">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2.以上价格均为除税价格。</w:t>
      </w:r>
    </w:p>
    <w:p w14:paraId="07C7ED75">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14:paraId="3CD2351A">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14:paraId="1E7672DF">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14:paraId="28245B8E">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b/>
          <w:bCs/>
          <w:kern w:val="2"/>
          <w:sz w:val="30"/>
          <w:szCs w:val="30"/>
          <w:highlight w:val="none"/>
          <w:lang w:val="en-US" w:eastAsia="zh-CN" w:bidi="ar-SA"/>
        </w:rPr>
      </w:pPr>
      <w:r>
        <w:rPr>
          <w:rFonts w:hint="eastAsia" w:ascii="仿宋" w:hAnsi="仿宋" w:eastAsia="仿宋" w:cs="仿宋"/>
          <w:sz w:val="21"/>
          <w:szCs w:val="21"/>
          <w:highlight w:val="none"/>
          <w:lang w:val="en-US" w:eastAsia="zh-CN"/>
        </w:rPr>
        <w:t>6.最终中标价格统一执行所有中标单位投标报价中分项报价（除税价）的最低价，中标候选单位如不能接受此价格，视为放弃中标资格，由综合得分排名次之的投标人中标，依次类推或重新招标。</w:t>
      </w:r>
    </w:p>
    <w:p w14:paraId="7D8E73FD">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EC3D03D">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14E9A91">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40FF29ED">
      <w:pPr>
        <w:ind w:firstLine="301" w:firstLineChars="100"/>
        <w:jc w:val="both"/>
        <w:rPr>
          <w:rFonts w:hint="eastAsia" w:ascii="仿宋" w:hAnsi="仿宋" w:eastAsia="仿宋" w:cs="仿宋"/>
          <w:b/>
          <w:bCs/>
          <w:sz w:val="30"/>
          <w:szCs w:val="30"/>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sz w:val="30"/>
          <w:szCs w:val="30"/>
          <w:highlight w:val="none"/>
        </w:rPr>
        <w:br w:type="page"/>
      </w:r>
      <w:bookmarkStart w:id="18" w:name="_Toc103329621"/>
    </w:p>
    <w:p w14:paraId="5F9461B8">
      <w:pPr>
        <w:keepNext/>
        <w:keepLines/>
        <w:spacing w:before="120" w:after="120" w:line="560" w:lineRule="exact"/>
        <w:jc w:val="center"/>
        <w:outlineLvl w:val="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承诺</w:t>
      </w:r>
      <w:bookmarkEnd w:id="18"/>
      <w:r>
        <w:rPr>
          <w:rFonts w:hint="eastAsia" w:ascii="仿宋" w:hAnsi="仿宋" w:eastAsia="仿宋" w:cs="仿宋"/>
          <w:b/>
          <w:bCs/>
          <w:sz w:val="36"/>
          <w:szCs w:val="36"/>
          <w:highlight w:val="none"/>
        </w:rPr>
        <w:t>函</w:t>
      </w:r>
    </w:p>
    <w:p w14:paraId="10FC1FD1">
      <w:pPr>
        <w:spacing w:line="460" w:lineRule="exact"/>
        <w:ind w:left="1747" w:leftChars="832"/>
        <w:jc w:val="center"/>
        <w:rPr>
          <w:rFonts w:hint="eastAsia" w:ascii="仿宋" w:hAnsi="仿宋" w:eastAsia="仿宋" w:cs="仿宋"/>
          <w:b/>
          <w:bCs/>
          <w:color w:val="000000"/>
          <w:sz w:val="24"/>
          <w:szCs w:val="24"/>
          <w:highlight w:val="none"/>
        </w:rPr>
      </w:pPr>
    </w:p>
    <w:p w14:paraId="3C5CF4E2">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本单位郑重声明：</w:t>
      </w:r>
    </w:p>
    <w:p w14:paraId="3D2F1CD2">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若我单位成为中标候选人，</w:t>
      </w:r>
      <w:r>
        <w:rPr>
          <w:rFonts w:hint="eastAsia" w:ascii="仿宋" w:hAnsi="仿宋" w:eastAsia="仿宋" w:cs="仿宋"/>
          <w:bCs/>
          <w:color w:val="000000"/>
          <w:sz w:val="24"/>
          <w:szCs w:val="24"/>
          <w:highlight w:val="none"/>
          <w:u w:val="single"/>
        </w:rPr>
        <w:t>（响应/不响应）</w:t>
      </w:r>
      <w:r>
        <w:rPr>
          <w:rFonts w:hint="eastAsia" w:ascii="仿宋" w:hAnsi="仿宋" w:eastAsia="仿宋" w:cs="仿宋"/>
          <w:bCs/>
          <w:color w:val="000000"/>
          <w:sz w:val="24"/>
          <w:szCs w:val="24"/>
          <w:highlight w:val="none"/>
        </w:rPr>
        <w:t>中标价执行所有中标人报价最低价的规定；</w:t>
      </w:r>
    </w:p>
    <w:p w14:paraId="6A72CBBA">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若不响应，</w:t>
      </w:r>
      <w:r>
        <w:rPr>
          <w:rFonts w:hint="eastAsia" w:ascii="仿宋" w:hAnsi="仿宋" w:eastAsia="仿宋" w:cs="仿宋"/>
          <w:bCs/>
          <w:color w:val="000000"/>
          <w:sz w:val="24"/>
          <w:szCs w:val="24"/>
          <w:highlight w:val="none"/>
        </w:rPr>
        <w:t>视为放弃中标资格。</w:t>
      </w:r>
    </w:p>
    <w:p w14:paraId="3E81E559">
      <w:pPr>
        <w:spacing w:line="480" w:lineRule="exact"/>
        <w:rPr>
          <w:rFonts w:hint="eastAsia" w:ascii="仿宋" w:hAnsi="仿宋" w:eastAsia="仿宋" w:cs="仿宋"/>
          <w:bCs/>
          <w:color w:val="000000"/>
          <w:sz w:val="24"/>
          <w:szCs w:val="24"/>
          <w:highlight w:val="none"/>
        </w:rPr>
      </w:pPr>
    </w:p>
    <w:p w14:paraId="27A8D285">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特此声明！</w:t>
      </w:r>
    </w:p>
    <w:p w14:paraId="5519D874">
      <w:pPr>
        <w:spacing w:line="480" w:lineRule="exact"/>
        <w:rPr>
          <w:rFonts w:hint="eastAsia" w:ascii="仿宋" w:hAnsi="仿宋" w:eastAsia="仿宋" w:cs="仿宋"/>
          <w:bCs/>
          <w:color w:val="000000"/>
          <w:sz w:val="24"/>
          <w:szCs w:val="24"/>
          <w:highlight w:val="none"/>
        </w:rPr>
      </w:pPr>
    </w:p>
    <w:p w14:paraId="3E7B3A18">
      <w:pPr>
        <w:spacing w:line="480" w:lineRule="auto"/>
        <w:rPr>
          <w:rFonts w:hint="eastAsia" w:ascii="仿宋" w:hAnsi="仿宋" w:eastAsia="仿宋" w:cs="仿宋"/>
          <w:bCs/>
          <w:color w:val="000000"/>
          <w:sz w:val="24"/>
          <w:szCs w:val="24"/>
          <w:highlight w:val="none"/>
        </w:rPr>
      </w:pPr>
    </w:p>
    <w:p w14:paraId="7AD96D5F">
      <w:pPr>
        <w:spacing w:line="480" w:lineRule="auto"/>
        <w:rPr>
          <w:rFonts w:hint="eastAsia" w:ascii="仿宋" w:hAnsi="仿宋" w:eastAsia="仿宋" w:cs="仿宋"/>
          <w:bCs/>
          <w:color w:val="000000"/>
          <w:sz w:val="24"/>
          <w:szCs w:val="24"/>
          <w:highlight w:val="none"/>
        </w:rPr>
      </w:pPr>
    </w:p>
    <w:p w14:paraId="761DF79E">
      <w:pPr>
        <w:spacing w:line="480" w:lineRule="auto"/>
        <w:rPr>
          <w:rFonts w:hint="eastAsia" w:ascii="仿宋" w:hAnsi="仿宋" w:eastAsia="仿宋" w:cs="仿宋"/>
          <w:bCs/>
          <w:color w:val="000000"/>
          <w:sz w:val="24"/>
          <w:szCs w:val="24"/>
          <w:highlight w:val="none"/>
        </w:rPr>
      </w:pPr>
    </w:p>
    <w:p w14:paraId="04DCED4F">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4BF0E95">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7445C42F">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1964A3C9">
      <w:pPr>
        <w:pStyle w:val="2"/>
        <w:rPr>
          <w:rFonts w:hint="eastAsia" w:ascii="仿宋" w:hAnsi="仿宋" w:eastAsia="仿宋" w:cs="仿宋"/>
          <w:sz w:val="24"/>
          <w:szCs w:val="24"/>
          <w:highlight w:val="none"/>
          <w:lang w:val="en-US" w:eastAsia="zh-CN"/>
        </w:rPr>
      </w:pPr>
    </w:p>
    <w:p w14:paraId="49854731">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604A0057">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18791124">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6BD22615">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2C07E49D">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7792DED6">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投标人信用承诺书</w:t>
      </w:r>
    </w:p>
    <w:p w14:paraId="62B0BD3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为营造公平竞争、规范有序的市场环境，树立诚信守法经营形象。本单位郑重承诺：</w:t>
      </w:r>
    </w:p>
    <w:p w14:paraId="534ED4A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一、我方在此声明，本次采购活动中申报的所有资料都是真实、准确完整的，如发现提供虚假资料，或与事实不符而导致投标（报价）无效，甚至造成任何法律和经济责任，完全由我方负责。</w:t>
      </w:r>
    </w:p>
    <w:p w14:paraId="64B3865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二、我方在本次采购活动中绝无资质挂靠、串标、围标情形，若经贵方查出，立即取消我方中标（成交）资格并承担相应的法律责任。</w:t>
      </w:r>
    </w:p>
    <w:p w14:paraId="0D558D4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三、我方在以往的采购活动中，无重大违法、违规的不良记录；或虽有不良记录，但已超过处理期限。</w:t>
      </w:r>
    </w:p>
    <w:p w14:paraId="2FA60B9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四、我方一旦中标（成交），将按规定及时与贵方签订合同，严格按照投标（报价）文件中所承诺的报价、质量、服务期等内容组织实施。</w:t>
      </w:r>
    </w:p>
    <w:p w14:paraId="6C09CBA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五、自觉接受社会各界的监督，依法接受有关行政机关的事中事后监管和执法检查，并如实提供有关情况和材料。</w:t>
      </w:r>
    </w:p>
    <w:p w14:paraId="67EEB13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六、严格遵守国家法律、法规、规章和相关政策的规定，积极参与社会信用体系建设，倡导树立以信笃行，以诚兴业的传统美德，争当信用市民，争创信用企业。</w:t>
      </w:r>
    </w:p>
    <w:p w14:paraId="5349043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七、我方承诺我单位、法定代表人、授权委托人近三年内无行贿犯罪记录。如有不实，愿意承担一切后果。</w:t>
      </w:r>
    </w:p>
    <w:p w14:paraId="0BF9DE9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八、我方或代理人承诺不向贵方工作人员提供正常业务接待以外的宴请、度假、旅游、娱乐（包括但不限于到营业性的会所、夜总会、桑拿、按摩和高尔夫球场）等消费，不参加贵方工作人员的婚丧喜庆等活动。</w:t>
      </w:r>
    </w:p>
    <w:p w14:paraId="399053C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九、我方或代理人承诺不向贵方工作人员支付应由其个人支付的各项费用（包括但不限于住宅装修、婚丧嫁娶、旅游、度假、食宿、购物、学费、子女出国留学等）。</w:t>
      </w:r>
    </w:p>
    <w:p w14:paraId="1E0DA10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十、我方或代理人承诺不接受贵方工作人员介绍、指定或限定的工程分包单位、物资供应商、物资设备等。</w:t>
      </w:r>
    </w:p>
    <w:p w14:paraId="08582FC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一、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2FBA83E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十二、本《信用承诺书》同意向社会公开。</w:t>
      </w:r>
    </w:p>
    <w:p w14:paraId="307E89D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特别声明：上述《信用承诺书》系我单位真实意思表示，我单位已仔细阅读，充分理解并认识到须承担的法律责任和义务，自愿承担相应的法律风险。</w:t>
      </w:r>
    </w:p>
    <w:p w14:paraId="1EF9A28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374CD25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490CE99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43BF066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0B76F7B6">
      <w:pPr>
        <w:pStyle w:val="37"/>
        <w:jc w:val="center"/>
        <w:rPr>
          <w:rFonts w:hint="eastAsia" w:ascii="仿宋" w:hAnsi="仿宋" w:eastAsia="仿宋" w:cs="仿宋"/>
          <w:b/>
          <w:bCs/>
          <w:kern w:val="2"/>
          <w:sz w:val="36"/>
          <w:szCs w:val="36"/>
          <w:highlight w:val="none"/>
        </w:rPr>
      </w:pPr>
    </w:p>
    <w:p w14:paraId="78E20C8D">
      <w:pPr>
        <w:pStyle w:val="37"/>
        <w:jc w:val="both"/>
        <w:rPr>
          <w:rFonts w:hint="eastAsia" w:ascii="仿宋" w:hAnsi="仿宋" w:eastAsia="仿宋" w:cs="仿宋"/>
          <w:b/>
          <w:bCs/>
          <w:kern w:val="2"/>
          <w:sz w:val="36"/>
          <w:szCs w:val="36"/>
          <w:highlight w:val="none"/>
        </w:rPr>
      </w:pPr>
    </w:p>
    <w:p w14:paraId="5FD18509">
      <w:pPr>
        <w:pStyle w:val="37"/>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4B3201DA">
      <w:pPr>
        <w:pStyle w:val="24"/>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p w14:paraId="30D141C8">
      <w:pPr>
        <w:pStyle w:val="24"/>
        <w:jc w:val="center"/>
        <w:rPr>
          <w:rFonts w:hint="eastAsia" w:ascii="仿宋" w:hAnsi="仿宋" w:eastAsia="仿宋" w:cs="仿宋"/>
          <w:b/>
          <w:bCs w:val="0"/>
          <w:kern w:val="2"/>
          <w:sz w:val="22"/>
          <w:szCs w:val="22"/>
          <w:highlight w:val="none"/>
        </w:rPr>
      </w:pPr>
      <w:r>
        <w:rPr>
          <w:rFonts w:hint="eastAsia" w:ascii="仿宋" w:hAnsi="仿宋" w:eastAsia="仿宋" w:cs="仿宋"/>
          <w:b/>
          <w:bCs w:val="0"/>
          <w:kern w:val="2"/>
          <w:sz w:val="22"/>
          <w:szCs w:val="22"/>
          <w:highlight w:val="none"/>
        </w:rPr>
        <w:t>（若投标人为生产商，此表无需填写）</w:t>
      </w:r>
    </w:p>
    <w:tbl>
      <w:tblPr>
        <w:tblStyle w:val="42"/>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6C281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372161E3">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147EEDF5">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673AC62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0FF76FAA">
            <w:pPr>
              <w:spacing w:line="440" w:lineRule="exact"/>
              <w:jc w:val="center"/>
              <w:rPr>
                <w:rFonts w:hint="eastAsia" w:ascii="仿宋" w:hAnsi="仿宋" w:eastAsia="仿宋" w:cs="仿宋"/>
                <w:sz w:val="24"/>
                <w:szCs w:val="24"/>
                <w:highlight w:val="none"/>
              </w:rPr>
            </w:pPr>
          </w:p>
        </w:tc>
      </w:tr>
      <w:tr w14:paraId="648E5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6C742C26">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0F144538">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04A888E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795F5135">
            <w:pPr>
              <w:spacing w:line="440" w:lineRule="exact"/>
              <w:jc w:val="center"/>
              <w:rPr>
                <w:rFonts w:hint="eastAsia" w:ascii="仿宋" w:hAnsi="仿宋" w:eastAsia="仿宋" w:cs="仿宋"/>
                <w:sz w:val="24"/>
                <w:szCs w:val="24"/>
                <w:highlight w:val="none"/>
              </w:rPr>
            </w:pPr>
          </w:p>
        </w:tc>
      </w:tr>
      <w:tr w14:paraId="6325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11C87D6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0C851D21">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732BCC8E">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00F3282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6B4584C1">
            <w:pPr>
              <w:spacing w:line="440" w:lineRule="exact"/>
              <w:jc w:val="center"/>
              <w:rPr>
                <w:rFonts w:hint="eastAsia" w:ascii="仿宋" w:hAnsi="仿宋" w:eastAsia="仿宋" w:cs="仿宋"/>
                <w:sz w:val="24"/>
                <w:szCs w:val="24"/>
                <w:highlight w:val="none"/>
              </w:rPr>
            </w:pPr>
          </w:p>
        </w:tc>
      </w:tr>
      <w:tr w14:paraId="4A6A8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22602AD3">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75448C3A">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4ED1C596">
            <w:pPr>
              <w:spacing w:line="440" w:lineRule="exact"/>
              <w:jc w:val="center"/>
              <w:rPr>
                <w:rFonts w:hint="eastAsia" w:ascii="仿宋" w:hAnsi="仿宋" w:eastAsia="仿宋" w:cs="仿宋"/>
                <w:sz w:val="24"/>
                <w:szCs w:val="24"/>
                <w:highlight w:val="none"/>
              </w:rPr>
            </w:pPr>
          </w:p>
        </w:tc>
      </w:tr>
      <w:tr w14:paraId="13FA1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6593DACE">
            <w:pPr>
              <w:spacing w:line="440" w:lineRule="exact"/>
              <w:jc w:val="center"/>
              <w:rPr>
                <w:rFonts w:hint="eastAsia" w:ascii="仿宋" w:hAnsi="仿宋" w:eastAsia="仿宋" w:cs="仿宋"/>
                <w:sz w:val="24"/>
                <w:szCs w:val="24"/>
                <w:highlight w:val="none"/>
              </w:rPr>
            </w:pPr>
          </w:p>
        </w:tc>
        <w:tc>
          <w:tcPr>
            <w:tcW w:w="1915" w:type="dxa"/>
            <w:noWrap w:val="0"/>
            <w:vAlign w:val="center"/>
          </w:tcPr>
          <w:p w14:paraId="704A1C87">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3CB7E336">
            <w:pPr>
              <w:spacing w:line="440" w:lineRule="exact"/>
              <w:jc w:val="center"/>
              <w:rPr>
                <w:rFonts w:hint="eastAsia" w:ascii="仿宋" w:hAnsi="仿宋" w:eastAsia="仿宋" w:cs="仿宋"/>
                <w:sz w:val="24"/>
                <w:szCs w:val="24"/>
                <w:highlight w:val="none"/>
              </w:rPr>
            </w:pPr>
          </w:p>
        </w:tc>
      </w:tr>
      <w:tr w14:paraId="3CFE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4413BC13">
            <w:pPr>
              <w:spacing w:line="440" w:lineRule="exact"/>
              <w:jc w:val="center"/>
              <w:rPr>
                <w:rFonts w:hint="eastAsia" w:ascii="仿宋" w:hAnsi="仿宋" w:eastAsia="仿宋" w:cs="仿宋"/>
                <w:sz w:val="24"/>
                <w:szCs w:val="24"/>
                <w:highlight w:val="none"/>
              </w:rPr>
            </w:pPr>
          </w:p>
        </w:tc>
        <w:tc>
          <w:tcPr>
            <w:tcW w:w="1915" w:type="dxa"/>
            <w:noWrap w:val="0"/>
            <w:vAlign w:val="center"/>
          </w:tcPr>
          <w:p w14:paraId="62B65C7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60" w:type="dxa"/>
            <w:noWrap w:val="0"/>
            <w:vAlign w:val="center"/>
          </w:tcPr>
          <w:p w14:paraId="7D079C9A">
            <w:pPr>
              <w:spacing w:line="440" w:lineRule="exact"/>
              <w:jc w:val="center"/>
              <w:rPr>
                <w:rFonts w:hint="eastAsia" w:ascii="仿宋" w:hAnsi="仿宋" w:eastAsia="仿宋" w:cs="仿宋"/>
                <w:sz w:val="24"/>
                <w:szCs w:val="24"/>
                <w:highlight w:val="none"/>
              </w:rPr>
            </w:pPr>
          </w:p>
        </w:tc>
        <w:tc>
          <w:tcPr>
            <w:tcW w:w="2140" w:type="dxa"/>
            <w:noWrap w:val="0"/>
            <w:vAlign w:val="center"/>
          </w:tcPr>
          <w:p w14:paraId="7562390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71825A28">
            <w:pPr>
              <w:spacing w:line="440" w:lineRule="exact"/>
              <w:jc w:val="center"/>
              <w:rPr>
                <w:rFonts w:hint="eastAsia" w:ascii="仿宋" w:hAnsi="仿宋" w:eastAsia="仿宋" w:cs="仿宋"/>
                <w:sz w:val="24"/>
                <w:szCs w:val="24"/>
                <w:highlight w:val="none"/>
              </w:rPr>
            </w:pPr>
          </w:p>
        </w:tc>
      </w:tr>
      <w:tr w14:paraId="74B0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17F33A8C">
            <w:pPr>
              <w:spacing w:line="440" w:lineRule="exact"/>
              <w:jc w:val="center"/>
              <w:rPr>
                <w:rFonts w:hint="eastAsia" w:ascii="仿宋" w:hAnsi="仿宋" w:eastAsia="仿宋" w:cs="仿宋"/>
                <w:sz w:val="24"/>
                <w:szCs w:val="24"/>
                <w:highlight w:val="none"/>
              </w:rPr>
            </w:pPr>
          </w:p>
        </w:tc>
        <w:tc>
          <w:tcPr>
            <w:tcW w:w="1915" w:type="dxa"/>
            <w:noWrap w:val="0"/>
            <w:vAlign w:val="center"/>
          </w:tcPr>
          <w:p w14:paraId="540F3E0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67BF9803">
            <w:pPr>
              <w:spacing w:line="440" w:lineRule="exact"/>
              <w:jc w:val="center"/>
              <w:rPr>
                <w:rFonts w:hint="eastAsia" w:ascii="仿宋" w:hAnsi="仿宋" w:eastAsia="仿宋" w:cs="仿宋"/>
                <w:sz w:val="24"/>
                <w:szCs w:val="24"/>
                <w:highlight w:val="none"/>
              </w:rPr>
            </w:pPr>
          </w:p>
        </w:tc>
        <w:tc>
          <w:tcPr>
            <w:tcW w:w="2140" w:type="dxa"/>
            <w:noWrap w:val="0"/>
            <w:vAlign w:val="center"/>
          </w:tcPr>
          <w:p w14:paraId="524776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191E7404">
            <w:pPr>
              <w:spacing w:line="440" w:lineRule="exact"/>
              <w:jc w:val="center"/>
              <w:rPr>
                <w:rFonts w:hint="eastAsia" w:ascii="仿宋" w:hAnsi="仿宋" w:eastAsia="仿宋" w:cs="仿宋"/>
                <w:sz w:val="24"/>
                <w:szCs w:val="24"/>
                <w:highlight w:val="none"/>
              </w:rPr>
            </w:pPr>
          </w:p>
        </w:tc>
      </w:tr>
      <w:tr w14:paraId="648F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5A5CDE54">
            <w:pPr>
              <w:spacing w:line="440" w:lineRule="exact"/>
              <w:jc w:val="center"/>
              <w:rPr>
                <w:rFonts w:hint="eastAsia" w:ascii="仿宋" w:hAnsi="仿宋" w:eastAsia="仿宋" w:cs="仿宋"/>
                <w:sz w:val="24"/>
                <w:szCs w:val="24"/>
                <w:highlight w:val="none"/>
              </w:rPr>
            </w:pPr>
          </w:p>
        </w:tc>
        <w:tc>
          <w:tcPr>
            <w:tcW w:w="1915" w:type="dxa"/>
            <w:noWrap w:val="0"/>
            <w:vAlign w:val="center"/>
          </w:tcPr>
          <w:p w14:paraId="295C275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3BEB3A08">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5E237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7906F43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6EAB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49F4377B">
            <w:pPr>
              <w:spacing w:line="440" w:lineRule="exact"/>
              <w:rPr>
                <w:rFonts w:hint="eastAsia" w:ascii="仿宋" w:hAnsi="仿宋" w:eastAsia="仿宋" w:cs="仿宋"/>
                <w:sz w:val="24"/>
                <w:szCs w:val="24"/>
                <w:highlight w:val="none"/>
              </w:rPr>
            </w:pPr>
          </w:p>
        </w:tc>
      </w:tr>
    </w:tbl>
    <w:p w14:paraId="6E4C460D">
      <w:pPr>
        <w:snapToGrid w:val="0"/>
        <w:spacing w:line="360" w:lineRule="auto"/>
        <w:ind w:firstLine="240" w:firstLineChars="100"/>
        <w:rPr>
          <w:rFonts w:hint="eastAsia" w:ascii="仿宋" w:hAnsi="仿宋" w:eastAsia="仿宋" w:cs="仿宋"/>
          <w:sz w:val="24"/>
          <w:szCs w:val="24"/>
          <w:highlight w:val="none"/>
        </w:rPr>
      </w:pPr>
    </w:p>
    <w:p w14:paraId="53360B1C">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3865BB47">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A4811EF">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15C7D7BF">
      <w:pPr>
        <w:pStyle w:val="24"/>
        <w:jc w:val="center"/>
        <w:rPr>
          <w:rFonts w:hint="eastAsia" w:ascii="仿宋" w:hAnsi="仿宋" w:eastAsia="仿宋" w:cs="仿宋"/>
          <w:b/>
          <w:bCs w:val="0"/>
          <w:kern w:val="2"/>
          <w:sz w:val="30"/>
          <w:szCs w:val="30"/>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rPr>
        <w:t>生产商基本情况表</w:t>
      </w:r>
    </w:p>
    <w:tbl>
      <w:tblPr>
        <w:tblStyle w:val="42"/>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041"/>
        <w:gridCol w:w="2690"/>
        <w:gridCol w:w="1790"/>
        <w:gridCol w:w="50"/>
        <w:gridCol w:w="539"/>
        <w:gridCol w:w="1782"/>
      </w:tblGrid>
      <w:tr w14:paraId="3B3C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2647" w:type="dxa"/>
            <w:gridSpan w:val="2"/>
            <w:noWrap w:val="0"/>
            <w:vAlign w:val="center"/>
          </w:tcPr>
          <w:p w14:paraId="2B455C7F">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单位名称</w:t>
            </w:r>
          </w:p>
        </w:tc>
        <w:tc>
          <w:tcPr>
            <w:tcW w:w="2690" w:type="dxa"/>
            <w:noWrap w:val="0"/>
            <w:vAlign w:val="center"/>
          </w:tcPr>
          <w:p w14:paraId="359A629F">
            <w:pPr>
              <w:spacing w:line="440" w:lineRule="exact"/>
              <w:jc w:val="center"/>
              <w:rPr>
                <w:rFonts w:hint="eastAsia" w:ascii="仿宋" w:hAnsi="仿宋" w:eastAsia="仿宋" w:cs="仿宋"/>
                <w:sz w:val="24"/>
                <w:highlight w:val="none"/>
              </w:rPr>
            </w:pPr>
          </w:p>
        </w:tc>
        <w:tc>
          <w:tcPr>
            <w:tcW w:w="2379" w:type="dxa"/>
            <w:gridSpan w:val="3"/>
            <w:noWrap w:val="0"/>
            <w:vAlign w:val="center"/>
          </w:tcPr>
          <w:p w14:paraId="3E2AEA3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地址</w:t>
            </w:r>
          </w:p>
        </w:tc>
        <w:tc>
          <w:tcPr>
            <w:tcW w:w="1782" w:type="dxa"/>
            <w:noWrap w:val="0"/>
            <w:vAlign w:val="center"/>
          </w:tcPr>
          <w:p w14:paraId="33DEF4BA">
            <w:pPr>
              <w:spacing w:line="440" w:lineRule="exact"/>
              <w:ind w:left="507"/>
              <w:jc w:val="center"/>
              <w:rPr>
                <w:rFonts w:hint="eastAsia" w:ascii="仿宋" w:hAnsi="仿宋" w:eastAsia="仿宋" w:cs="仿宋"/>
                <w:sz w:val="24"/>
                <w:highlight w:val="none"/>
              </w:rPr>
            </w:pPr>
          </w:p>
        </w:tc>
      </w:tr>
      <w:tr w14:paraId="4B39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647" w:type="dxa"/>
            <w:gridSpan w:val="2"/>
            <w:noWrap w:val="0"/>
            <w:vAlign w:val="center"/>
          </w:tcPr>
          <w:p w14:paraId="769C3E3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办公电话/传真</w:t>
            </w:r>
          </w:p>
        </w:tc>
        <w:tc>
          <w:tcPr>
            <w:tcW w:w="2690" w:type="dxa"/>
            <w:noWrap w:val="0"/>
            <w:vAlign w:val="center"/>
          </w:tcPr>
          <w:p w14:paraId="56FFE5CD">
            <w:pPr>
              <w:spacing w:line="440" w:lineRule="exact"/>
              <w:jc w:val="center"/>
              <w:rPr>
                <w:rFonts w:hint="eastAsia" w:ascii="仿宋" w:hAnsi="仿宋" w:eastAsia="仿宋" w:cs="仿宋"/>
                <w:sz w:val="24"/>
                <w:highlight w:val="none"/>
              </w:rPr>
            </w:pPr>
          </w:p>
        </w:tc>
        <w:tc>
          <w:tcPr>
            <w:tcW w:w="2379" w:type="dxa"/>
            <w:gridSpan w:val="3"/>
            <w:noWrap w:val="0"/>
            <w:vAlign w:val="center"/>
          </w:tcPr>
          <w:p w14:paraId="4973D7C4">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联系人</w:t>
            </w:r>
          </w:p>
        </w:tc>
        <w:tc>
          <w:tcPr>
            <w:tcW w:w="1782" w:type="dxa"/>
            <w:noWrap w:val="0"/>
            <w:vAlign w:val="center"/>
          </w:tcPr>
          <w:p w14:paraId="10C86CC5">
            <w:pPr>
              <w:spacing w:line="440" w:lineRule="exact"/>
              <w:jc w:val="center"/>
              <w:rPr>
                <w:rFonts w:hint="eastAsia" w:ascii="仿宋" w:hAnsi="仿宋" w:eastAsia="仿宋" w:cs="仿宋"/>
                <w:sz w:val="24"/>
                <w:highlight w:val="none"/>
              </w:rPr>
            </w:pPr>
          </w:p>
        </w:tc>
      </w:tr>
      <w:tr w14:paraId="2BA8E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2647" w:type="dxa"/>
            <w:gridSpan w:val="2"/>
            <w:noWrap w:val="0"/>
            <w:vAlign w:val="center"/>
          </w:tcPr>
          <w:p w14:paraId="12D31A4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所属/主管部门</w:t>
            </w:r>
          </w:p>
        </w:tc>
        <w:tc>
          <w:tcPr>
            <w:tcW w:w="6851" w:type="dxa"/>
            <w:gridSpan w:val="5"/>
            <w:noWrap w:val="0"/>
            <w:vAlign w:val="center"/>
          </w:tcPr>
          <w:p w14:paraId="0752E1E2">
            <w:pPr>
              <w:spacing w:line="440" w:lineRule="exact"/>
              <w:jc w:val="center"/>
              <w:rPr>
                <w:rFonts w:hint="eastAsia" w:ascii="仿宋" w:hAnsi="仿宋" w:eastAsia="仿宋" w:cs="仿宋"/>
                <w:sz w:val="24"/>
                <w:highlight w:val="none"/>
              </w:rPr>
            </w:pPr>
          </w:p>
        </w:tc>
      </w:tr>
      <w:tr w14:paraId="338F1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jc w:val="center"/>
        </w:trPr>
        <w:tc>
          <w:tcPr>
            <w:tcW w:w="2647" w:type="dxa"/>
            <w:gridSpan w:val="2"/>
            <w:noWrap w:val="0"/>
            <w:vAlign w:val="center"/>
          </w:tcPr>
          <w:p w14:paraId="4F8D22B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总经理</w:t>
            </w:r>
          </w:p>
        </w:tc>
        <w:tc>
          <w:tcPr>
            <w:tcW w:w="2690" w:type="dxa"/>
            <w:noWrap w:val="0"/>
            <w:vAlign w:val="center"/>
          </w:tcPr>
          <w:p w14:paraId="03BB668E">
            <w:pPr>
              <w:spacing w:line="440" w:lineRule="exact"/>
              <w:jc w:val="center"/>
              <w:rPr>
                <w:rFonts w:hint="eastAsia" w:ascii="仿宋" w:hAnsi="仿宋" w:eastAsia="仿宋" w:cs="仿宋"/>
                <w:sz w:val="24"/>
                <w:highlight w:val="none"/>
              </w:rPr>
            </w:pPr>
          </w:p>
        </w:tc>
        <w:tc>
          <w:tcPr>
            <w:tcW w:w="1840" w:type="dxa"/>
            <w:gridSpan w:val="2"/>
            <w:noWrap w:val="0"/>
            <w:vAlign w:val="center"/>
          </w:tcPr>
          <w:p w14:paraId="2F07D9E7">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固定办公面积（平米）</w:t>
            </w:r>
          </w:p>
        </w:tc>
        <w:tc>
          <w:tcPr>
            <w:tcW w:w="2321" w:type="dxa"/>
            <w:gridSpan w:val="2"/>
            <w:noWrap w:val="0"/>
            <w:vAlign w:val="center"/>
          </w:tcPr>
          <w:p w14:paraId="6BB81C98">
            <w:pPr>
              <w:spacing w:line="440" w:lineRule="exact"/>
              <w:jc w:val="center"/>
              <w:rPr>
                <w:rFonts w:hint="eastAsia" w:ascii="仿宋" w:hAnsi="仿宋" w:eastAsia="仿宋" w:cs="仿宋"/>
                <w:sz w:val="24"/>
                <w:highlight w:val="none"/>
              </w:rPr>
            </w:pPr>
          </w:p>
        </w:tc>
      </w:tr>
      <w:tr w14:paraId="27384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606" w:type="dxa"/>
            <w:vMerge w:val="restart"/>
            <w:noWrap w:val="0"/>
            <w:vAlign w:val="center"/>
          </w:tcPr>
          <w:p w14:paraId="66CE83E7">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注册情况</w:t>
            </w:r>
          </w:p>
        </w:tc>
        <w:tc>
          <w:tcPr>
            <w:tcW w:w="2041" w:type="dxa"/>
            <w:noWrap w:val="0"/>
            <w:vAlign w:val="center"/>
          </w:tcPr>
          <w:p w14:paraId="733C268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工商注册号</w:t>
            </w:r>
          </w:p>
        </w:tc>
        <w:tc>
          <w:tcPr>
            <w:tcW w:w="6851" w:type="dxa"/>
            <w:gridSpan w:val="5"/>
            <w:noWrap w:val="0"/>
            <w:vAlign w:val="center"/>
          </w:tcPr>
          <w:p w14:paraId="664F5593">
            <w:pPr>
              <w:spacing w:line="440" w:lineRule="exact"/>
              <w:jc w:val="center"/>
              <w:rPr>
                <w:rFonts w:hint="eastAsia" w:ascii="仿宋" w:hAnsi="仿宋" w:eastAsia="仿宋" w:cs="仿宋"/>
                <w:sz w:val="24"/>
                <w:highlight w:val="none"/>
              </w:rPr>
            </w:pPr>
          </w:p>
        </w:tc>
      </w:tr>
      <w:tr w14:paraId="3F99A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606" w:type="dxa"/>
            <w:vMerge w:val="continue"/>
            <w:noWrap w:val="0"/>
            <w:textDirection w:val="tbRlV"/>
            <w:vAlign w:val="center"/>
          </w:tcPr>
          <w:p w14:paraId="4C297E9A">
            <w:pPr>
              <w:spacing w:line="440" w:lineRule="exact"/>
              <w:jc w:val="center"/>
              <w:rPr>
                <w:rFonts w:hint="eastAsia" w:ascii="仿宋" w:hAnsi="仿宋" w:eastAsia="仿宋" w:cs="仿宋"/>
                <w:sz w:val="24"/>
                <w:highlight w:val="none"/>
              </w:rPr>
            </w:pPr>
          </w:p>
        </w:tc>
        <w:tc>
          <w:tcPr>
            <w:tcW w:w="2041" w:type="dxa"/>
            <w:noWrap w:val="0"/>
            <w:vAlign w:val="center"/>
          </w:tcPr>
          <w:p w14:paraId="0123022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注册资本（万元）</w:t>
            </w:r>
          </w:p>
        </w:tc>
        <w:tc>
          <w:tcPr>
            <w:tcW w:w="6851" w:type="dxa"/>
            <w:gridSpan w:val="5"/>
            <w:noWrap w:val="0"/>
            <w:vAlign w:val="center"/>
          </w:tcPr>
          <w:p w14:paraId="23FE6AA6">
            <w:pPr>
              <w:spacing w:line="440" w:lineRule="exact"/>
              <w:jc w:val="center"/>
              <w:rPr>
                <w:rFonts w:hint="eastAsia" w:ascii="仿宋" w:hAnsi="仿宋" w:eastAsia="仿宋" w:cs="仿宋"/>
                <w:sz w:val="24"/>
                <w:highlight w:val="none"/>
              </w:rPr>
            </w:pPr>
          </w:p>
        </w:tc>
      </w:tr>
      <w:tr w14:paraId="237A1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7D283C19">
            <w:pPr>
              <w:spacing w:line="440" w:lineRule="exact"/>
              <w:jc w:val="center"/>
              <w:rPr>
                <w:rFonts w:hint="eastAsia" w:ascii="仿宋" w:hAnsi="仿宋" w:eastAsia="仿宋" w:cs="仿宋"/>
                <w:sz w:val="24"/>
                <w:highlight w:val="none"/>
              </w:rPr>
            </w:pPr>
          </w:p>
        </w:tc>
        <w:tc>
          <w:tcPr>
            <w:tcW w:w="2041" w:type="dxa"/>
            <w:noWrap w:val="0"/>
            <w:vAlign w:val="center"/>
          </w:tcPr>
          <w:p w14:paraId="0DA85637">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690" w:type="dxa"/>
            <w:noWrap w:val="0"/>
            <w:vAlign w:val="center"/>
          </w:tcPr>
          <w:p w14:paraId="496EB2B1">
            <w:pPr>
              <w:spacing w:line="440" w:lineRule="exact"/>
              <w:jc w:val="center"/>
              <w:rPr>
                <w:rFonts w:hint="eastAsia" w:ascii="仿宋" w:hAnsi="仿宋" w:eastAsia="仿宋" w:cs="仿宋"/>
                <w:sz w:val="24"/>
                <w:highlight w:val="none"/>
              </w:rPr>
            </w:pPr>
          </w:p>
        </w:tc>
        <w:tc>
          <w:tcPr>
            <w:tcW w:w="1790" w:type="dxa"/>
            <w:noWrap w:val="0"/>
            <w:vAlign w:val="center"/>
          </w:tcPr>
          <w:p w14:paraId="4EE209C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单位类型</w:t>
            </w:r>
          </w:p>
        </w:tc>
        <w:tc>
          <w:tcPr>
            <w:tcW w:w="2371" w:type="dxa"/>
            <w:gridSpan w:val="3"/>
            <w:noWrap w:val="0"/>
            <w:vAlign w:val="center"/>
          </w:tcPr>
          <w:p w14:paraId="13E7443D">
            <w:pPr>
              <w:spacing w:line="440" w:lineRule="exact"/>
              <w:jc w:val="center"/>
              <w:rPr>
                <w:rFonts w:hint="eastAsia" w:ascii="仿宋" w:hAnsi="仿宋" w:eastAsia="仿宋" w:cs="仿宋"/>
                <w:sz w:val="24"/>
                <w:highlight w:val="none"/>
              </w:rPr>
            </w:pPr>
          </w:p>
        </w:tc>
      </w:tr>
      <w:tr w14:paraId="05361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089731A5">
            <w:pPr>
              <w:spacing w:line="440" w:lineRule="exact"/>
              <w:jc w:val="center"/>
              <w:rPr>
                <w:rFonts w:hint="eastAsia" w:ascii="仿宋" w:hAnsi="仿宋" w:eastAsia="仿宋" w:cs="仿宋"/>
                <w:sz w:val="24"/>
                <w:highlight w:val="none"/>
              </w:rPr>
            </w:pPr>
          </w:p>
        </w:tc>
        <w:tc>
          <w:tcPr>
            <w:tcW w:w="2041" w:type="dxa"/>
            <w:noWrap w:val="0"/>
            <w:vAlign w:val="center"/>
          </w:tcPr>
          <w:p w14:paraId="01E94E35">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成立时间</w:t>
            </w:r>
          </w:p>
        </w:tc>
        <w:tc>
          <w:tcPr>
            <w:tcW w:w="2690" w:type="dxa"/>
            <w:noWrap w:val="0"/>
            <w:vAlign w:val="center"/>
          </w:tcPr>
          <w:p w14:paraId="3EA8982A">
            <w:pPr>
              <w:spacing w:line="440" w:lineRule="exact"/>
              <w:jc w:val="center"/>
              <w:rPr>
                <w:rFonts w:hint="eastAsia" w:ascii="仿宋" w:hAnsi="仿宋" w:eastAsia="仿宋" w:cs="仿宋"/>
                <w:sz w:val="24"/>
                <w:highlight w:val="none"/>
              </w:rPr>
            </w:pPr>
          </w:p>
        </w:tc>
        <w:tc>
          <w:tcPr>
            <w:tcW w:w="1790" w:type="dxa"/>
            <w:noWrap w:val="0"/>
            <w:vAlign w:val="center"/>
          </w:tcPr>
          <w:p w14:paraId="725388DE">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营业期限</w:t>
            </w:r>
          </w:p>
        </w:tc>
        <w:tc>
          <w:tcPr>
            <w:tcW w:w="2371" w:type="dxa"/>
            <w:gridSpan w:val="3"/>
            <w:noWrap w:val="0"/>
            <w:vAlign w:val="center"/>
          </w:tcPr>
          <w:p w14:paraId="12713326">
            <w:pPr>
              <w:spacing w:line="440" w:lineRule="exact"/>
              <w:jc w:val="center"/>
              <w:rPr>
                <w:rFonts w:hint="eastAsia" w:ascii="仿宋" w:hAnsi="仿宋" w:eastAsia="仿宋" w:cs="仿宋"/>
                <w:sz w:val="24"/>
                <w:highlight w:val="none"/>
              </w:rPr>
            </w:pPr>
          </w:p>
        </w:tc>
      </w:tr>
      <w:tr w14:paraId="5C592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37D0FCFF">
            <w:pPr>
              <w:spacing w:line="440" w:lineRule="exact"/>
              <w:jc w:val="center"/>
              <w:rPr>
                <w:rFonts w:hint="eastAsia" w:ascii="仿宋" w:hAnsi="仿宋" w:eastAsia="仿宋" w:cs="仿宋"/>
                <w:sz w:val="24"/>
                <w:highlight w:val="none"/>
              </w:rPr>
            </w:pPr>
          </w:p>
        </w:tc>
        <w:tc>
          <w:tcPr>
            <w:tcW w:w="2041" w:type="dxa"/>
            <w:noWrap w:val="0"/>
            <w:vAlign w:val="center"/>
          </w:tcPr>
          <w:p w14:paraId="1DC5CE77">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经营范围</w:t>
            </w:r>
          </w:p>
        </w:tc>
        <w:tc>
          <w:tcPr>
            <w:tcW w:w="6851" w:type="dxa"/>
            <w:gridSpan w:val="5"/>
            <w:noWrap w:val="0"/>
            <w:vAlign w:val="center"/>
          </w:tcPr>
          <w:p w14:paraId="4B11F77D">
            <w:pPr>
              <w:spacing w:line="440" w:lineRule="exact"/>
              <w:jc w:val="center"/>
              <w:rPr>
                <w:rFonts w:hint="eastAsia" w:ascii="仿宋" w:hAnsi="仿宋" w:eastAsia="仿宋" w:cs="仿宋"/>
                <w:sz w:val="24"/>
                <w:highlight w:val="none"/>
              </w:rPr>
            </w:pPr>
          </w:p>
        </w:tc>
      </w:tr>
      <w:tr w14:paraId="652A4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9498" w:type="dxa"/>
            <w:gridSpan w:val="7"/>
            <w:noWrap w:val="0"/>
            <w:vAlign w:val="center"/>
          </w:tcPr>
          <w:p w14:paraId="13ED4B2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生产商情况简介</w:t>
            </w:r>
          </w:p>
        </w:tc>
      </w:tr>
      <w:tr w14:paraId="441B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9" w:hRule="atLeast"/>
          <w:jc w:val="center"/>
        </w:trPr>
        <w:tc>
          <w:tcPr>
            <w:tcW w:w="9498" w:type="dxa"/>
            <w:gridSpan w:val="7"/>
            <w:noWrap w:val="0"/>
            <w:vAlign w:val="center"/>
          </w:tcPr>
          <w:p w14:paraId="69246073">
            <w:pPr>
              <w:spacing w:line="440" w:lineRule="exact"/>
              <w:jc w:val="center"/>
              <w:rPr>
                <w:rFonts w:hint="eastAsia" w:ascii="仿宋" w:hAnsi="仿宋" w:eastAsia="仿宋" w:cs="仿宋"/>
                <w:sz w:val="24"/>
                <w:highlight w:val="none"/>
              </w:rPr>
            </w:pPr>
          </w:p>
        </w:tc>
      </w:tr>
    </w:tbl>
    <w:p w14:paraId="18B80096">
      <w:pPr>
        <w:rPr>
          <w:rFonts w:hint="eastAsia" w:ascii="仿宋" w:hAnsi="仿宋" w:eastAsia="仿宋" w:cs="仿宋"/>
          <w:b/>
          <w:sz w:val="24"/>
          <w:szCs w:val="24"/>
          <w:highlight w:val="none"/>
        </w:rPr>
      </w:pPr>
      <w:r>
        <w:rPr>
          <w:rFonts w:hint="eastAsia" w:ascii="仿宋" w:hAnsi="仿宋" w:eastAsia="仿宋" w:cs="仿宋"/>
          <w:b/>
          <w:sz w:val="24"/>
          <w:szCs w:val="24"/>
          <w:highlight w:val="none"/>
        </w:rPr>
        <w:t>备注：1.投标人若为生产商仅需填写“生产商基本情况表”并后附本企业法人</w:t>
      </w:r>
      <w:bookmarkStart w:id="19" w:name="OLE_LINK5"/>
      <w:r>
        <w:rPr>
          <w:rFonts w:hint="eastAsia" w:ascii="仿宋" w:hAnsi="仿宋" w:eastAsia="仿宋" w:cs="仿宋"/>
          <w:b/>
          <w:sz w:val="24"/>
          <w:szCs w:val="24"/>
          <w:highlight w:val="none"/>
        </w:rPr>
        <w:t>营业执照</w:t>
      </w:r>
      <w:r>
        <w:rPr>
          <w:rFonts w:hint="eastAsia" w:ascii="仿宋" w:hAnsi="仿宋" w:eastAsia="仿宋" w:cs="仿宋"/>
          <w:b/>
          <w:sz w:val="24"/>
          <w:szCs w:val="24"/>
          <w:highlight w:val="none"/>
          <w:lang w:val="en-US" w:eastAsia="zh-CN"/>
        </w:rPr>
        <w:t>副本、</w:t>
      </w:r>
      <w:r>
        <w:rPr>
          <w:rFonts w:hint="eastAsia" w:ascii="仿宋" w:hAnsi="仿宋" w:eastAsia="仿宋" w:cs="仿宋"/>
          <w:b/>
          <w:sz w:val="24"/>
          <w:szCs w:val="24"/>
          <w:highlight w:val="none"/>
        </w:rPr>
        <w:t>本次采购内容</w:t>
      </w:r>
      <w:r>
        <w:rPr>
          <w:rFonts w:hint="eastAsia" w:ascii="仿宋" w:hAnsi="仿宋" w:eastAsia="仿宋" w:cs="仿宋"/>
          <w:b/>
          <w:sz w:val="24"/>
          <w:szCs w:val="24"/>
          <w:highlight w:val="none"/>
          <w:lang w:val="en-US" w:eastAsia="zh-CN"/>
        </w:rPr>
        <w:t>涉及的各类许可证及许可批件</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lang w:val="en-US" w:eastAsia="zh-CN"/>
        </w:rPr>
        <w:t>产品检测报告、资格证明文件等材料的扫描件</w:t>
      </w:r>
      <w:r>
        <w:rPr>
          <w:rFonts w:hint="eastAsia" w:ascii="仿宋" w:hAnsi="仿宋" w:eastAsia="仿宋" w:cs="仿宋"/>
          <w:b/>
          <w:sz w:val="24"/>
          <w:szCs w:val="24"/>
          <w:highlight w:val="none"/>
        </w:rPr>
        <w:t>。</w:t>
      </w:r>
    </w:p>
    <w:bookmarkEnd w:id="19"/>
    <w:p w14:paraId="75E5170B">
      <w:pPr>
        <w:numPr>
          <w:ilvl w:val="0"/>
          <w:numId w:val="0"/>
        </w:num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2.</w:t>
      </w:r>
      <w:r>
        <w:rPr>
          <w:rFonts w:hint="eastAsia" w:ascii="仿宋" w:hAnsi="仿宋" w:eastAsia="仿宋" w:cs="仿宋"/>
          <w:b/>
          <w:sz w:val="24"/>
          <w:szCs w:val="24"/>
          <w:highlight w:val="none"/>
        </w:rPr>
        <w:t>投标人若为经销商需填写“投标人基本情况表”和“生产商基本情况表”并后附营业执照副本、</w:t>
      </w:r>
      <w:r>
        <w:rPr>
          <w:rFonts w:hint="eastAsia" w:ascii="仿宋" w:hAnsi="仿宋" w:eastAsia="仿宋" w:cs="仿宋"/>
          <w:b/>
          <w:sz w:val="24"/>
          <w:szCs w:val="24"/>
          <w:highlight w:val="none"/>
          <w:lang w:val="en-US" w:eastAsia="zh-CN"/>
        </w:rPr>
        <w:t>生产商授权书、本次采购内容涉及的各类许可证及许可批件、产品检测报告、资格证明文件等材料的扫描件。</w:t>
      </w:r>
    </w:p>
    <w:p w14:paraId="5E287701">
      <w:pPr>
        <w:snapToGrid w:val="0"/>
        <w:spacing w:line="360" w:lineRule="auto"/>
        <w:ind w:firstLine="240" w:firstLineChars="100"/>
        <w:rPr>
          <w:rFonts w:hint="default" w:ascii="仿宋" w:hAnsi="仿宋" w:eastAsia="仿宋" w:cs="仿宋"/>
          <w:sz w:val="24"/>
          <w:szCs w:val="24"/>
          <w:highlight w:val="none"/>
          <w:lang w:val="en-US" w:eastAsia="zh-CN"/>
        </w:rPr>
      </w:pPr>
    </w:p>
    <w:p w14:paraId="31941EA7">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BCCE769">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3BA3BDA">
      <w:pPr>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sz w:val="24"/>
          <w:szCs w:val="24"/>
          <w:highlight w:val="none"/>
        </w:rPr>
        <w:t>日期：</w:t>
      </w:r>
    </w:p>
    <w:p w14:paraId="66D6138C">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28"/>
          <w:szCs w:val="21"/>
          <w:highlight w:val="none"/>
          <w:lang w:val="en-US" w:eastAsia="zh-CN" w:bidi="ar-SA"/>
        </w:rPr>
        <w:t>关联关系声明函</w:t>
      </w:r>
    </w:p>
    <w:p w14:paraId="0FFD1ACC">
      <w:pPr>
        <w:spacing w:line="480" w:lineRule="exact"/>
        <w:rPr>
          <w:rFonts w:hint="eastAsia"/>
          <w:bCs/>
          <w:color w:val="auto"/>
          <w:highlight w:val="none"/>
        </w:rPr>
      </w:pPr>
    </w:p>
    <w:p w14:paraId="3D94B79C">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59C3E31C">
      <w:pPr>
        <w:spacing w:line="560" w:lineRule="exact"/>
        <w:ind w:firstLine="480" w:firstLineChars="200"/>
        <w:rPr>
          <w:rFonts w:hint="eastAsia" w:ascii="仿宋" w:hAnsi="仿宋" w:eastAsia="仿宋" w:cs="仿宋"/>
          <w:color w:val="auto"/>
          <w:sz w:val="24"/>
          <w:szCs w:val="24"/>
          <w:highlight w:val="none"/>
        </w:rPr>
      </w:pPr>
    </w:p>
    <w:p w14:paraId="3A687429">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1400B1EF">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542EA521">
      <w:pPr>
        <w:spacing w:line="560" w:lineRule="exact"/>
        <w:rPr>
          <w:rFonts w:hint="eastAsia" w:ascii="仿宋" w:hAnsi="仿宋" w:eastAsia="仿宋" w:cs="仿宋"/>
          <w:color w:val="auto"/>
          <w:sz w:val="24"/>
          <w:szCs w:val="24"/>
          <w:highlight w:val="none"/>
        </w:rPr>
      </w:pPr>
    </w:p>
    <w:p w14:paraId="3C91C2AA">
      <w:pPr>
        <w:spacing w:line="560" w:lineRule="exact"/>
        <w:rPr>
          <w:rFonts w:hint="eastAsia" w:ascii="仿宋" w:hAnsi="仿宋" w:eastAsia="仿宋" w:cs="仿宋"/>
          <w:color w:val="auto"/>
          <w:sz w:val="24"/>
          <w:szCs w:val="24"/>
          <w:highlight w:val="none"/>
        </w:rPr>
      </w:pPr>
    </w:p>
    <w:p w14:paraId="21CCF3B6">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79935C7B">
      <w:pPr>
        <w:spacing w:line="560" w:lineRule="exact"/>
        <w:rPr>
          <w:rFonts w:hint="eastAsia" w:ascii="仿宋" w:hAnsi="仿宋" w:eastAsia="仿宋" w:cs="仿宋"/>
          <w:color w:val="auto"/>
          <w:sz w:val="24"/>
          <w:szCs w:val="24"/>
          <w:highlight w:val="none"/>
        </w:rPr>
      </w:pPr>
    </w:p>
    <w:p w14:paraId="674D1294">
      <w:pPr>
        <w:spacing w:line="560" w:lineRule="exact"/>
        <w:rPr>
          <w:rFonts w:hint="eastAsia" w:ascii="仿宋" w:hAnsi="仿宋" w:eastAsia="仿宋" w:cs="仿宋"/>
          <w:color w:val="auto"/>
          <w:sz w:val="24"/>
          <w:szCs w:val="24"/>
          <w:highlight w:val="none"/>
        </w:rPr>
      </w:pPr>
    </w:p>
    <w:p w14:paraId="49FC8982">
      <w:pPr>
        <w:pStyle w:val="13"/>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1ADDC9D9">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36510753">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76F0D446">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FACD420">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CB9423B">
      <w:pPr>
        <w:pStyle w:val="24"/>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20B4F3EF">
      <w:pPr>
        <w:pStyle w:val="24"/>
        <w:jc w:val="center"/>
        <w:rPr>
          <w:rFonts w:hint="eastAsia" w:ascii="仿宋" w:hAnsi="仿宋" w:eastAsia="仿宋" w:cs="仿宋"/>
          <w:b/>
          <w:bCs w:val="0"/>
          <w:kern w:val="2"/>
          <w:sz w:val="30"/>
          <w:szCs w:val="30"/>
          <w:highlight w:val="none"/>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eastAsia="zh-CN"/>
        </w:rPr>
        <w:t>投标人</w:t>
      </w:r>
      <w:r>
        <w:rPr>
          <w:rFonts w:hint="eastAsia" w:ascii="仿宋" w:hAnsi="仿宋" w:eastAsia="仿宋" w:cs="仿宋"/>
          <w:b/>
          <w:bCs w:val="0"/>
          <w:kern w:val="2"/>
          <w:sz w:val="30"/>
          <w:szCs w:val="30"/>
          <w:highlight w:val="none"/>
        </w:rPr>
        <w:t>有效的营业执照副本</w:t>
      </w:r>
      <w:r>
        <w:rPr>
          <w:rFonts w:hint="eastAsia" w:ascii="仿宋" w:hAnsi="仿宋" w:eastAsia="仿宋" w:cs="仿宋"/>
          <w:b/>
          <w:bCs w:val="0"/>
          <w:kern w:val="2"/>
          <w:sz w:val="30"/>
          <w:szCs w:val="30"/>
          <w:highlight w:val="none"/>
          <w:lang w:val="en-US" w:eastAsia="zh-CN"/>
        </w:rPr>
        <w:t>扫描件</w:t>
      </w:r>
    </w:p>
    <w:p w14:paraId="4ACAB2E9">
      <w:pPr>
        <w:pStyle w:val="24"/>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生产商授权书</w:t>
      </w:r>
    </w:p>
    <w:p w14:paraId="25BDE487">
      <w:pPr>
        <w:pStyle w:val="24"/>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（投标人若为代理商须提供生产商授权书（授权书须注明药剂状态，授权时间需满足项目服务期要求））</w:t>
      </w:r>
    </w:p>
    <w:p w14:paraId="18572581">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kern w:val="2"/>
          <w:sz w:val="30"/>
          <w:szCs w:val="30"/>
          <w:highlight w:val="none"/>
        </w:rPr>
        <w:br w:type="page"/>
      </w:r>
      <w:r>
        <w:rPr>
          <w:rFonts w:hint="eastAsia" w:ascii="仿宋" w:hAnsi="仿宋" w:eastAsia="仿宋" w:cs="仿宋"/>
          <w:b/>
          <w:bCs w:val="0"/>
          <w:kern w:val="2"/>
          <w:sz w:val="30"/>
          <w:szCs w:val="30"/>
          <w:highlight w:val="none"/>
          <w:lang w:val="en-US" w:eastAsia="zh-CN" w:bidi="ar-SA"/>
        </w:rPr>
        <w:t>产品检测报告</w:t>
      </w:r>
      <w:r>
        <w:rPr>
          <w:rFonts w:hint="eastAsia" w:ascii="仿宋" w:hAnsi="仿宋" w:eastAsia="仿宋" w:cs="仿宋"/>
          <w:b/>
          <w:bCs w:val="0"/>
          <w:kern w:val="2"/>
          <w:sz w:val="30"/>
          <w:szCs w:val="30"/>
          <w:highlight w:val="none"/>
          <w:lang w:val="en-US" w:eastAsia="zh-CN" w:bidi="ar-SA"/>
        </w:rPr>
        <w:br w:type="page"/>
      </w:r>
    </w:p>
    <w:p w14:paraId="27A516A9">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有效的道路运输经营许可证扫描件；若不具有有效的道路运输经营许可证需提供相应的运输合同以及运输方的有效的道路运输经营许可证扫描件</w:t>
      </w:r>
      <w:r>
        <w:rPr>
          <w:rFonts w:hint="eastAsia" w:ascii="仿宋" w:hAnsi="仿宋" w:eastAsia="仿宋" w:cs="仿宋"/>
          <w:b/>
          <w:bCs/>
          <w:sz w:val="24"/>
          <w:szCs w:val="24"/>
          <w:highlight w:val="none"/>
          <w:lang w:eastAsia="zh-CN"/>
        </w:rPr>
        <w:t>。</w:t>
      </w:r>
    </w:p>
    <w:p w14:paraId="31977E7E">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9D0BE82">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D6E017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2C49E9AD">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21AE33D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C065AE1">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2AE7BA24">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1CCF5F0E">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2FEFC001">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2DE99FC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356F0BA3">
      <w:pPr>
        <w:keepNext w:val="0"/>
        <w:keepLines w:val="0"/>
        <w:pageBreakBefore w:val="0"/>
        <w:widowControl w:val="0"/>
        <w:kinsoku/>
        <w:wordWrap/>
        <w:overflowPunct/>
        <w:topLinePunct w:val="0"/>
        <w:autoSpaceDE/>
        <w:autoSpaceDN/>
        <w:bidi w:val="0"/>
        <w:adjustRightInd/>
        <w:snapToGrid w:val="0"/>
        <w:spacing w:line="420" w:lineRule="exact"/>
        <w:jc w:val="both"/>
        <w:textAlignment w:val="auto"/>
        <w:rPr>
          <w:rFonts w:hint="eastAsia" w:ascii="仿宋" w:hAnsi="仿宋" w:eastAsia="仿宋" w:cs="仿宋"/>
          <w:b/>
          <w:bCs w:val="0"/>
          <w:kern w:val="2"/>
          <w:sz w:val="30"/>
          <w:szCs w:val="30"/>
          <w:highlight w:val="none"/>
          <w:lang w:val="en-US" w:eastAsia="zh-CN" w:bidi="ar-SA"/>
        </w:rPr>
      </w:pPr>
    </w:p>
    <w:p w14:paraId="59E33A5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r>
        <w:rPr>
          <w:rFonts w:hint="eastAsia" w:ascii="仿宋" w:hAnsi="仿宋" w:eastAsia="仿宋" w:cs="仿宋"/>
          <w:b/>
          <w:bCs w:val="0"/>
          <w:kern w:val="2"/>
          <w:sz w:val="30"/>
          <w:szCs w:val="30"/>
          <w:highlight w:val="none"/>
          <w:lang w:val="en-US" w:eastAsia="zh-CN" w:bidi="ar-SA"/>
        </w:rPr>
        <w:br w:type="page"/>
      </w:r>
      <w:r>
        <w:rPr>
          <w:rFonts w:hint="eastAsia" w:ascii="仿宋" w:hAnsi="仿宋" w:eastAsia="仿宋" w:cs="仿宋"/>
          <w:kern w:val="2"/>
          <w:sz w:val="30"/>
          <w:szCs w:val="30"/>
          <w:highlight w:val="none"/>
        </w:rPr>
        <w:t>法定代表人身份证明</w:t>
      </w:r>
    </w:p>
    <w:p w14:paraId="25428DB5">
      <w:pPr>
        <w:spacing w:line="440" w:lineRule="exact"/>
        <w:rPr>
          <w:szCs w:val="20"/>
          <w:highlight w:val="none"/>
        </w:rPr>
      </w:pPr>
    </w:p>
    <w:p w14:paraId="3FA0DCD3">
      <w:pPr>
        <w:spacing w:line="440" w:lineRule="exact"/>
        <w:rPr>
          <w:szCs w:val="21"/>
          <w:highlight w:val="none"/>
        </w:rPr>
      </w:pPr>
    </w:p>
    <w:p w14:paraId="0EF98B98">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685ADCF9">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C471763">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2E65CD82">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376D72A5">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1DEC104C">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7EDBBF16">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14:paraId="5D9151DC">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60D84276">
      <w:pPr>
        <w:spacing w:line="440" w:lineRule="exact"/>
        <w:rPr>
          <w:rFonts w:hint="eastAsia" w:ascii="仿宋" w:hAnsi="仿宋" w:eastAsia="仿宋" w:cs="仿宋"/>
          <w:sz w:val="24"/>
          <w:szCs w:val="24"/>
          <w:highlight w:val="none"/>
        </w:rPr>
      </w:pPr>
    </w:p>
    <w:p w14:paraId="4A92EEA9">
      <w:pPr>
        <w:spacing w:line="440" w:lineRule="exact"/>
        <w:rPr>
          <w:rFonts w:hint="eastAsia" w:ascii="仿宋" w:hAnsi="仿宋" w:eastAsia="仿宋" w:cs="仿宋"/>
          <w:sz w:val="24"/>
          <w:szCs w:val="24"/>
          <w:highlight w:val="none"/>
        </w:rPr>
      </w:pPr>
    </w:p>
    <w:p w14:paraId="2A9CC32C">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CDAE1B5">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78A02AA9">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0B1886C6">
      <w:pPr>
        <w:spacing w:line="440" w:lineRule="exact"/>
        <w:rPr>
          <w:rFonts w:eastAsia="黑体"/>
          <w:szCs w:val="20"/>
          <w:highlight w:val="none"/>
        </w:rPr>
      </w:pPr>
    </w:p>
    <w:tbl>
      <w:tblPr>
        <w:tblStyle w:val="42"/>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6016E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77BF1825">
            <w:pPr>
              <w:pStyle w:val="38"/>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38024438">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w:t>
      </w:r>
      <w:r>
        <w:rPr>
          <w:rFonts w:hint="eastAsia" w:ascii="仿宋" w:hAnsi="仿宋" w:eastAsia="仿宋" w:cs="仿宋"/>
          <w:b/>
          <w:bCs/>
          <w:sz w:val="30"/>
          <w:szCs w:val="30"/>
          <w:highlight w:val="none"/>
        </w:rPr>
        <w:t>授权委托书</w:t>
      </w:r>
    </w:p>
    <w:p w14:paraId="58EF6C46">
      <w:pPr>
        <w:pStyle w:val="24"/>
        <w:spacing w:line="520" w:lineRule="exact"/>
        <w:ind w:firstLine="1110"/>
        <w:jc w:val="center"/>
        <w:rPr>
          <w:rFonts w:ascii="仿宋" w:hAnsi="仿宋" w:eastAsia="仿宋" w:cs="仿宋"/>
          <w:b/>
          <w:bCs/>
          <w:sz w:val="24"/>
          <w:szCs w:val="24"/>
          <w:highlight w:val="none"/>
        </w:rPr>
      </w:pPr>
    </w:p>
    <w:p w14:paraId="519EFBE4">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3EDA75D6">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54FAA45E">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14:paraId="10E9ACAF">
      <w:pPr>
        <w:pStyle w:val="24"/>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3299154E">
      <w:pPr>
        <w:pStyle w:val="24"/>
        <w:spacing w:line="520" w:lineRule="exact"/>
        <w:ind w:firstLine="1111"/>
        <w:rPr>
          <w:rFonts w:ascii="仿宋" w:hAnsi="仿宋" w:eastAsia="仿宋" w:cs="仿宋"/>
          <w:sz w:val="24"/>
          <w:szCs w:val="24"/>
          <w:highlight w:val="none"/>
        </w:rPr>
      </w:pPr>
    </w:p>
    <w:p w14:paraId="6C9AA83E">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30CBA231">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3466196B">
      <w:pPr>
        <w:pStyle w:val="24"/>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749DDC83">
      <w:pPr>
        <w:pStyle w:val="24"/>
        <w:spacing w:line="520" w:lineRule="exact"/>
        <w:rPr>
          <w:rFonts w:ascii="仿宋" w:hAnsi="仿宋" w:eastAsia="仿宋" w:cs="仿宋"/>
          <w:sz w:val="24"/>
          <w:szCs w:val="24"/>
          <w:highlight w:val="none"/>
        </w:rPr>
      </w:pPr>
    </w:p>
    <w:p w14:paraId="51DCFF0C">
      <w:pPr>
        <w:pStyle w:val="24"/>
        <w:spacing w:line="520" w:lineRule="exact"/>
        <w:rPr>
          <w:rFonts w:ascii="仿宋" w:hAnsi="仿宋" w:eastAsia="仿宋" w:cs="仿宋"/>
          <w:sz w:val="24"/>
          <w:szCs w:val="24"/>
          <w:highlight w:val="none"/>
        </w:rPr>
      </w:pPr>
    </w:p>
    <w:tbl>
      <w:tblPr>
        <w:tblStyle w:val="42"/>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6B6CD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734C8238">
            <w:pPr>
              <w:pStyle w:val="38"/>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580371F6">
      <w:pPr>
        <w:snapToGrid w:val="0"/>
        <w:spacing w:line="360" w:lineRule="auto"/>
        <w:ind w:firstLine="480" w:firstLineChars="200"/>
        <w:jc w:val="left"/>
        <w:rPr>
          <w:rFonts w:hint="eastAsia" w:ascii="仿宋" w:hAnsi="仿宋" w:eastAsia="仿宋" w:cs="仿宋"/>
          <w:sz w:val="24"/>
          <w:szCs w:val="24"/>
          <w:highlight w:val="none"/>
        </w:rPr>
      </w:pPr>
    </w:p>
    <w:p w14:paraId="512B2625">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14:paraId="73F11932">
      <w:pPr>
        <w:snapToGrid w:val="0"/>
        <w:spacing w:line="360" w:lineRule="auto"/>
        <w:ind w:firstLine="480" w:firstLineChars="200"/>
        <w:jc w:val="left"/>
        <w:rPr>
          <w:rFonts w:ascii="仿宋" w:hAnsi="仿宋" w:eastAsia="仿宋" w:cs="仿宋"/>
          <w:sz w:val="24"/>
          <w:szCs w:val="24"/>
          <w:highlight w:val="none"/>
        </w:rPr>
      </w:pPr>
    </w:p>
    <w:p w14:paraId="786228A4">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30"/>
          <w:szCs w:val="30"/>
          <w:highlight w:val="none"/>
        </w:rPr>
        <w:t>投标人参与投标的声明函</w:t>
      </w:r>
    </w:p>
    <w:p w14:paraId="0F87420D">
      <w:pPr>
        <w:pStyle w:val="24"/>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0C8F247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val="en-US" w:eastAsia="zh-CN"/>
        </w:rPr>
        <w:t>具有独立承担民事责任的能力</w:t>
      </w:r>
      <w:r>
        <w:rPr>
          <w:rFonts w:hint="eastAsia" w:ascii="仿宋" w:hAnsi="仿宋" w:eastAsia="仿宋" w:cs="仿宋"/>
          <w:spacing w:val="8"/>
          <w:sz w:val="24"/>
          <w:szCs w:val="24"/>
          <w:highlight w:val="none"/>
        </w:rPr>
        <w:t>；</w:t>
      </w:r>
    </w:p>
    <w:p w14:paraId="4BADC61B">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14:paraId="5510A67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14:paraId="7448FA0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14:paraId="2871001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w:t>
      </w:r>
      <w:r>
        <w:rPr>
          <w:rFonts w:hint="eastAsia" w:ascii="仿宋" w:hAnsi="仿宋" w:eastAsia="仿宋" w:cs="仿宋"/>
          <w:spacing w:val="8"/>
          <w:sz w:val="24"/>
          <w:szCs w:val="24"/>
          <w:highlight w:val="none"/>
          <w:lang w:val="en-US" w:eastAsia="zh-CN"/>
        </w:rPr>
        <w:t>成立时间不足三年，则自成立时间至今，在经营活动中没有重大违法记录）；</w:t>
      </w:r>
    </w:p>
    <w:p w14:paraId="397C818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6.我单位及其法定代表人、委托代理人未被最高法院（查询网址为：http://zxgk.court.gov.cn/shixin/）列入失信被执行人；</w:t>
      </w:r>
    </w:p>
    <w:p w14:paraId="5AAFE2E6">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投标人近一年在“信用中国”或“信用中国（山东）”无严重失信记录（个体工商户可提供通过“信用中国”各省级分站网站下载的无“严重失信主体名单”记录或无“失信惩戒信息”记录的公共信用信息报告）；</w:t>
      </w:r>
    </w:p>
    <w:p w14:paraId="1B10683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8.投标人近三年内无行贿犯罪行为记录（若成立时间不足三年，则自成立时间至今，无行贿犯罪行为记录）</w:t>
      </w:r>
    </w:p>
    <w:p w14:paraId="1C76EB2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9.我单位本次非联合体投标。</w:t>
      </w:r>
    </w:p>
    <w:p w14:paraId="369F532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53702CFA">
      <w:pPr>
        <w:snapToGrid w:val="0"/>
        <w:spacing w:line="560" w:lineRule="exact"/>
        <w:ind w:firstLine="562" w:firstLineChars="201"/>
        <w:rPr>
          <w:rFonts w:ascii="宋体" w:hAnsi="宋体"/>
          <w:sz w:val="28"/>
          <w:szCs w:val="28"/>
          <w:highlight w:val="none"/>
        </w:rPr>
      </w:pPr>
    </w:p>
    <w:p w14:paraId="5F409230">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26B8DB7C">
      <w:pPr>
        <w:snapToGrid w:val="0"/>
        <w:spacing w:line="360" w:lineRule="auto"/>
        <w:ind w:firstLine="240" w:firstLineChars="100"/>
        <w:outlineLvl w:val="0"/>
        <w:rPr>
          <w:rFonts w:hint="eastAsia" w:ascii="仿宋" w:hAnsi="仿宋" w:eastAsia="仿宋" w:cs="仿宋"/>
          <w:sz w:val="24"/>
          <w:szCs w:val="24"/>
          <w:highlight w:val="none"/>
        </w:rPr>
      </w:pPr>
      <w:bookmarkStart w:id="20" w:name="_Toc2784"/>
      <w:bookmarkStart w:id="21" w:name="_Toc29767"/>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20"/>
      <w:bookmarkEnd w:id="21"/>
    </w:p>
    <w:p w14:paraId="2F7ADC12">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1CAC2B2B">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2E3847CE">
      <w:pPr>
        <w:snapToGrid w:val="0"/>
        <w:spacing w:line="360" w:lineRule="auto"/>
        <w:jc w:val="center"/>
        <w:rPr>
          <w:rFonts w:hint="eastAsia" w:ascii="仿宋" w:hAnsi="仿宋" w:eastAsia="仿宋" w:cs="仿宋"/>
          <w:b/>
          <w:bCs/>
          <w:sz w:val="36"/>
          <w:szCs w:val="36"/>
          <w:highlight w:val="none"/>
        </w:rPr>
      </w:pPr>
    </w:p>
    <w:p w14:paraId="0072F35B">
      <w:pPr>
        <w:snapToGrid w:val="0"/>
        <w:spacing w:line="360" w:lineRule="auto"/>
        <w:jc w:val="center"/>
        <w:rPr>
          <w:rFonts w:hint="eastAsia" w:ascii="仿宋" w:hAnsi="仿宋" w:eastAsia="仿宋" w:cs="仿宋"/>
          <w:b/>
          <w:bCs/>
          <w:sz w:val="36"/>
          <w:szCs w:val="36"/>
          <w:highlight w:val="none"/>
        </w:rPr>
      </w:pPr>
    </w:p>
    <w:p w14:paraId="2739ED5F">
      <w:pPr>
        <w:snapToGrid w:val="0"/>
        <w:spacing w:line="360" w:lineRule="auto"/>
        <w:jc w:val="center"/>
        <w:rPr>
          <w:rFonts w:hint="eastAsia" w:ascii="仿宋" w:hAnsi="仿宋" w:eastAsia="仿宋" w:cs="仿宋"/>
          <w:b/>
          <w:bCs/>
          <w:sz w:val="36"/>
          <w:szCs w:val="36"/>
          <w:highlight w:val="none"/>
        </w:rPr>
      </w:pPr>
    </w:p>
    <w:p w14:paraId="2BD47A98">
      <w:pPr>
        <w:snapToGrid w:val="0"/>
        <w:spacing w:line="360" w:lineRule="auto"/>
        <w:jc w:val="center"/>
        <w:rPr>
          <w:rFonts w:hint="eastAsia" w:ascii="仿宋" w:hAnsi="仿宋" w:eastAsia="仿宋" w:cs="仿宋"/>
          <w:b/>
          <w:bCs/>
          <w:sz w:val="36"/>
          <w:szCs w:val="36"/>
          <w:highlight w:val="none"/>
        </w:rPr>
      </w:pPr>
    </w:p>
    <w:p w14:paraId="5A56F717">
      <w:pPr>
        <w:snapToGrid w:val="0"/>
        <w:spacing w:line="360" w:lineRule="auto"/>
        <w:jc w:val="center"/>
        <w:rPr>
          <w:rFonts w:hint="eastAsia" w:ascii="仿宋" w:hAnsi="仿宋" w:eastAsia="仿宋" w:cs="仿宋"/>
          <w:b/>
          <w:bCs/>
          <w:sz w:val="36"/>
          <w:szCs w:val="36"/>
          <w:highlight w:val="none"/>
        </w:rPr>
      </w:pPr>
    </w:p>
    <w:p w14:paraId="1701D2E8">
      <w:pPr>
        <w:snapToGrid w:val="0"/>
        <w:spacing w:line="360" w:lineRule="auto"/>
        <w:jc w:val="center"/>
        <w:rPr>
          <w:rFonts w:hint="eastAsia" w:ascii="仿宋" w:hAnsi="仿宋" w:eastAsia="仿宋" w:cs="仿宋"/>
          <w:b/>
          <w:bCs/>
          <w:sz w:val="36"/>
          <w:szCs w:val="36"/>
          <w:highlight w:val="none"/>
        </w:rPr>
      </w:pPr>
    </w:p>
    <w:p w14:paraId="28EF6A24">
      <w:pPr>
        <w:snapToGrid w:val="0"/>
        <w:spacing w:line="360" w:lineRule="auto"/>
        <w:jc w:val="center"/>
        <w:rPr>
          <w:rFonts w:hint="eastAsia" w:ascii="仿宋" w:hAnsi="仿宋" w:eastAsia="仿宋" w:cs="仿宋"/>
          <w:b/>
          <w:bCs/>
          <w:sz w:val="36"/>
          <w:szCs w:val="36"/>
          <w:highlight w:val="none"/>
        </w:rPr>
      </w:pPr>
    </w:p>
    <w:p w14:paraId="4702AAF5">
      <w:pPr>
        <w:snapToGrid w:val="0"/>
        <w:spacing w:line="360" w:lineRule="auto"/>
        <w:jc w:val="center"/>
        <w:rPr>
          <w:rFonts w:hint="eastAsia" w:ascii="仿宋" w:hAnsi="仿宋" w:eastAsia="仿宋" w:cs="仿宋"/>
          <w:b/>
          <w:bCs/>
          <w:sz w:val="36"/>
          <w:szCs w:val="36"/>
          <w:highlight w:val="none"/>
        </w:rPr>
      </w:pPr>
    </w:p>
    <w:p w14:paraId="4BE178BD">
      <w:pPr>
        <w:snapToGrid w:val="0"/>
        <w:spacing w:line="360" w:lineRule="auto"/>
        <w:jc w:val="center"/>
        <w:rPr>
          <w:rFonts w:hint="eastAsia" w:ascii="仿宋" w:hAnsi="仿宋" w:eastAsia="仿宋" w:cs="仿宋"/>
          <w:b/>
          <w:bCs/>
          <w:sz w:val="36"/>
          <w:szCs w:val="36"/>
          <w:highlight w:val="none"/>
        </w:rPr>
      </w:pPr>
    </w:p>
    <w:p w14:paraId="32061447">
      <w:pPr>
        <w:snapToGrid w:val="0"/>
        <w:spacing w:line="360" w:lineRule="auto"/>
        <w:jc w:val="center"/>
        <w:rPr>
          <w:rFonts w:hint="eastAsia" w:ascii="仿宋" w:hAnsi="仿宋" w:eastAsia="仿宋" w:cs="仿宋"/>
          <w:b/>
          <w:bCs/>
          <w:sz w:val="36"/>
          <w:szCs w:val="36"/>
          <w:highlight w:val="none"/>
        </w:rPr>
      </w:pPr>
    </w:p>
    <w:p w14:paraId="3B87EFF0">
      <w:pPr>
        <w:snapToGrid w:val="0"/>
        <w:spacing w:line="360" w:lineRule="auto"/>
        <w:jc w:val="center"/>
        <w:rPr>
          <w:rFonts w:hint="eastAsia" w:ascii="仿宋" w:hAnsi="仿宋" w:eastAsia="仿宋" w:cs="仿宋"/>
          <w:b/>
          <w:bCs/>
          <w:sz w:val="36"/>
          <w:szCs w:val="36"/>
          <w:highlight w:val="none"/>
        </w:rPr>
      </w:pPr>
    </w:p>
    <w:p w14:paraId="5E0CD8E4">
      <w:pPr>
        <w:snapToGrid w:val="0"/>
        <w:spacing w:line="360" w:lineRule="auto"/>
        <w:jc w:val="center"/>
        <w:rPr>
          <w:rFonts w:hint="eastAsia" w:ascii="仿宋" w:hAnsi="仿宋" w:eastAsia="仿宋" w:cs="仿宋"/>
          <w:b/>
          <w:bCs/>
          <w:sz w:val="36"/>
          <w:szCs w:val="36"/>
          <w:highlight w:val="none"/>
        </w:rPr>
      </w:pPr>
    </w:p>
    <w:p w14:paraId="2922F0F5">
      <w:pPr>
        <w:snapToGrid w:val="0"/>
        <w:spacing w:line="360" w:lineRule="auto"/>
        <w:jc w:val="center"/>
        <w:rPr>
          <w:rFonts w:hint="eastAsia" w:ascii="仿宋" w:hAnsi="仿宋" w:eastAsia="仿宋" w:cs="仿宋"/>
          <w:b/>
          <w:bCs/>
          <w:sz w:val="36"/>
          <w:szCs w:val="36"/>
          <w:highlight w:val="none"/>
        </w:rPr>
      </w:pPr>
    </w:p>
    <w:p w14:paraId="7DDDA835">
      <w:pPr>
        <w:snapToGrid w:val="0"/>
        <w:spacing w:line="360" w:lineRule="auto"/>
        <w:jc w:val="center"/>
        <w:rPr>
          <w:rFonts w:hint="eastAsia" w:ascii="仿宋" w:hAnsi="仿宋" w:eastAsia="仿宋" w:cs="仿宋"/>
          <w:b/>
          <w:bCs/>
          <w:sz w:val="36"/>
          <w:szCs w:val="36"/>
          <w:highlight w:val="none"/>
        </w:rPr>
      </w:pPr>
    </w:p>
    <w:p w14:paraId="72BC0323">
      <w:pPr>
        <w:snapToGrid w:val="0"/>
        <w:spacing w:line="360" w:lineRule="auto"/>
        <w:jc w:val="center"/>
        <w:rPr>
          <w:rFonts w:hint="eastAsia" w:ascii="仿宋" w:hAnsi="仿宋" w:eastAsia="仿宋" w:cs="仿宋"/>
          <w:b/>
          <w:bCs/>
          <w:sz w:val="36"/>
          <w:szCs w:val="36"/>
          <w:highlight w:val="none"/>
        </w:rPr>
      </w:pPr>
    </w:p>
    <w:p w14:paraId="6116BC8E">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3"/>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7FE025EC">
      <w:pPr>
        <w:snapToGrid w:val="0"/>
        <w:spacing w:line="560" w:lineRule="exact"/>
        <w:ind w:firstLine="484" w:firstLineChars="201"/>
        <w:jc w:val="center"/>
        <w:rPr>
          <w:rFonts w:hint="eastAsia" w:ascii="仿宋" w:hAnsi="仿宋" w:eastAsia="仿宋" w:cs="仿宋"/>
          <w:b/>
          <w:bCs/>
          <w:sz w:val="24"/>
          <w:szCs w:val="24"/>
          <w:highlight w:val="none"/>
        </w:rPr>
      </w:pPr>
    </w:p>
    <w:p w14:paraId="62088EAC">
      <w:pPr>
        <w:pStyle w:val="17"/>
        <w:rPr>
          <w:rFonts w:hint="eastAsia"/>
          <w:highlight w:val="none"/>
        </w:rPr>
      </w:pPr>
    </w:p>
    <w:p w14:paraId="5D409532">
      <w:pPr>
        <w:pStyle w:val="26"/>
        <w:rPr>
          <w:rFonts w:hint="eastAsia"/>
          <w:highlight w:val="none"/>
        </w:rPr>
      </w:pPr>
    </w:p>
    <w:p w14:paraId="536B980E">
      <w:pPr>
        <w:rPr>
          <w:rFonts w:hint="eastAsia"/>
          <w:highlight w:val="none"/>
        </w:rPr>
      </w:pPr>
    </w:p>
    <w:p w14:paraId="5749A9F4">
      <w:pPr>
        <w:pStyle w:val="17"/>
        <w:rPr>
          <w:rFonts w:hint="eastAsia"/>
          <w:highlight w:val="none"/>
        </w:rPr>
      </w:pPr>
    </w:p>
    <w:p w14:paraId="6901ACBF">
      <w:pPr>
        <w:pStyle w:val="26"/>
        <w:rPr>
          <w:rFonts w:hint="eastAsia"/>
          <w:highlight w:val="none"/>
        </w:rPr>
      </w:pPr>
    </w:p>
    <w:p w14:paraId="6D78F08E">
      <w:pPr>
        <w:rPr>
          <w:rFonts w:hint="eastAsia"/>
          <w:highlight w:val="none"/>
        </w:rPr>
      </w:pPr>
    </w:p>
    <w:p w14:paraId="132865B7">
      <w:pPr>
        <w:pStyle w:val="17"/>
        <w:rPr>
          <w:rFonts w:hint="eastAsia"/>
          <w:highlight w:val="none"/>
        </w:rPr>
      </w:pPr>
    </w:p>
    <w:p w14:paraId="062F208D">
      <w:pPr>
        <w:pStyle w:val="26"/>
        <w:rPr>
          <w:rFonts w:hint="eastAsia"/>
          <w:highlight w:val="none"/>
        </w:rPr>
      </w:pPr>
    </w:p>
    <w:p w14:paraId="07FB4CB8">
      <w:pPr>
        <w:rPr>
          <w:rFonts w:hint="eastAsia"/>
          <w:highlight w:val="none"/>
        </w:rPr>
      </w:pPr>
    </w:p>
    <w:p w14:paraId="4A51531C">
      <w:pPr>
        <w:pStyle w:val="17"/>
        <w:rPr>
          <w:rFonts w:hint="eastAsia"/>
          <w:highlight w:val="none"/>
        </w:rPr>
      </w:pPr>
    </w:p>
    <w:p w14:paraId="122219FC">
      <w:pPr>
        <w:pStyle w:val="26"/>
        <w:rPr>
          <w:rFonts w:hint="eastAsia"/>
          <w:highlight w:val="none"/>
        </w:rPr>
      </w:pPr>
    </w:p>
    <w:p w14:paraId="4895189A">
      <w:pPr>
        <w:rPr>
          <w:rFonts w:hint="eastAsia"/>
          <w:highlight w:val="none"/>
        </w:rPr>
      </w:pPr>
    </w:p>
    <w:p w14:paraId="263C2047">
      <w:pPr>
        <w:pStyle w:val="17"/>
        <w:rPr>
          <w:rFonts w:hint="eastAsia"/>
          <w:highlight w:val="none"/>
        </w:rPr>
      </w:pPr>
    </w:p>
    <w:p w14:paraId="7E8C0131">
      <w:pPr>
        <w:pStyle w:val="26"/>
        <w:rPr>
          <w:rFonts w:hint="eastAsia"/>
          <w:highlight w:val="none"/>
        </w:rPr>
      </w:pPr>
    </w:p>
    <w:p w14:paraId="16DE5333">
      <w:pPr>
        <w:rPr>
          <w:rFonts w:hint="eastAsia"/>
          <w:highlight w:val="none"/>
        </w:rPr>
      </w:pPr>
    </w:p>
    <w:p w14:paraId="5C9A5467">
      <w:pPr>
        <w:pStyle w:val="17"/>
        <w:rPr>
          <w:rFonts w:hint="eastAsia"/>
          <w:highlight w:val="none"/>
        </w:rPr>
      </w:pPr>
    </w:p>
    <w:p w14:paraId="4DB3CF9D">
      <w:pPr>
        <w:pStyle w:val="26"/>
        <w:rPr>
          <w:rFonts w:hint="eastAsia"/>
          <w:highlight w:val="none"/>
        </w:rPr>
      </w:pPr>
    </w:p>
    <w:p w14:paraId="7E3F24CE">
      <w:pPr>
        <w:rPr>
          <w:rFonts w:hint="eastAsia"/>
          <w:highlight w:val="none"/>
        </w:rPr>
      </w:pPr>
    </w:p>
    <w:p w14:paraId="1F652B7C">
      <w:pPr>
        <w:pStyle w:val="17"/>
        <w:rPr>
          <w:rFonts w:hint="eastAsia"/>
          <w:highlight w:val="none"/>
        </w:rPr>
      </w:pPr>
    </w:p>
    <w:p w14:paraId="7C1DCCF8">
      <w:pPr>
        <w:pStyle w:val="26"/>
        <w:rPr>
          <w:rFonts w:hint="eastAsia"/>
          <w:highlight w:val="none"/>
        </w:rPr>
      </w:pPr>
    </w:p>
    <w:p w14:paraId="60F816EE">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附通过网站查询信息记录，包含投标人及其法定代表人、委托代理人失信被执行人情况网页截图（省份为全部）</w:t>
      </w:r>
    </w:p>
    <w:p w14:paraId="266DE26D">
      <w:pPr>
        <w:rPr>
          <w:rFonts w:hint="eastAsia"/>
          <w:highlight w:val="none"/>
        </w:rPr>
      </w:pPr>
    </w:p>
    <w:p w14:paraId="74996A95">
      <w:pPr>
        <w:pStyle w:val="17"/>
        <w:rPr>
          <w:rFonts w:hint="eastAsia"/>
          <w:highlight w:val="none"/>
        </w:rPr>
      </w:pPr>
    </w:p>
    <w:p w14:paraId="36589DFB">
      <w:pPr>
        <w:pStyle w:val="26"/>
        <w:rPr>
          <w:rFonts w:hint="eastAsia"/>
          <w:highlight w:val="none"/>
        </w:rPr>
      </w:pPr>
    </w:p>
    <w:p w14:paraId="1152496F">
      <w:pPr>
        <w:rPr>
          <w:rFonts w:hint="eastAsia"/>
          <w:highlight w:val="none"/>
        </w:rPr>
      </w:pPr>
    </w:p>
    <w:p w14:paraId="1BA9DAF8">
      <w:pPr>
        <w:pStyle w:val="17"/>
        <w:rPr>
          <w:rFonts w:hint="eastAsia"/>
          <w:highlight w:val="none"/>
        </w:rPr>
      </w:pPr>
    </w:p>
    <w:p w14:paraId="35C254B3">
      <w:pPr>
        <w:pStyle w:val="26"/>
        <w:rPr>
          <w:rFonts w:hint="eastAsia"/>
          <w:highlight w:val="none"/>
        </w:rPr>
      </w:pPr>
    </w:p>
    <w:p w14:paraId="12FC5920">
      <w:pPr>
        <w:rPr>
          <w:rFonts w:hint="eastAsia"/>
          <w:highlight w:val="none"/>
        </w:rPr>
      </w:pPr>
    </w:p>
    <w:p w14:paraId="16BAB424">
      <w:pPr>
        <w:pStyle w:val="17"/>
        <w:rPr>
          <w:rFonts w:hint="eastAsia"/>
          <w:highlight w:val="none"/>
        </w:rPr>
      </w:pPr>
    </w:p>
    <w:p w14:paraId="10DCD6F9">
      <w:pPr>
        <w:pStyle w:val="26"/>
        <w:rPr>
          <w:rFonts w:hint="eastAsia"/>
          <w:highlight w:val="none"/>
        </w:rPr>
      </w:pPr>
    </w:p>
    <w:p w14:paraId="3C7D5FA8">
      <w:pPr>
        <w:rPr>
          <w:rFonts w:hint="eastAsia"/>
          <w:highlight w:val="none"/>
        </w:rPr>
      </w:pPr>
    </w:p>
    <w:p w14:paraId="22D42B49">
      <w:pPr>
        <w:pStyle w:val="17"/>
        <w:rPr>
          <w:rFonts w:hint="eastAsia"/>
          <w:highlight w:val="none"/>
        </w:rPr>
      </w:pPr>
    </w:p>
    <w:p w14:paraId="53ED3229">
      <w:pPr>
        <w:pStyle w:val="17"/>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0F0431DC">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个体工商户可提供通过“信用中国”各省级分站网站下载的无“严重失信主体名单”记录或无“失信惩戒信息”记录的公共信用信息报告）</w:t>
      </w:r>
    </w:p>
    <w:p w14:paraId="7ED8090C">
      <w:pPr>
        <w:snapToGrid w:val="0"/>
        <w:spacing w:line="360" w:lineRule="auto"/>
        <w:jc w:val="center"/>
        <w:rPr>
          <w:rFonts w:hint="eastAsia" w:ascii="仿宋" w:hAnsi="仿宋" w:eastAsia="仿宋" w:cs="仿宋"/>
          <w:b/>
          <w:bCs/>
          <w:sz w:val="24"/>
          <w:szCs w:val="24"/>
          <w:highlight w:val="none"/>
        </w:rPr>
      </w:pPr>
    </w:p>
    <w:p w14:paraId="610F68EC">
      <w:pPr>
        <w:pStyle w:val="37"/>
        <w:rPr>
          <w:rFonts w:hint="eastAsia" w:ascii="仿宋" w:hAnsi="仿宋" w:eastAsia="仿宋" w:cs="仿宋"/>
          <w:b/>
          <w:bCs/>
          <w:sz w:val="24"/>
          <w:szCs w:val="24"/>
          <w:highlight w:val="none"/>
        </w:rPr>
      </w:pPr>
    </w:p>
    <w:p w14:paraId="144F6BA3">
      <w:pPr>
        <w:pStyle w:val="37"/>
        <w:rPr>
          <w:rFonts w:hint="eastAsia" w:ascii="仿宋" w:hAnsi="仿宋" w:eastAsia="仿宋" w:cs="仿宋"/>
          <w:b/>
          <w:bCs/>
          <w:sz w:val="24"/>
          <w:szCs w:val="24"/>
          <w:highlight w:val="none"/>
          <w:lang w:val="en-US" w:eastAsia="zh-CN"/>
        </w:rPr>
      </w:pPr>
    </w:p>
    <w:p w14:paraId="34C92008">
      <w:pPr>
        <w:pStyle w:val="37"/>
        <w:rPr>
          <w:rFonts w:hint="eastAsia" w:ascii="仿宋" w:hAnsi="仿宋" w:eastAsia="仿宋" w:cs="仿宋"/>
          <w:b/>
          <w:bCs/>
          <w:sz w:val="24"/>
          <w:szCs w:val="24"/>
          <w:highlight w:val="none"/>
        </w:rPr>
      </w:pPr>
    </w:p>
    <w:p w14:paraId="77474ED5">
      <w:pPr>
        <w:pStyle w:val="37"/>
        <w:rPr>
          <w:rFonts w:hint="eastAsia" w:ascii="仿宋" w:hAnsi="仿宋" w:eastAsia="仿宋" w:cs="仿宋"/>
          <w:b/>
          <w:bCs/>
          <w:sz w:val="24"/>
          <w:szCs w:val="24"/>
          <w:highlight w:val="none"/>
        </w:rPr>
      </w:pPr>
    </w:p>
    <w:p w14:paraId="1875F6BA">
      <w:pPr>
        <w:pStyle w:val="37"/>
        <w:rPr>
          <w:rFonts w:hint="eastAsia" w:ascii="仿宋" w:hAnsi="仿宋" w:eastAsia="仿宋" w:cs="仿宋"/>
          <w:b/>
          <w:bCs/>
          <w:sz w:val="24"/>
          <w:szCs w:val="24"/>
          <w:highlight w:val="none"/>
        </w:rPr>
      </w:pPr>
    </w:p>
    <w:p w14:paraId="7F32F767">
      <w:pPr>
        <w:pStyle w:val="37"/>
        <w:rPr>
          <w:rFonts w:hint="eastAsia" w:ascii="仿宋" w:hAnsi="仿宋" w:eastAsia="仿宋" w:cs="仿宋"/>
          <w:b/>
          <w:bCs/>
          <w:sz w:val="24"/>
          <w:szCs w:val="24"/>
          <w:highlight w:val="none"/>
        </w:rPr>
      </w:pPr>
    </w:p>
    <w:p w14:paraId="0D436C20">
      <w:pPr>
        <w:pStyle w:val="37"/>
        <w:rPr>
          <w:rFonts w:hint="eastAsia" w:ascii="仿宋" w:hAnsi="仿宋" w:eastAsia="仿宋" w:cs="仿宋"/>
          <w:b/>
          <w:bCs/>
          <w:sz w:val="24"/>
          <w:szCs w:val="24"/>
          <w:highlight w:val="none"/>
        </w:rPr>
      </w:pPr>
    </w:p>
    <w:p w14:paraId="6E440EDD">
      <w:pPr>
        <w:pStyle w:val="37"/>
        <w:rPr>
          <w:rFonts w:hint="eastAsia" w:ascii="仿宋" w:hAnsi="仿宋" w:eastAsia="仿宋" w:cs="仿宋"/>
          <w:b/>
          <w:bCs/>
          <w:sz w:val="24"/>
          <w:szCs w:val="24"/>
          <w:highlight w:val="none"/>
        </w:rPr>
      </w:pPr>
    </w:p>
    <w:p w14:paraId="1F3FF2EB">
      <w:pPr>
        <w:pStyle w:val="37"/>
        <w:rPr>
          <w:rFonts w:hint="eastAsia" w:ascii="仿宋" w:hAnsi="仿宋" w:eastAsia="仿宋" w:cs="仿宋"/>
          <w:b/>
          <w:bCs/>
          <w:sz w:val="24"/>
          <w:szCs w:val="24"/>
          <w:highlight w:val="none"/>
        </w:rPr>
      </w:pPr>
    </w:p>
    <w:p w14:paraId="19743D65">
      <w:pPr>
        <w:pStyle w:val="37"/>
        <w:rPr>
          <w:rFonts w:hint="eastAsia" w:ascii="仿宋" w:hAnsi="仿宋" w:eastAsia="仿宋" w:cs="仿宋"/>
          <w:b/>
          <w:bCs/>
          <w:sz w:val="24"/>
          <w:szCs w:val="24"/>
          <w:highlight w:val="none"/>
        </w:rPr>
      </w:pPr>
    </w:p>
    <w:p w14:paraId="20FE1999">
      <w:pPr>
        <w:pStyle w:val="37"/>
        <w:rPr>
          <w:rFonts w:hint="eastAsia" w:ascii="仿宋" w:hAnsi="仿宋" w:eastAsia="仿宋" w:cs="仿宋"/>
          <w:b/>
          <w:bCs/>
          <w:sz w:val="24"/>
          <w:szCs w:val="24"/>
          <w:highlight w:val="none"/>
        </w:rPr>
      </w:pPr>
    </w:p>
    <w:p w14:paraId="4BBAFC72">
      <w:pPr>
        <w:pStyle w:val="37"/>
        <w:rPr>
          <w:rFonts w:hint="eastAsia" w:ascii="仿宋" w:hAnsi="仿宋" w:eastAsia="仿宋" w:cs="仿宋"/>
          <w:b/>
          <w:bCs/>
          <w:sz w:val="24"/>
          <w:szCs w:val="24"/>
          <w:highlight w:val="none"/>
        </w:rPr>
      </w:pPr>
    </w:p>
    <w:p w14:paraId="516B3E5A">
      <w:pPr>
        <w:pStyle w:val="37"/>
        <w:rPr>
          <w:rFonts w:hint="eastAsia" w:ascii="仿宋" w:hAnsi="仿宋" w:eastAsia="仿宋" w:cs="仿宋"/>
          <w:b/>
          <w:bCs/>
          <w:sz w:val="24"/>
          <w:szCs w:val="24"/>
          <w:highlight w:val="none"/>
        </w:rPr>
      </w:pPr>
    </w:p>
    <w:p w14:paraId="74FF9BE3">
      <w:pPr>
        <w:pStyle w:val="37"/>
        <w:rPr>
          <w:rFonts w:hint="eastAsia" w:ascii="仿宋" w:hAnsi="仿宋" w:eastAsia="仿宋" w:cs="仿宋"/>
          <w:b/>
          <w:bCs/>
          <w:sz w:val="24"/>
          <w:szCs w:val="24"/>
          <w:highlight w:val="none"/>
        </w:rPr>
      </w:pPr>
    </w:p>
    <w:p w14:paraId="7A0180DF">
      <w:pPr>
        <w:pStyle w:val="37"/>
        <w:rPr>
          <w:rFonts w:hint="eastAsia" w:ascii="仿宋" w:hAnsi="仿宋" w:eastAsia="仿宋" w:cs="仿宋"/>
          <w:b/>
          <w:bCs/>
          <w:sz w:val="24"/>
          <w:szCs w:val="24"/>
          <w:highlight w:val="none"/>
        </w:rPr>
      </w:pPr>
    </w:p>
    <w:p w14:paraId="34E30347">
      <w:pPr>
        <w:pStyle w:val="37"/>
        <w:rPr>
          <w:rFonts w:hint="eastAsia" w:ascii="仿宋" w:hAnsi="仿宋" w:eastAsia="仿宋" w:cs="仿宋"/>
          <w:b/>
          <w:bCs/>
          <w:sz w:val="24"/>
          <w:szCs w:val="24"/>
          <w:highlight w:val="none"/>
        </w:rPr>
      </w:pPr>
    </w:p>
    <w:p w14:paraId="772E6BBF">
      <w:pPr>
        <w:pStyle w:val="37"/>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近一年是指2025年1月1日至查询日止，查询日期不早于招标文件开始获取日期。</w:t>
      </w:r>
    </w:p>
    <w:p w14:paraId="43B62E0E">
      <w:pPr>
        <w:snapToGrid w:val="0"/>
        <w:spacing w:line="360" w:lineRule="auto"/>
        <w:jc w:val="center"/>
        <w:rPr>
          <w:rFonts w:hint="eastAsia" w:ascii="仿宋" w:hAnsi="仿宋" w:eastAsia="仿宋" w:cs="仿宋"/>
          <w:b/>
          <w:bCs/>
          <w:sz w:val="30"/>
          <w:szCs w:val="30"/>
          <w:highlight w:val="none"/>
        </w:rPr>
      </w:pPr>
    </w:p>
    <w:p w14:paraId="07E98F47">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投标人认为需要提供的其他资质资格证明文件</w:t>
      </w:r>
    </w:p>
    <w:p w14:paraId="20381A8B">
      <w:pPr>
        <w:snapToGrid w:val="0"/>
        <w:spacing w:line="360" w:lineRule="auto"/>
        <w:ind w:left="559" w:leftChars="266" w:firstLine="2400" w:firstLineChars="1000"/>
        <w:jc w:val="left"/>
        <w:rPr>
          <w:rFonts w:ascii="仿宋" w:hAnsi="仿宋" w:eastAsia="仿宋" w:cs="仿宋"/>
          <w:sz w:val="24"/>
          <w:szCs w:val="24"/>
          <w:highlight w:val="none"/>
        </w:rPr>
      </w:pPr>
    </w:p>
    <w:p w14:paraId="4C64AA13">
      <w:pPr>
        <w:snapToGrid w:val="0"/>
        <w:spacing w:line="360" w:lineRule="auto"/>
        <w:ind w:left="559" w:leftChars="266" w:firstLine="2400" w:firstLineChars="1000"/>
        <w:jc w:val="left"/>
        <w:rPr>
          <w:rFonts w:ascii="仿宋" w:hAnsi="仿宋" w:eastAsia="仿宋" w:cs="仿宋"/>
          <w:sz w:val="24"/>
          <w:szCs w:val="24"/>
          <w:highlight w:val="none"/>
        </w:rPr>
      </w:pPr>
    </w:p>
    <w:p w14:paraId="5C98BD49">
      <w:pPr>
        <w:snapToGrid w:val="0"/>
        <w:spacing w:line="360" w:lineRule="auto"/>
        <w:ind w:left="559" w:leftChars="266" w:firstLine="2400" w:firstLineChars="1000"/>
        <w:jc w:val="left"/>
        <w:rPr>
          <w:rFonts w:ascii="仿宋" w:hAnsi="仿宋" w:eastAsia="仿宋" w:cs="仿宋"/>
          <w:sz w:val="24"/>
          <w:szCs w:val="24"/>
          <w:highlight w:val="none"/>
        </w:rPr>
      </w:pPr>
    </w:p>
    <w:p w14:paraId="4680C64F">
      <w:pPr>
        <w:snapToGrid w:val="0"/>
        <w:spacing w:line="360" w:lineRule="auto"/>
        <w:ind w:left="559" w:leftChars="266" w:firstLine="2400" w:firstLineChars="1000"/>
        <w:jc w:val="left"/>
        <w:rPr>
          <w:rFonts w:ascii="仿宋" w:hAnsi="仿宋" w:eastAsia="仿宋" w:cs="仿宋"/>
          <w:sz w:val="24"/>
          <w:szCs w:val="24"/>
          <w:highlight w:val="none"/>
        </w:rPr>
      </w:pPr>
    </w:p>
    <w:p w14:paraId="35CBA218">
      <w:pPr>
        <w:snapToGrid w:val="0"/>
        <w:spacing w:line="360" w:lineRule="auto"/>
        <w:ind w:left="559" w:leftChars="266" w:firstLine="2400" w:firstLineChars="1000"/>
        <w:jc w:val="left"/>
        <w:rPr>
          <w:rFonts w:ascii="仿宋" w:hAnsi="仿宋" w:eastAsia="仿宋" w:cs="仿宋"/>
          <w:sz w:val="24"/>
          <w:szCs w:val="24"/>
          <w:highlight w:val="none"/>
        </w:rPr>
      </w:pPr>
    </w:p>
    <w:p w14:paraId="069FD6A9">
      <w:pPr>
        <w:snapToGrid w:val="0"/>
        <w:spacing w:line="360" w:lineRule="auto"/>
        <w:ind w:left="559" w:leftChars="266" w:firstLine="2400" w:firstLineChars="1000"/>
        <w:jc w:val="left"/>
        <w:rPr>
          <w:rFonts w:ascii="仿宋" w:hAnsi="仿宋" w:eastAsia="仿宋" w:cs="仿宋"/>
          <w:sz w:val="24"/>
          <w:szCs w:val="24"/>
          <w:highlight w:val="none"/>
        </w:rPr>
      </w:pPr>
    </w:p>
    <w:p w14:paraId="126A40FA">
      <w:pPr>
        <w:pStyle w:val="37"/>
        <w:rPr>
          <w:rFonts w:ascii="仿宋" w:hAnsi="仿宋" w:eastAsia="仿宋" w:cs="仿宋"/>
          <w:szCs w:val="24"/>
          <w:highlight w:val="none"/>
        </w:rPr>
      </w:pPr>
    </w:p>
    <w:p w14:paraId="18579B17">
      <w:pPr>
        <w:pStyle w:val="37"/>
        <w:rPr>
          <w:rFonts w:ascii="仿宋" w:hAnsi="仿宋" w:eastAsia="仿宋" w:cs="仿宋"/>
          <w:szCs w:val="24"/>
          <w:highlight w:val="none"/>
        </w:rPr>
      </w:pPr>
    </w:p>
    <w:p w14:paraId="7F0B2E4E">
      <w:pPr>
        <w:pStyle w:val="37"/>
        <w:rPr>
          <w:rFonts w:ascii="仿宋" w:hAnsi="仿宋" w:eastAsia="仿宋" w:cs="仿宋"/>
          <w:szCs w:val="24"/>
          <w:highlight w:val="none"/>
        </w:rPr>
      </w:pPr>
    </w:p>
    <w:p w14:paraId="1206E215">
      <w:pPr>
        <w:pStyle w:val="37"/>
        <w:rPr>
          <w:rFonts w:ascii="仿宋" w:hAnsi="仿宋" w:eastAsia="仿宋" w:cs="仿宋"/>
          <w:szCs w:val="24"/>
          <w:highlight w:val="none"/>
        </w:rPr>
      </w:pPr>
    </w:p>
    <w:p w14:paraId="48BB2E65">
      <w:pPr>
        <w:pStyle w:val="37"/>
        <w:rPr>
          <w:rFonts w:ascii="仿宋" w:hAnsi="仿宋" w:eastAsia="仿宋" w:cs="仿宋"/>
          <w:szCs w:val="24"/>
          <w:highlight w:val="none"/>
        </w:rPr>
      </w:pPr>
    </w:p>
    <w:p w14:paraId="673C7A82">
      <w:pPr>
        <w:pStyle w:val="37"/>
        <w:rPr>
          <w:rFonts w:ascii="仿宋" w:hAnsi="仿宋" w:eastAsia="仿宋" w:cs="仿宋"/>
          <w:szCs w:val="24"/>
          <w:highlight w:val="none"/>
        </w:rPr>
      </w:pPr>
    </w:p>
    <w:p w14:paraId="5EE04098">
      <w:pPr>
        <w:pStyle w:val="37"/>
        <w:rPr>
          <w:rFonts w:ascii="仿宋" w:hAnsi="仿宋" w:eastAsia="仿宋" w:cs="仿宋"/>
          <w:szCs w:val="24"/>
          <w:highlight w:val="none"/>
        </w:rPr>
      </w:pPr>
    </w:p>
    <w:p w14:paraId="047BE460">
      <w:pPr>
        <w:pStyle w:val="37"/>
        <w:rPr>
          <w:rFonts w:ascii="仿宋" w:hAnsi="仿宋" w:eastAsia="仿宋" w:cs="仿宋"/>
          <w:szCs w:val="24"/>
          <w:highlight w:val="none"/>
        </w:rPr>
      </w:pPr>
    </w:p>
    <w:p w14:paraId="265019F9">
      <w:pPr>
        <w:pStyle w:val="37"/>
        <w:rPr>
          <w:rFonts w:ascii="仿宋" w:hAnsi="仿宋" w:eastAsia="仿宋" w:cs="仿宋"/>
          <w:szCs w:val="24"/>
          <w:highlight w:val="none"/>
        </w:rPr>
      </w:pPr>
    </w:p>
    <w:p w14:paraId="73DBC528">
      <w:pPr>
        <w:pStyle w:val="37"/>
        <w:rPr>
          <w:rFonts w:ascii="仿宋" w:hAnsi="仿宋" w:eastAsia="仿宋" w:cs="仿宋"/>
          <w:szCs w:val="24"/>
          <w:highlight w:val="none"/>
        </w:rPr>
      </w:pPr>
    </w:p>
    <w:p w14:paraId="2655A273">
      <w:pPr>
        <w:spacing w:line="360" w:lineRule="exact"/>
        <w:ind w:right="1120"/>
        <w:rPr>
          <w:rFonts w:hint="eastAsia" w:ascii="仿宋" w:hAnsi="仿宋" w:eastAsia="仿宋" w:cs="仿宋"/>
          <w:sz w:val="24"/>
          <w:highlight w:val="none"/>
        </w:rPr>
      </w:pPr>
    </w:p>
    <w:p w14:paraId="0F9632A8">
      <w:pPr>
        <w:spacing w:line="360" w:lineRule="exact"/>
        <w:ind w:right="1120"/>
        <w:rPr>
          <w:rFonts w:hint="eastAsia" w:ascii="仿宋" w:hAnsi="仿宋" w:eastAsia="仿宋" w:cs="仿宋"/>
          <w:sz w:val="24"/>
          <w:highlight w:val="none"/>
        </w:rPr>
      </w:pPr>
    </w:p>
    <w:p w14:paraId="0E1F4DE8">
      <w:pPr>
        <w:spacing w:line="360" w:lineRule="exact"/>
        <w:ind w:right="1120" w:firstLine="3000" w:firstLineChars="1250"/>
        <w:rPr>
          <w:rFonts w:hint="eastAsia" w:ascii="仿宋" w:hAnsi="仿宋" w:eastAsia="仿宋" w:cs="仿宋"/>
          <w:sz w:val="24"/>
          <w:highlight w:val="none"/>
        </w:rPr>
      </w:pPr>
    </w:p>
    <w:p w14:paraId="496A2B38">
      <w:pPr>
        <w:spacing w:line="360" w:lineRule="exact"/>
        <w:ind w:right="1120" w:firstLine="3000" w:firstLineChars="1250"/>
        <w:rPr>
          <w:rFonts w:hint="eastAsia" w:ascii="仿宋" w:hAnsi="仿宋" w:eastAsia="仿宋" w:cs="仿宋"/>
          <w:sz w:val="24"/>
          <w:highlight w:val="none"/>
        </w:rPr>
      </w:pPr>
    </w:p>
    <w:p w14:paraId="1A1CD024">
      <w:pPr>
        <w:spacing w:line="360" w:lineRule="exact"/>
        <w:ind w:right="1120" w:firstLine="3000" w:firstLineChars="1250"/>
        <w:rPr>
          <w:rFonts w:hint="eastAsia" w:ascii="仿宋" w:hAnsi="仿宋" w:eastAsia="仿宋" w:cs="仿宋"/>
          <w:sz w:val="24"/>
          <w:highlight w:val="none"/>
        </w:rPr>
      </w:pPr>
    </w:p>
    <w:p w14:paraId="543D6C3D">
      <w:pPr>
        <w:spacing w:line="360" w:lineRule="exact"/>
        <w:ind w:right="1120" w:firstLine="3000" w:firstLineChars="1250"/>
        <w:rPr>
          <w:rFonts w:hint="eastAsia" w:ascii="仿宋" w:hAnsi="仿宋" w:eastAsia="仿宋" w:cs="仿宋"/>
          <w:sz w:val="24"/>
          <w:highlight w:val="none"/>
        </w:rPr>
      </w:pPr>
    </w:p>
    <w:p w14:paraId="3B79E51C">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2528E002">
      <w:pPr>
        <w:pStyle w:val="88"/>
        <w:ind w:left="480" w:firstLine="0"/>
        <w:rPr>
          <w:rFonts w:ascii="仿宋" w:hAnsi="仿宋" w:eastAsia="仿宋" w:cs="仿宋"/>
          <w:bCs/>
          <w:szCs w:val="24"/>
          <w:highlight w:val="none"/>
        </w:rPr>
      </w:pPr>
    </w:p>
    <w:p w14:paraId="64CADFE2">
      <w:pPr>
        <w:pStyle w:val="88"/>
        <w:ind w:firstLine="0"/>
        <w:rPr>
          <w:rFonts w:ascii="仿宋" w:hAnsi="仿宋" w:eastAsia="仿宋" w:cs="仿宋"/>
          <w:bCs/>
          <w:szCs w:val="24"/>
          <w:highlight w:val="none"/>
        </w:rPr>
      </w:pPr>
    </w:p>
    <w:p w14:paraId="3FE08FBC">
      <w:pPr>
        <w:pStyle w:val="88"/>
        <w:ind w:left="480" w:firstLine="0"/>
        <w:rPr>
          <w:rFonts w:ascii="仿宋" w:hAnsi="仿宋" w:eastAsia="仿宋" w:cs="仿宋"/>
          <w:bCs/>
          <w:szCs w:val="24"/>
          <w:highlight w:val="none"/>
        </w:rPr>
      </w:pPr>
    </w:p>
    <w:p w14:paraId="1D393EFB">
      <w:pPr>
        <w:pStyle w:val="24"/>
        <w:tabs>
          <w:tab w:val="left" w:pos="580"/>
        </w:tabs>
        <w:ind w:right="560"/>
        <w:jc w:val="center"/>
        <w:rPr>
          <w:rFonts w:hint="eastAsia" w:ascii="仿宋" w:hAnsi="仿宋" w:eastAsia="仿宋" w:cs="仿宋"/>
          <w:b/>
          <w:bCs/>
          <w:sz w:val="36"/>
          <w:szCs w:val="36"/>
          <w:highlight w:val="none"/>
        </w:rPr>
      </w:pPr>
    </w:p>
    <w:p w14:paraId="2C76F4F9">
      <w:pPr>
        <w:pStyle w:val="24"/>
        <w:tabs>
          <w:tab w:val="left" w:pos="580"/>
        </w:tabs>
        <w:ind w:right="560"/>
        <w:jc w:val="center"/>
        <w:rPr>
          <w:rFonts w:hint="eastAsia" w:ascii="仿宋" w:hAnsi="仿宋" w:eastAsia="仿宋" w:cs="仿宋"/>
          <w:b/>
          <w:bCs/>
          <w:sz w:val="36"/>
          <w:szCs w:val="36"/>
          <w:highlight w:val="none"/>
        </w:rPr>
      </w:pPr>
    </w:p>
    <w:p w14:paraId="0A15091E">
      <w:pPr>
        <w:pStyle w:val="24"/>
        <w:tabs>
          <w:tab w:val="left" w:pos="580"/>
        </w:tabs>
        <w:ind w:right="560"/>
        <w:jc w:val="center"/>
        <w:rPr>
          <w:rFonts w:hint="eastAsia" w:ascii="仿宋" w:hAnsi="仿宋" w:eastAsia="仿宋" w:cs="仿宋"/>
          <w:b/>
          <w:bCs/>
          <w:sz w:val="36"/>
          <w:szCs w:val="36"/>
          <w:highlight w:val="none"/>
        </w:rPr>
      </w:pPr>
    </w:p>
    <w:p w14:paraId="6FFA1FF0">
      <w:pPr>
        <w:pStyle w:val="24"/>
        <w:tabs>
          <w:tab w:val="left" w:pos="580"/>
        </w:tabs>
        <w:ind w:right="560"/>
        <w:jc w:val="center"/>
        <w:rPr>
          <w:rFonts w:hint="eastAsia" w:ascii="仿宋" w:hAnsi="仿宋" w:eastAsia="仿宋" w:cs="仿宋"/>
          <w:b/>
          <w:bCs/>
          <w:sz w:val="36"/>
          <w:szCs w:val="36"/>
          <w:highlight w:val="none"/>
        </w:rPr>
      </w:pPr>
    </w:p>
    <w:p w14:paraId="101FB737">
      <w:pPr>
        <w:pStyle w:val="24"/>
        <w:tabs>
          <w:tab w:val="left" w:pos="580"/>
        </w:tabs>
        <w:ind w:right="560"/>
        <w:jc w:val="center"/>
        <w:rPr>
          <w:rFonts w:hint="eastAsia" w:ascii="仿宋" w:hAnsi="仿宋" w:eastAsia="仿宋" w:cs="仿宋"/>
          <w:b/>
          <w:bCs/>
          <w:sz w:val="36"/>
          <w:szCs w:val="36"/>
          <w:highlight w:val="none"/>
        </w:rPr>
      </w:pPr>
    </w:p>
    <w:p w14:paraId="3FC0C3C4">
      <w:pPr>
        <w:pStyle w:val="24"/>
        <w:jc w:val="center"/>
        <w:rPr>
          <w:rFonts w:hint="eastAsia" w:ascii="仿宋" w:hAnsi="仿宋" w:eastAsia="仿宋" w:cs="仿宋"/>
          <w:b/>
          <w:bCs/>
          <w:sz w:val="30"/>
          <w:szCs w:val="30"/>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投标人或生产厂商202</w:t>
      </w:r>
      <w:r>
        <w:rPr>
          <w:rFonts w:hint="eastAsia" w:ascii="仿宋" w:hAnsi="仿宋" w:eastAsia="仿宋" w:cs="仿宋"/>
          <w:b/>
          <w:bCs/>
          <w:sz w:val="30"/>
          <w:szCs w:val="30"/>
          <w:highlight w:val="none"/>
          <w:lang w:val="en-US" w:eastAsia="zh-CN"/>
        </w:rPr>
        <w:t>3</w:t>
      </w:r>
      <w:r>
        <w:rPr>
          <w:rFonts w:hint="eastAsia" w:ascii="仿宋" w:hAnsi="仿宋" w:eastAsia="仿宋" w:cs="仿宋"/>
          <w:b/>
          <w:bCs/>
          <w:sz w:val="30"/>
          <w:szCs w:val="30"/>
          <w:highlight w:val="none"/>
        </w:rPr>
        <w:t>年1月1日至今承揽的类似项目业绩表</w:t>
      </w:r>
    </w:p>
    <w:tbl>
      <w:tblPr>
        <w:tblStyle w:val="42"/>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115"/>
        <w:gridCol w:w="1761"/>
        <w:gridCol w:w="1427"/>
        <w:gridCol w:w="1426"/>
        <w:gridCol w:w="1602"/>
      </w:tblGrid>
      <w:tr w14:paraId="4B7D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986" w:type="dxa"/>
            <w:noWrap w:val="0"/>
            <w:vAlign w:val="center"/>
          </w:tcPr>
          <w:p w14:paraId="503725A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115" w:type="dxa"/>
            <w:noWrap w:val="0"/>
            <w:vAlign w:val="center"/>
          </w:tcPr>
          <w:p w14:paraId="7D5B32FD">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1761" w:type="dxa"/>
            <w:noWrap w:val="0"/>
            <w:vAlign w:val="center"/>
          </w:tcPr>
          <w:p w14:paraId="070EFEB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427" w:type="dxa"/>
            <w:noWrap w:val="0"/>
            <w:vAlign w:val="center"/>
          </w:tcPr>
          <w:p w14:paraId="010C78F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签订</w:t>
            </w:r>
            <w:r>
              <w:rPr>
                <w:rFonts w:hint="eastAsia" w:ascii="仿宋" w:hAnsi="仿宋" w:eastAsia="仿宋" w:cs="仿宋"/>
                <w:sz w:val="24"/>
                <w:szCs w:val="24"/>
                <w:highlight w:val="none"/>
              </w:rPr>
              <w:t>时间</w:t>
            </w:r>
          </w:p>
        </w:tc>
        <w:tc>
          <w:tcPr>
            <w:tcW w:w="1426" w:type="dxa"/>
            <w:noWrap w:val="0"/>
            <w:vAlign w:val="center"/>
          </w:tcPr>
          <w:p w14:paraId="6852ECD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合同金额</w:t>
            </w:r>
          </w:p>
        </w:tc>
        <w:tc>
          <w:tcPr>
            <w:tcW w:w="1602" w:type="dxa"/>
            <w:noWrap w:val="0"/>
            <w:vAlign w:val="center"/>
          </w:tcPr>
          <w:p w14:paraId="500D558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78669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54A895CD">
            <w:pPr>
              <w:rPr>
                <w:rFonts w:hint="eastAsia" w:ascii="仿宋" w:hAnsi="仿宋" w:eastAsia="仿宋" w:cs="仿宋"/>
                <w:sz w:val="24"/>
                <w:szCs w:val="24"/>
                <w:highlight w:val="none"/>
              </w:rPr>
            </w:pPr>
          </w:p>
        </w:tc>
        <w:tc>
          <w:tcPr>
            <w:tcW w:w="2115" w:type="dxa"/>
            <w:noWrap w:val="0"/>
            <w:vAlign w:val="center"/>
          </w:tcPr>
          <w:p w14:paraId="20503AA4">
            <w:pPr>
              <w:rPr>
                <w:rFonts w:hint="eastAsia" w:ascii="仿宋" w:hAnsi="仿宋" w:eastAsia="仿宋" w:cs="仿宋"/>
                <w:sz w:val="24"/>
                <w:szCs w:val="24"/>
                <w:highlight w:val="none"/>
              </w:rPr>
            </w:pPr>
          </w:p>
        </w:tc>
        <w:tc>
          <w:tcPr>
            <w:tcW w:w="1761" w:type="dxa"/>
            <w:noWrap w:val="0"/>
            <w:vAlign w:val="center"/>
          </w:tcPr>
          <w:p w14:paraId="3C1E8DA7">
            <w:pPr>
              <w:rPr>
                <w:rFonts w:hint="eastAsia" w:ascii="仿宋" w:hAnsi="仿宋" w:eastAsia="仿宋" w:cs="仿宋"/>
                <w:sz w:val="24"/>
                <w:szCs w:val="24"/>
                <w:highlight w:val="none"/>
              </w:rPr>
            </w:pPr>
          </w:p>
        </w:tc>
        <w:tc>
          <w:tcPr>
            <w:tcW w:w="1427" w:type="dxa"/>
            <w:noWrap w:val="0"/>
            <w:vAlign w:val="center"/>
          </w:tcPr>
          <w:p w14:paraId="3DB0B30D">
            <w:pPr>
              <w:rPr>
                <w:rFonts w:hint="eastAsia" w:ascii="仿宋" w:hAnsi="仿宋" w:eastAsia="仿宋" w:cs="仿宋"/>
                <w:sz w:val="24"/>
                <w:szCs w:val="24"/>
                <w:highlight w:val="none"/>
              </w:rPr>
            </w:pPr>
          </w:p>
        </w:tc>
        <w:tc>
          <w:tcPr>
            <w:tcW w:w="1426" w:type="dxa"/>
            <w:noWrap w:val="0"/>
            <w:vAlign w:val="center"/>
          </w:tcPr>
          <w:p w14:paraId="7187973C">
            <w:pPr>
              <w:rPr>
                <w:rFonts w:hint="eastAsia" w:ascii="仿宋" w:hAnsi="仿宋" w:eastAsia="仿宋" w:cs="仿宋"/>
                <w:sz w:val="24"/>
                <w:szCs w:val="24"/>
                <w:highlight w:val="none"/>
              </w:rPr>
            </w:pPr>
          </w:p>
        </w:tc>
        <w:tc>
          <w:tcPr>
            <w:tcW w:w="1602" w:type="dxa"/>
            <w:noWrap w:val="0"/>
            <w:vAlign w:val="center"/>
          </w:tcPr>
          <w:p w14:paraId="011E693B">
            <w:pPr>
              <w:rPr>
                <w:rFonts w:hint="eastAsia" w:ascii="仿宋" w:hAnsi="仿宋" w:eastAsia="仿宋" w:cs="仿宋"/>
                <w:sz w:val="24"/>
                <w:szCs w:val="24"/>
                <w:highlight w:val="none"/>
              </w:rPr>
            </w:pPr>
          </w:p>
        </w:tc>
      </w:tr>
      <w:tr w14:paraId="1416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37E818D8">
            <w:pPr>
              <w:rPr>
                <w:rFonts w:hint="eastAsia" w:ascii="仿宋" w:hAnsi="仿宋" w:eastAsia="仿宋" w:cs="仿宋"/>
                <w:sz w:val="24"/>
                <w:szCs w:val="24"/>
                <w:highlight w:val="none"/>
              </w:rPr>
            </w:pPr>
          </w:p>
        </w:tc>
        <w:tc>
          <w:tcPr>
            <w:tcW w:w="2115" w:type="dxa"/>
            <w:noWrap w:val="0"/>
            <w:vAlign w:val="center"/>
          </w:tcPr>
          <w:p w14:paraId="3500243E">
            <w:pPr>
              <w:rPr>
                <w:rFonts w:hint="eastAsia" w:ascii="仿宋" w:hAnsi="仿宋" w:eastAsia="仿宋" w:cs="仿宋"/>
                <w:sz w:val="24"/>
                <w:szCs w:val="24"/>
                <w:highlight w:val="none"/>
              </w:rPr>
            </w:pPr>
          </w:p>
        </w:tc>
        <w:tc>
          <w:tcPr>
            <w:tcW w:w="1761" w:type="dxa"/>
            <w:noWrap w:val="0"/>
            <w:vAlign w:val="center"/>
          </w:tcPr>
          <w:p w14:paraId="176D0D1D">
            <w:pPr>
              <w:rPr>
                <w:rFonts w:hint="eastAsia" w:ascii="仿宋" w:hAnsi="仿宋" w:eastAsia="仿宋" w:cs="仿宋"/>
                <w:sz w:val="24"/>
                <w:szCs w:val="24"/>
                <w:highlight w:val="none"/>
              </w:rPr>
            </w:pPr>
          </w:p>
        </w:tc>
        <w:tc>
          <w:tcPr>
            <w:tcW w:w="1427" w:type="dxa"/>
            <w:noWrap w:val="0"/>
            <w:vAlign w:val="center"/>
          </w:tcPr>
          <w:p w14:paraId="72007B1F">
            <w:pPr>
              <w:rPr>
                <w:rFonts w:hint="eastAsia" w:ascii="仿宋" w:hAnsi="仿宋" w:eastAsia="仿宋" w:cs="仿宋"/>
                <w:sz w:val="24"/>
                <w:szCs w:val="24"/>
                <w:highlight w:val="none"/>
              </w:rPr>
            </w:pPr>
          </w:p>
        </w:tc>
        <w:tc>
          <w:tcPr>
            <w:tcW w:w="1426" w:type="dxa"/>
            <w:noWrap w:val="0"/>
            <w:vAlign w:val="center"/>
          </w:tcPr>
          <w:p w14:paraId="29388FA7">
            <w:pPr>
              <w:rPr>
                <w:rFonts w:hint="eastAsia" w:ascii="仿宋" w:hAnsi="仿宋" w:eastAsia="仿宋" w:cs="仿宋"/>
                <w:sz w:val="24"/>
                <w:szCs w:val="24"/>
                <w:highlight w:val="none"/>
              </w:rPr>
            </w:pPr>
          </w:p>
        </w:tc>
        <w:tc>
          <w:tcPr>
            <w:tcW w:w="1602" w:type="dxa"/>
            <w:noWrap w:val="0"/>
            <w:vAlign w:val="center"/>
          </w:tcPr>
          <w:p w14:paraId="0D9BD42A">
            <w:pPr>
              <w:rPr>
                <w:rFonts w:hint="eastAsia" w:ascii="仿宋" w:hAnsi="仿宋" w:eastAsia="仿宋" w:cs="仿宋"/>
                <w:sz w:val="24"/>
                <w:szCs w:val="24"/>
                <w:highlight w:val="none"/>
              </w:rPr>
            </w:pPr>
          </w:p>
        </w:tc>
      </w:tr>
      <w:tr w14:paraId="4C02A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16BE1F6B">
            <w:pPr>
              <w:rPr>
                <w:rFonts w:hint="eastAsia" w:ascii="仿宋" w:hAnsi="仿宋" w:eastAsia="仿宋" w:cs="仿宋"/>
                <w:sz w:val="24"/>
                <w:szCs w:val="24"/>
                <w:highlight w:val="none"/>
              </w:rPr>
            </w:pPr>
          </w:p>
        </w:tc>
        <w:tc>
          <w:tcPr>
            <w:tcW w:w="2115" w:type="dxa"/>
            <w:noWrap w:val="0"/>
            <w:vAlign w:val="center"/>
          </w:tcPr>
          <w:p w14:paraId="34AB5C4C">
            <w:pPr>
              <w:rPr>
                <w:rFonts w:hint="eastAsia" w:ascii="仿宋" w:hAnsi="仿宋" w:eastAsia="仿宋" w:cs="仿宋"/>
                <w:sz w:val="24"/>
                <w:szCs w:val="24"/>
                <w:highlight w:val="none"/>
              </w:rPr>
            </w:pPr>
          </w:p>
        </w:tc>
        <w:tc>
          <w:tcPr>
            <w:tcW w:w="1761" w:type="dxa"/>
            <w:noWrap w:val="0"/>
            <w:vAlign w:val="center"/>
          </w:tcPr>
          <w:p w14:paraId="2DF44C88">
            <w:pPr>
              <w:rPr>
                <w:rFonts w:hint="eastAsia" w:ascii="仿宋" w:hAnsi="仿宋" w:eastAsia="仿宋" w:cs="仿宋"/>
                <w:sz w:val="24"/>
                <w:szCs w:val="24"/>
                <w:highlight w:val="none"/>
              </w:rPr>
            </w:pPr>
          </w:p>
        </w:tc>
        <w:tc>
          <w:tcPr>
            <w:tcW w:w="1427" w:type="dxa"/>
            <w:noWrap w:val="0"/>
            <w:vAlign w:val="center"/>
          </w:tcPr>
          <w:p w14:paraId="5DE15B65">
            <w:pPr>
              <w:rPr>
                <w:rFonts w:hint="eastAsia" w:ascii="仿宋" w:hAnsi="仿宋" w:eastAsia="仿宋" w:cs="仿宋"/>
                <w:sz w:val="24"/>
                <w:szCs w:val="24"/>
                <w:highlight w:val="none"/>
              </w:rPr>
            </w:pPr>
          </w:p>
        </w:tc>
        <w:tc>
          <w:tcPr>
            <w:tcW w:w="1426" w:type="dxa"/>
            <w:noWrap w:val="0"/>
            <w:vAlign w:val="center"/>
          </w:tcPr>
          <w:p w14:paraId="3906A72F">
            <w:pPr>
              <w:rPr>
                <w:rFonts w:hint="eastAsia" w:ascii="仿宋" w:hAnsi="仿宋" w:eastAsia="仿宋" w:cs="仿宋"/>
                <w:sz w:val="24"/>
                <w:szCs w:val="24"/>
                <w:highlight w:val="none"/>
              </w:rPr>
            </w:pPr>
          </w:p>
        </w:tc>
        <w:tc>
          <w:tcPr>
            <w:tcW w:w="1602" w:type="dxa"/>
            <w:noWrap w:val="0"/>
            <w:vAlign w:val="center"/>
          </w:tcPr>
          <w:p w14:paraId="60CD8182">
            <w:pPr>
              <w:rPr>
                <w:rFonts w:hint="eastAsia" w:ascii="仿宋" w:hAnsi="仿宋" w:eastAsia="仿宋" w:cs="仿宋"/>
                <w:sz w:val="24"/>
                <w:szCs w:val="24"/>
                <w:highlight w:val="none"/>
              </w:rPr>
            </w:pPr>
          </w:p>
        </w:tc>
      </w:tr>
      <w:tr w14:paraId="1C702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5B2BC8D3">
            <w:pPr>
              <w:rPr>
                <w:rFonts w:hint="eastAsia" w:ascii="仿宋" w:hAnsi="仿宋" w:eastAsia="仿宋" w:cs="仿宋"/>
                <w:sz w:val="24"/>
                <w:szCs w:val="24"/>
                <w:highlight w:val="none"/>
              </w:rPr>
            </w:pPr>
          </w:p>
        </w:tc>
        <w:tc>
          <w:tcPr>
            <w:tcW w:w="2115" w:type="dxa"/>
            <w:noWrap w:val="0"/>
            <w:vAlign w:val="center"/>
          </w:tcPr>
          <w:p w14:paraId="31A8FFED">
            <w:pPr>
              <w:rPr>
                <w:rFonts w:hint="eastAsia" w:ascii="仿宋" w:hAnsi="仿宋" w:eastAsia="仿宋" w:cs="仿宋"/>
                <w:sz w:val="24"/>
                <w:szCs w:val="24"/>
                <w:highlight w:val="none"/>
              </w:rPr>
            </w:pPr>
          </w:p>
        </w:tc>
        <w:tc>
          <w:tcPr>
            <w:tcW w:w="1761" w:type="dxa"/>
            <w:noWrap w:val="0"/>
            <w:vAlign w:val="center"/>
          </w:tcPr>
          <w:p w14:paraId="4E60D4BE">
            <w:pPr>
              <w:rPr>
                <w:rFonts w:hint="eastAsia" w:ascii="仿宋" w:hAnsi="仿宋" w:eastAsia="仿宋" w:cs="仿宋"/>
                <w:sz w:val="24"/>
                <w:szCs w:val="24"/>
                <w:highlight w:val="none"/>
              </w:rPr>
            </w:pPr>
          </w:p>
        </w:tc>
        <w:tc>
          <w:tcPr>
            <w:tcW w:w="1427" w:type="dxa"/>
            <w:noWrap w:val="0"/>
            <w:vAlign w:val="center"/>
          </w:tcPr>
          <w:p w14:paraId="72C4CA22">
            <w:pPr>
              <w:rPr>
                <w:rFonts w:hint="eastAsia" w:ascii="仿宋" w:hAnsi="仿宋" w:eastAsia="仿宋" w:cs="仿宋"/>
                <w:sz w:val="24"/>
                <w:szCs w:val="24"/>
                <w:highlight w:val="none"/>
              </w:rPr>
            </w:pPr>
          </w:p>
        </w:tc>
        <w:tc>
          <w:tcPr>
            <w:tcW w:w="1426" w:type="dxa"/>
            <w:noWrap w:val="0"/>
            <w:vAlign w:val="center"/>
          </w:tcPr>
          <w:p w14:paraId="0A59B110">
            <w:pPr>
              <w:rPr>
                <w:rFonts w:hint="eastAsia" w:ascii="仿宋" w:hAnsi="仿宋" w:eastAsia="仿宋" w:cs="仿宋"/>
                <w:sz w:val="24"/>
                <w:szCs w:val="24"/>
                <w:highlight w:val="none"/>
              </w:rPr>
            </w:pPr>
          </w:p>
        </w:tc>
        <w:tc>
          <w:tcPr>
            <w:tcW w:w="1602" w:type="dxa"/>
            <w:noWrap w:val="0"/>
            <w:vAlign w:val="center"/>
          </w:tcPr>
          <w:p w14:paraId="5D1072B1">
            <w:pPr>
              <w:rPr>
                <w:rFonts w:hint="eastAsia" w:ascii="仿宋" w:hAnsi="仿宋" w:eastAsia="仿宋" w:cs="仿宋"/>
                <w:sz w:val="24"/>
                <w:szCs w:val="24"/>
                <w:highlight w:val="none"/>
              </w:rPr>
            </w:pPr>
          </w:p>
        </w:tc>
      </w:tr>
      <w:tr w14:paraId="7554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7CA9915">
            <w:pPr>
              <w:rPr>
                <w:rFonts w:hint="eastAsia" w:ascii="仿宋" w:hAnsi="仿宋" w:eastAsia="仿宋" w:cs="仿宋"/>
                <w:sz w:val="24"/>
                <w:szCs w:val="24"/>
                <w:highlight w:val="none"/>
              </w:rPr>
            </w:pPr>
          </w:p>
        </w:tc>
        <w:tc>
          <w:tcPr>
            <w:tcW w:w="2115" w:type="dxa"/>
            <w:noWrap w:val="0"/>
            <w:vAlign w:val="center"/>
          </w:tcPr>
          <w:p w14:paraId="2C742A8A">
            <w:pPr>
              <w:rPr>
                <w:rFonts w:hint="eastAsia" w:ascii="仿宋" w:hAnsi="仿宋" w:eastAsia="仿宋" w:cs="仿宋"/>
                <w:sz w:val="24"/>
                <w:szCs w:val="24"/>
                <w:highlight w:val="none"/>
              </w:rPr>
            </w:pPr>
          </w:p>
        </w:tc>
        <w:tc>
          <w:tcPr>
            <w:tcW w:w="1761" w:type="dxa"/>
            <w:noWrap w:val="0"/>
            <w:vAlign w:val="center"/>
          </w:tcPr>
          <w:p w14:paraId="0E356193">
            <w:pPr>
              <w:rPr>
                <w:rFonts w:hint="eastAsia" w:ascii="仿宋" w:hAnsi="仿宋" w:eastAsia="仿宋" w:cs="仿宋"/>
                <w:sz w:val="24"/>
                <w:szCs w:val="24"/>
                <w:highlight w:val="none"/>
              </w:rPr>
            </w:pPr>
          </w:p>
        </w:tc>
        <w:tc>
          <w:tcPr>
            <w:tcW w:w="1427" w:type="dxa"/>
            <w:noWrap w:val="0"/>
            <w:vAlign w:val="center"/>
          </w:tcPr>
          <w:p w14:paraId="4E071649">
            <w:pPr>
              <w:rPr>
                <w:rFonts w:hint="eastAsia" w:ascii="仿宋" w:hAnsi="仿宋" w:eastAsia="仿宋" w:cs="仿宋"/>
                <w:sz w:val="24"/>
                <w:szCs w:val="24"/>
                <w:highlight w:val="none"/>
              </w:rPr>
            </w:pPr>
          </w:p>
        </w:tc>
        <w:tc>
          <w:tcPr>
            <w:tcW w:w="1426" w:type="dxa"/>
            <w:noWrap w:val="0"/>
            <w:vAlign w:val="center"/>
          </w:tcPr>
          <w:p w14:paraId="056269CA">
            <w:pPr>
              <w:rPr>
                <w:rFonts w:hint="eastAsia" w:ascii="仿宋" w:hAnsi="仿宋" w:eastAsia="仿宋" w:cs="仿宋"/>
                <w:sz w:val="24"/>
                <w:szCs w:val="24"/>
                <w:highlight w:val="none"/>
              </w:rPr>
            </w:pPr>
          </w:p>
        </w:tc>
        <w:tc>
          <w:tcPr>
            <w:tcW w:w="1602" w:type="dxa"/>
            <w:noWrap w:val="0"/>
            <w:vAlign w:val="center"/>
          </w:tcPr>
          <w:p w14:paraId="6FB2C5F4">
            <w:pPr>
              <w:rPr>
                <w:rFonts w:hint="eastAsia" w:ascii="仿宋" w:hAnsi="仿宋" w:eastAsia="仿宋" w:cs="仿宋"/>
                <w:sz w:val="24"/>
                <w:szCs w:val="24"/>
                <w:highlight w:val="none"/>
              </w:rPr>
            </w:pPr>
          </w:p>
        </w:tc>
      </w:tr>
      <w:tr w14:paraId="278B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0E1B387">
            <w:pPr>
              <w:rPr>
                <w:rFonts w:hint="eastAsia" w:ascii="仿宋" w:hAnsi="仿宋" w:eastAsia="仿宋" w:cs="仿宋"/>
                <w:sz w:val="24"/>
                <w:szCs w:val="24"/>
                <w:highlight w:val="none"/>
              </w:rPr>
            </w:pPr>
          </w:p>
        </w:tc>
        <w:tc>
          <w:tcPr>
            <w:tcW w:w="2115" w:type="dxa"/>
            <w:noWrap w:val="0"/>
            <w:vAlign w:val="center"/>
          </w:tcPr>
          <w:p w14:paraId="64B41EC7">
            <w:pPr>
              <w:rPr>
                <w:rFonts w:hint="eastAsia" w:ascii="仿宋" w:hAnsi="仿宋" w:eastAsia="仿宋" w:cs="仿宋"/>
                <w:sz w:val="24"/>
                <w:szCs w:val="24"/>
                <w:highlight w:val="none"/>
              </w:rPr>
            </w:pPr>
          </w:p>
        </w:tc>
        <w:tc>
          <w:tcPr>
            <w:tcW w:w="1761" w:type="dxa"/>
            <w:noWrap w:val="0"/>
            <w:vAlign w:val="center"/>
          </w:tcPr>
          <w:p w14:paraId="75212D18">
            <w:pPr>
              <w:rPr>
                <w:rFonts w:hint="eastAsia" w:ascii="仿宋" w:hAnsi="仿宋" w:eastAsia="仿宋" w:cs="仿宋"/>
                <w:sz w:val="24"/>
                <w:szCs w:val="24"/>
                <w:highlight w:val="none"/>
              </w:rPr>
            </w:pPr>
          </w:p>
        </w:tc>
        <w:tc>
          <w:tcPr>
            <w:tcW w:w="1427" w:type="dxa"/>
            <w:noWrap w:val="0"/>
            <w:vAlign w:val="center"/>
          </w:tcPr>
          <w:p w14:paraId="53A44129">
            <w:pPr>
              <w:rPr>
                <w:rFonts w:hint="eastAsia" w:ascii="仿宋" w:hAnsi="仿宋" w:eastAsia="仿宋" w:cs="仿宋"/>
                <w:sz w:val="24"/>
                <w:szCs w:val="24"/>
                <w:highlight w:val="none"/>
              </w:rPr>
            </w:pPr>
          </w:p>
        </w:tc>
        <w:tc>
          <w:tcPr>
            <w:tcW w:w="1426" w:type="dxa"/>
            <w:noWrap w:val="0"/>
            <w:vAlign w:val="center"/>
          </w:tcPr>
          <w:p w14:paraId="50E7D5EE">
            <w:pPr>
              <w:rPr>
                <w:rFonts w:hint="eastAsia" w:ascii="仿宋" w:hAnsi="仿宋" w:eastAsia="仿宋" w:cs="仿宋"/>
                <w:sz w:val="24"/>
                <w:szCs w:val="24"/>
                <w:highlight w:val="none"/>
              </w:rPr>
            </w:pPr>
          </w:p>
        </w:tc>
        <w:tc>
          <w:tcPr>
            <w:tcW w:w="1602" w:type="dxa"/>
            <w:noWrap w:val="0"/>
            <w:vAlign w:val="center"/>
          </w:tcPr>
          <w:p w14:paraId="22EDA2BB">
            <w:pPr>
              <w:rPr>
                <w:rFonts w:hint="eastAsia" w:ascii="仿宋" w:hAnsi="仿宋" w:eastAsia="仿宋" w:cs="仿宋"/>
                <w:sz w:val="24"/>
                <w:szCs w:val="24"/>
                <w:highlight w:val="none"/>
              </w:rPr>
            </w:pPr>
          </w:p>
        </w:tc>
      </w:tr>
      <w:tr w14:paraId="2E883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2E7AF5F0">
            <w:pPr>
              <w:rPr>
                <w:rFonts w:hint="eastAsia" w:ascii="仿宋" w:hAnsi="仿宋" w:eastAsia="仿宋" w:cs="仿宋"/>
                <w:sz w:val="24"/>
                <w:szCs w:val="24"/>
                <w:highlight w:val="none"/>
              </w:rPr>
            </w:pPr>
          </w:p>
        </w:tc>
        <w:tc>
          <w:tcPr>
            <w:tcW w:w="2115" w:type="dxa"/>
            <w:noWrap w:val="0"/>
            <w:vAlign w:val="center"/>
          </w:tcPr>
          <w:p w14:paraId="3DCA34F2">
            <w:pPr>
              <w:rPr>
                <w:rFonts w:hint="eastAsia" w:ascii="仿宋" w:hAnsi="仿宋" w:eastAsia="仿宋" w:cs="仿宋"/>
                <w:sz w:val="24"/>
                <w:szCs w:val="24"/>
                <w:highlight w:val="none"/>
              </w:rPr>
            </w:pPr>
          </w:p>
        </w:tc>
        <w:tc>
          <w:tcPr>
            <w:tcW w:w="1761" w:type="dxa"/>
            <w:noWrap w:val="0"/>
            <w:vAlign w:val="center"/>
          </w:tcPr>
          <w:p w14:paraId="2C8DD8BD">
            <w:pPr>
              <w:rPr>
                <w:rFonts w:hint="eastAsia" w:ascii="仿宋" w:hAnsi="仿宋" w:eastAsia="仿宋" w:cs="仿宋"/>
                <w:sz w:val="24"/>
                <w:szCs w:val="24"/>
                <w:highlight w:val="none"/>
              </w:rPr>
            </w:pPr>
          </w:p>
        </w:tc>
        <w:tc>
          <w:tcPr>
            <w:tcW w:w="1427" w:type="dxa"/>
            <w:noWrap w:val="0"/>
            <w:vAlign w:val="center"/>
          </w:tcPr>
          <w:p w14:paraId="01FC2B59">
            <w:pPr>
              <w:rPr>
                <w:rFonts w:hint="eastAsia" w:ascii="仿宋" w:hAnsi="仿宋" w:eastAsia="仿宋" w:cs="仿宋"/>
                <w:sz w:val="24"/>
                <w:szCs w:val="24"/>
                <w:highlight w:val="none"/>
              </w:rPr>
            </w:pPr>
          </w:p>
        </w:tc>
        <w:tc>
          <w:tcPr>
            <w:tcW w:w="1426" w:type="dxa"/>
            <w:noWrap w:val="0"/>
            <w:vAlign w:val="center"/>
          </w:tcPr>
          <w:p w14:paraId="17EFD30B">
            <w:pPr>
              <w:rPr>
                <w:rFonts w:hint="eastAsia" w:ascii="仿宋" w:hAnsi="仿宋" w:eastAsia="仿宋" w:cs="仿宋"/>
                <w:sz w:val="24"/>
                <w:szCs w:val="24"/>
                <w:highlight w:val="none"/>
              </w:rPr>
            </w:pPr>
          </w:p>
        </w:tc>
        <w:tc>
          <w:tcPr>
            <w:tcW w:w="1602" w:type="dxa"/>
            <w:noWrap w:val="0"/>
            <w:vAlign w:val="center"/>
          </w:tcPr>
          <w:p w14:paraId="1F049805">
            <w:pPr>
              <w:rPr>
                <w:rFonts w:hint="eastAsia" w:ascii="仿宋" w:hAnsi="仿宋" w:eastAsia="仿宋" w:cs="仿宋"/>
                <w:sz w:val="24"/>
                <w:szCs w:val="24"/>
                <w:highlight w:val="none"/>
              </w:rPr>
            </w:pPr>
          </w:p>
        </w:tc>
      </w:tr>
      <w:tr w14:paraId="1D1F8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40C453E">
            <w:pPr>
              <w:rPr>
                <w:rFonts w:hint="eastAsia" w:ascii="仿宋" w:hAnsi="仿宋" w:eastAsia="仿宋" w:cs="仿宋"/>
                <w:sz w:val="24"/>
                <w:szCs w:val="24"/>
                <w:highlight w:val="none"/>
              </w:rPr>
            </w:pPr>
          </w:p>
        </w:tc>
        <w:tc>
          <w:tcPr>
            <w:tcW w:w="2115" w:type="dxa"/>
            <w:noWrap w:val="0"/>
            <w:vAlign w:val="center"/>
          </w:tcPr>
          <w:p w14:paraId="4336B3F6">
            <w:pPr>
              <w:rPr>
                <w:rFonts w:hint="eastAsia" w:ascii="仿宋" w:hAnsi="仿宋" w:eastAsia="仿宋" w:cs="仿宋"/>
                <w:sz w:val="24"/>
                <w:szCs w:val="24"/>
                <w:highlight w:val="none"/>
              </w:rPr>
            </w:pPr>
          </w:p>
        </w:tc>
        <w:tc>
          <w:tcPr>
            <w:tcW w:w="1761" w:type="dxa"/>
            <w:noWrap w:val="0"/>
            <w:vAlign w:val="center"/>
          </w:tcPr>
          <w:p w14:paraId="45A1B531">
            <w:pPr>
              <w:rPr>
                <w:rFonts w:hint="eastAsia" w:ascii="仿宋" w:hAnsi="仿宋" w:eastAsia="仿宋" w:cs="仿宋"/>
                <w:sz w:val="24"/>
                <w:szCs w:val="24"/>
                <w:highlight w:val="none"/>
              </w:rPr>
            </w:pPr>
          </w:p>
        </w:tc>
        <w:tc>
          <w:tcPr>
            <w:tcW w:w="1427" w:type="dxa"/>
            <w:noWrap w:val="0"/>
            <w:vAlign w:val="center"/>
          </w:tcPr>
          <w:p w14:paraId="4382CD82">
            <w:pPr>
              <w:rPr>
                <w:rFonts w:hint="eastAsia" w:ascii="仿宋" w:hAnsi="仿宋" w:eastAsia="仿宋" w:cs="仿宋"/>
                <w:sz w:val="24"/>
                <w:szCs w:val="24"/>
                <w:highlight w:val="none"/>
              </w:rPr>
            </w:pPr>
          </w:p>
        </w:tc>
        <w:tc>
          <w:tcPr>
            <w:tcW w:w="1426" w:type="dxa"/>
            <w:noWrap w:val="0"/>
            <w:vAlign w:val="center"/>
          </w:tcPr>
          <w:p w14:paraId="2F41D806">
            <w:pPr>
              <w:rPr>
                <w:rFonts w:hint="eastAsia" w:ascii="仿宋" w:hAnsi="仿宋" w:eastAsia="仿宋" w:cs="仿宋"/>
                <w:sz w:val="24"/>
                <w:szCs w:val="24"/>
                <w:highlight w:val="none"/>
              </w:rPr>
            </w:pPr>
          </w:p>
        </w:tc>
        <w:tc>
          <w:tcPr>
            <w:tcW w:w="1602" w:type="dxa"/>
            <w:noWrap w:val="0"/>
            <w:vAlign w:val="center"/>
          </w:tcPr>
          <w:p w14:paraId="04362405">
            <w:pPr>
              <w:rPr>
                <w:rFonts w:hint="eastAsia" w:ascii="仿宋" w:hAnsi="仿宋" w:eastAsia="仿宋" w:cs="仿宋"/>
                <w:sz w:val="24"/>
                <w:szCs w:val="24"/>
                <w:highlight w:val="none"/>
              </w:rPr>
            </w:pPr>
          </w:p>
        </w:tc>
      </w:tr>
    </w:tbl>
    <w:p w14:paraId="1D03EA9B">
      <w:pPr>
        <w:snapToGrid w:val="0"/>
        <w:spacing w:line="360" w:lineRule="auto"/>
        <w:ind w:firstLine="241" w:firstLineChars="1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附评标办法要求的相关证明材料扫描件，否则不得分。</w:t>
      </w:r>
    </w:p>
    <w:p w14:paraId="60665141">
      <w:pPr>
        <w:snapToGrid w:val="0"/>
        <w:spacing w:line="360" w:lineRule="auto"/>
        <w:ind w:firstLine="240" w:firstLineChars="100"/>
        <w:rPr>
          <w:rFonts w:hint="eastAsia" w:ascii="仿宋" w:hAnsi="仿宋" w:eastAsia="仿宋" w:cs="仿宋"/>
          <w:sz w:val="24"/>
          <w:szCs w:val="24"/>
          <w:highlight w:val="none"/>
        </w:rPr>
      </w:pPr>
    </w:p>
    <w:p w14:paraId="288AFE56">
      <w:pPr>
        <w:snapToGrid w:val="0"/>
        <w:spacing w:line="360" w:lineRule="auto"/>
        <w:ind w:firstLine="240" w:firstLineChars="100"/>
        <w:rPr>
          <w:rFonts w:hint="eastAsia" w:ascii="仿宋" w:hAnsi="仿宋" w:eastAsia="仿宋" w:cs="仿宋"/>
          <w:sz w:val="24"/>
          <w:szCs w:val="24"/>
          <w:highlight w:val="none"/>
        </w:rPr>
      </w:pPr>
    </w:p>
    <w:p w14:paraId="71DBF913">
      <w:pPr>
        <w:snapToGrid w:val="0"/>
        <w:spacing w:line="360" w:lineRule="auto"/>
        <w:ind w:firstLine="240" w:firstLineChars="100"/>
        <w:rPr>
          <w:rFonts w:hint="eastAsia" w:ascii="仿宋" w:hAnsi="仿宋" w:eastAsia="仿宋" w:cs="仿宋"/>
          <w:sz w:val="24"/>
          <w:szCs w:val="24"/>
          <w:highlight w:val="none"/>
        </w:rPr>
      </w:pPr>
    </w:p>
    <w:p w14:paraId="719CC036">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D2376E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582E4320">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579C176C">
      <w:pPr>
        <w:pStyle w:val="24"/>
        <w:spacing w:line="520" w:lineRule="exact"/>
        <w:jc w:val="center"/>
        <w:rPr>
          <w:rFonts w:hint="eastAsia" w:ascii="仿宋" w:hAnsi="仿宋" w:eastAsia="仿宋" w:cs="仿宋"/>
          <w:b/>
          <w:bCs/>
          <w:sz w:val="30"/>
          <w:szCs w:val="30"/>
          <w:highlight w:val="none"/>
        </w:rPr>
      </w:pPr>
    </w:p>
    <w:p w14:paraId="135CBEAC">
      <w:pPr>
        <w:pStyle w:val="24"/>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7C6AAADF">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2"/>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531CD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2DC3EDB6">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0CD01360">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48FA3BC5">
            <w:pPr>
              <w:pStyle w:val="24"/>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4ACB5995">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40CB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7F48221C">
            <w:pPr>
              <w:pStyle w:val="24"/>
              <w:spacing w:line="400" w:lineRule="exact"/>
              <w:rPr>
                <w:rFonts w:ascii="仿宋" w:hAnsi="仿宋" w:eastAsia="仿宋" w:cs="仿宋"/>
                <w:sz w:val="24"/>
                <w:szCs w:val="24"/>
                <w:highlight w:val="none"/>
              </w:rPr>
            </w:pPr>
          </w:p>
        </w:tc>
        <w:tc>
          <w:tcPr>
            <w:tcW w:w="1236" w:type="dxa"/>
            <w:noWrap w:val="0"/>
            <w:vAlign w:val="top"/>
          </w:tcPr>
          <w:p w14:paraId="12110495">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317E1998">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5FCCBA11">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3E509872">
            <w:pPr>
              <w:pStyle w:val="24"/>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016A5E20">
            <w:pPr>
              <w:pStyle w:val="24"/>
              <w:spacing w:line="400" w:lineRule="exact"/>
              <w:jc w:val="center"/>
              <w:rPr>
                <w:rFonts w:ascii="仿宋" w:hAnsi="仿宋" w:eastAsia="仿宋" w:cs="仿宋"/>
                <w:sz w:val="24"/>
                <w:szCs w:val="24"/>
                <w:highlight w:val="none"/>
              </w:rPr>
            </w:pPr>
          </w:p>
        </w:tc>
      </w:tr>
      <w:tr w14:paraId="579B2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C11CA31">
            <w:pPr>
              <w:pStyle w:val="24"/>
              <w:spacing w:line="400" w:lineRule="exact"/>
              <w:rPr>
                <w:rFonts w:ascii="仿宋" w:hAnsi="仿宋" w:eastAsia="仿宋" w:cs="仿宋"/>
                <w:sz w:val="24"/>
                <w:szCs w:val="24"/>
                <w:highlight w:val="none"/>
              </w:rPr>
            </w:pPr>
          </w:p>
        </w:tc>
        <w:tc>
          <w:tcPr>
            <w:tcW w:w="1236" w:type="dxa"/>
            <w:noWrap w:val="0"/>
            <w:vAlign w:val="top"/>
          </w:tcPr>
          <w:p w14:paraId="70B95DE6">
            <w:pPr>
              <w:pStyle w:val="24"/>
              <w:spacing w:line="400" w:lineRule="exact"/>
              <w:rPr>
                <w:rFonts w:ascii="仿宋" w:hAnsi="仿宋" w:eastAsia="仿宋" w:cs="仿宋"/>
                <w:sz w:val="24"/>
                <w:szCs w:val="24"/>
                <w:highlight w:val="none"/>
              </w:rPr>
            </w:pPr>
          </w:p>
        </w:tc>
        <w:tc>
          <w:tcPr>
            <w:tcW w:w="2657" w:type="dxa"/>
            <w:noWrap w:val="0"/>
            <w:vAlign w:val="top"/>
          </w:tcPr>
          <w:p w14:paraId="0E9760A5">
            <w:pPr>
              <w:pStyle w:val="24"/>
              <w:spacing w:line="400" w:lineRule="exact"/>
              <w:rPr>
                <w:rFonts w:ascii="仿宋" w:hAnsi="仿宋" w:eastAsia="仿宋" w:cs="仿宋"/>
                <w:sz w:val="24"/>
                <w:szCs w:val="24"/>
                <w:highlight w:val="none"/>
              </w:rPr>
            </w:pPr>
          </w:p>
        </w:tc>
        <w:tc>
          <w:tcPr>
            <w:tcW w:w="1417" w:type="dxa"/>
            <w:noWrap w:val="0"/>
            <w:vAlign w:val="top"/>
          </w:tcPr>
          <w:p w14:paraId="6EF48876">
            <w:pPr>
              <w:pStyle w:val="24"/>
              <w:spacing w:line="400" w:lineRule="exact"/>
              <w:rPr>
                <w:rFonts w:ascii="仿宋" w:hAnsi="仿宋" w:eastAsia="仿宋" w:cs="仿宋"/>
                <w:sz w:val="24"/>
                <w:szCs w:val="24"/>
                <w:highlight w:val="none"/>
              </w:rPr>
            </w:pPr>
          </w:p>
        </w:tc>
        <w:tc>
          <w:tcPr>
            <w:tcW w:w="2694" w:type="dxa"/>
            <w:noWrap w:val="0"/>
            <w:vAlign w:val="top"/>
          </w:tcPr>
          <w:p w14:paraId="4D822615">
            <w:pPr>
              <w:pStyle w:val="24"/>
              <w:spacing w:line="400" w:lineRule="exact"/>
              <w:rPr>
                <w:rFonts w:ascii="仿宋" w:hAnsi="仿宋" w:eastAsia="仿宋" w:cs="仿宋"/>
                <w:sz w:val="24"/>
                <w:szCs w:val="24"/>
                <w:highlight w:val="none"/>
              </w:rPr>
            </w:pPr>
          </w:p>
        </w:tc>
        <w:tc>
          <w:tcPr>
            <w:tcW w:w="1293" w:type="dxa"/>
            <w:noWrap w:val="0"/>
            <w:vAlign w:val="top"/>
          </w:tcPr>
          <w:p w14:paraId="3F157141">
            <w:pPr>
              <w:pStyle w:val="24"/>
              <w:spacing w:line="400" w:lineRule="exact"/>
              <w:rPr>
                <w:rFonts w:ascii="仿宋" w:hAnsi="仿宋" w:eastAsia="仿宋" w:cs="仿宋"/>
                <w:sz w:val="24"/>
                <w:szCs w:val="24"/>
                <w:highlight w:val="none"/>
              </w:rPr>
            </w:pPr>
          </w:p>
        </w:tc>
      </w:tr>
      <w:tr w14:paraId="5FCDE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6406FF19">
            <w:pPr>
              <w:pStyle w:val="24"/>
              <w:spacing w:line="400" w:lineRule="exact"/>
              <w:rPr>
                <w:rFonts w:ascii="仿宋" w:hAnsi="仿宋" w:eastAsia="仿宋" w:cs="仿宋"/>
                <w:sz w:val="24"/>
                <w:szCs w:val="24"/>
                <w:highlight w:val="none"/>
              </w:rPr>
            </w:pPr>
          </w:p>
        </w:tc>
        <w:tc>
          <w:tcPr>
            <w:tcW w:w="1236" w:type="dxa"/>
            <w:noWrap w:val="0"/>
            <w:vAlign w:val="top"/>
          </w:tcPr>
          <w:p w14:paraId="39C37A5B">
            <w:pPr>
              <w:pStyle w:val="24"/>
              <w:spacing w:line="400" w:lineRule="exact"/>
              <w:rPr>
                <w:rFonts w:ascii="仿宋" w:hAnsi="仿宋" w:eastAsia="仿宋" w:cs="仿宋"/>
                <w:sz w:val="24"/>
                <w:szCs w:val="24"/>
                <w:highlight w:val="none"/>
              </w:rPr>
            </w:pPr>
          </w:p>
        </w:tc>
        <w:tc>
          <w:tcPr>
            <w:tcW w:w="2657" w:type="dxa"/>
            <w:noWrap w:val="0"/>
            <w:vAlign w:val="top"/>
          </w:tcPr>
          <w:p w14:paraId="1BC24C0C">
            <w:pPr>
              <w:pStyle w:val="24"/>
              <w:spacing w:line="400" w:lineRule="exact"/>
              <w:rPr>
                <w:rFonts w:ascii="仿宋" w:hAnsi="仿宋" w:eastAsia="仿宋" w:cs="仿宋"/>
                <w:sz w:val="24"/>
                <w:szCs w:val="24"/>
                <w:highlight w:val="none"/>
              </w:rPr>
            </w:pPr>
          </w:p>
        </w:tc>
        <w:tc>
          <w:tcPr>
            <w:tcW w:w="1417" w:type="dxa"/>
            <w:noWrap w:val="0"/>
            <w:vAlign w:val="top"/>
          </w:tcPr>
          <w:p w14:paraId="037D6F90">
            <w:pPr>
              <w:pStyle w:val="24"/>
              <w:spacing w:line="400" w:lineRule="exact"/>
              <w:rPr>
                <w:rFonts w:ascii="仿宋" w:hAnsi="仿宋" w:eastAsia="仿宋" w:cs="仿宋"/>
                <w:sz w:val="24"/>
                <w:szCs w:val="24"/>
                <w:highlight w:val="none"/>
              </w:rPr>
            </w:pPr>
          </w:p>
        </w:tc>
        <w:tc>
          <w:tcPr>
            <w:tcW w:w="2694" w:type="dxa"/>
            <w:noWrap w:val="0"/>
            <w:vAlign w:val="top"/>
          </w:tcPr>
          <w:p w14:paraId="07404B4B">
            <w:pPr>
              <w:pStyle w:val="24"/>
              <w:spacing w:line="400" w:lineRule="exact"/>
              <w:rPr>
                <w:rFonts w:ascii="仿宋" w:hAnsi="仿宋" w:eastAsia="仿宋" w:cs="仿宋"/>
                <w:sz w:val="24"/>
                <w:szCs w:val="24"/>
                <w:highlight w:val="none"/>
              </w:rPr>
            </w:pPr>
          </w:p>
        </w:tc>
        <w:tc>
          <w:tcPr>
            <w:tcW w:w="1293" w:type="dxa"/>
            <w:noWrap w:val="0"/>
            <w:vAlign w:val="top"/>
          </w:tcPr>
          <w:p w14:paraId="237C5ECE">
            <w:pPr>
              <w:pStyle w:val="24"/>
              <w:spacing w:line="400" w:lineRule="exact"/>
              <w:rPr>
                <w:rFonts w:ascii="仿宋" w:hAnsi="仿宋" w:eastAsia="仿宋" w:cs="仿宋"/>
                <w:sz w:val="24"/>
                <w:szCs w:val="24"/>
                <w:highlight w:val="none"/>
              </w:rPr>
            </w:pPr>
          </w:p>
        </w:tc>
      </w:tr>
      <w:tr w14:paraId="6F7D6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3361BFAC">
            <w:pPr>
              <w:pStyle w:val="24"/>
              <w:spacing w:line="400" w:lineRule="exact"/>
              <w:rPr>
                <w:rFonts w:ascii="仿宋" w:hAnsi="仿宋" w:eastAsia="仿宋" w:cs="仿宋"/>
                <w:sz w:val="24"/>
                <w:szCs w:val="24"/>
                <w:highlight w:val="none"/>
              </w:rPr>
            </w:pPr>
          </w:p>
        </w:tc>
        <w:tc>
          <w:tcPr>
            <w:tcW w:w="1236" w:type="dxa"/>
            <w:noWrap w:val="0"/>
            <w:vAlign w:val="top"/>
          </w:tcPr>
          <w:p w14:paraId="32629E96">
            <w:pPr>
              <w:pStyle w:val="24"/>
              <w:spacing w:line="400" w:lineRule="exact"/>
              <w:rPr>
                <w:rFonts w:ascii="仿宋" w:hAnsi="仿宋" w:eastAsia="仿宋" w:cs="仿宋"/>
                <w:sz w:val="24"/>
                <w:szCs w:val="24"/>
                <w:highlight w:val="none"/>
              </w:rPr>
            </w:pPr>
          </w:p>
        </w:tc>
        <w:tc>
          <w:tcPr>
            <w:tcW w:w="2657" w:type="dxa"/>
            <w:noWrap w:val="0"/>
            <w:vAlign w:val="top"/>
          </w:tcPr>
          <w:p w14:paraId="176BE609">
            <w:pPr>
              <w:pStyle w:val="24"/>
              <w:spacing w:line="400" w:lineRule="exact"/>
              <w:rPr>
                <w:rFonts w:ascii="仿宋" w:hAnsi="仿宋" w:eastAsia="仿宋" w:cs="仿宋"/>
                <w:sz w:val="24"/>
                <w:szCs w:val="24"/>
                <w:highlight w:val="none"/>
              </w:rPr>
            </w:pPr>
          </w:p>
        </w:tc>
        <w:tc>
          <w:tcPr>
            <w:tcW w:w="1417" w:type="dxa"/>
            <w:noWrap w:val="0"/>
            <w:vAlign w:val="top"/>
          </w:tcPr>
          <w:p w14:paraId="65A556B0">
            <w:pPr>
              <w:pStyle w:val="24"/>
              <w:spacing w:line="400" w:lineRule="exact"/>
              <w:rPr>
                <w:rFonts w:ascii="仿宋" w:hAnsi="仿宋" w:eastAsia="仿宋" w:cs="仿宋"/>
                <w:sz w:val="24"/>
                <w:szCs w:val="24"/>
                <w:highlight w:val="none"/>
              </w:rPr>
            </w:pPr>
          </w:p>
        </w:tc>
        <w:tc>
          <w:tcPr>
            <w:tcW w:w="2694" w:type="dxa"/>
            <w:noWrap w:val="0"/>
            <w:vAlign w:val="top"/>
          </w:tcPr>
          <w:p w14:paraId="5E785C84">
            <w:pPr>
              <w:pStyle w:val="24"/>
              <w:spacing w:line="400" w:lineRule="exact"/>
              <w:rPr>
                <w:rFonts w:ascii="仿宋" w:hAnsi="仿宋" w:eastAsia="仿宋" w:cs="仿宋"/>
                <w:sz w:val="24"/>
                <w:szCs w:val="24"/>
                <w:highlight w:val="none"/>
              </w:rPr>
            </w:pPr>
          </w:p>
        </w:tc>
        <w:tc>
          <w:tcPr>
            <w:tcW w:w="1293" w:type="dxa"/>
            <w:noWrap w:val="0"/>
            <w:vAlign w:val="top"/>
          </w:tcPr>
          <w:p w14:paraId="3BA62D23">
            <w:pPr>
              <w:pStyle w:val="24"/>
              <w:spacing w:line="400" w:lineRule="exact"/>
              <w:rPr>
                <w:rFonts w:ascii="仿宋" w:hAnsi="仿宋" w:eastAsia="仿宋" w:cs="仿宋"/>
                <w:sz w:val="24"/>
                <w:szCs w:val="24"/>
                <w:highlight w:val="none"/>
              </w:rPr>
            </w:pPr>
          </w:p>
        </w:tc>
      </w:tr>
      <w:tr w14:paraId="1D3A8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0517E5BC">
            <w:pPr>
              <w:pStyle w:val="24"/>
              <w:spacing w:line="400" w:lineRule="exact"/>
              <w:rPr>
                <w:rFonts w:ascii="仿宋" w:hAnsi="仿宋" w:eastAsia="仿宋" w:cs="仿宋"/>
                <w:sz w:val="24"/>
                <w:szCs w:val="24"/>
                <w:highlight w:val="none"/>
              </w:rPr>
            </w:pPr>
          </w:p>
        </w:tc>
        <w:tc>
          <w:tcPr>
            <w:tcW w:w="1236" w:type="dxa"/>
            <w:noWrap w:val="0"/>
            <w:vAlign w:val="top"/>
          </w:tcPr>
          <w:p w14:paraId="6AAD1EDD">
            <w:pPr>
              <w:pStyle w:val="24"/>
              <w:spacing w:line="400" w:lineRule="exact"/>
              <w:rPr>
                <w:rFonts w:ascii="仿宋" w:hAnsi="仿宋" w:eastAsia="仿宋" w:cs="仿宋"/>
                <w:sz w:val="24"/>
                <w:szCs w:val="24"/>
                <w:highlight w:val="none"/>
              </w:rPr>
            </w:pPr>
          </w:p>
        </w:tc>
        <w:tc>
          <w:tcPr>
            <w:tcW w:w="2657" w:type="dxa"/>
            <w:noWrap w:val="0"/>
            <w:vAlign w:val="top"/>
          </w:tcPr>
          <w:p w14:paraId="393644A0">
            <w:pPr>
              <w:pStyle w:val="24"/>
              <w:spacing w:line="400" w:lineRule="exact"/>
              <w:rPr>
                <w:rFonts w:ascii="仿宋" w:hAnsi="仿宋" w:eastAsia="仿宋" w:cs="仿宋"/>
                <w:sz w:val="24"/>
                <w:szCs w:val="24"/>
                <w:highlight w:val="none"/>
              </w:rPr>
            </w:pPr>
          </w:p>
        </w:tc>
        <w:tc>
          <w:tcPr>
            <w:tcW w:w="1417" w:type="dxa"/>
            <w:noWrap w:val="0"/>
            <w:vAlign w:val="top"/>
          </w:tcPr>
          <w:p w14:paraId="2BEF0C47">
            <w:pPr>
              <w:pStyle w:val="24"/>
              <w:spacing w:line="400" w:lineRule="exact"/>
              <w:rPr>
                <w:rFonts w:ascii="仿宋" w:hAnsi="仿宋" w:eastAsia="仿宋" w:cs="仿宋"/>
                <w:sz w:val="24"/>
                <w:szCs w:val="24"/>
                <w:highlight w:val="none"/>
              </w:rPr>
            </w:pPr>
          </w:p>
        </w:tc>
        <w:tc>
          <w:tcPr>
            <w:tcW w:w="2694" w:type="dxa"/>
            <w:noWrap w:val="0"/>
            <w:vAlign w:val="top"/>
          </w:tcPr>
          <w:p w14:paraId="72F8FBC1">
            <w:pPr>
              <w:pStyle w:val="24"/>
              <w:spacing w:line="400" w:lineRule="exact"/>
              <w:rPr>
                <w:rFonts w:ascii="仿宋" w:hAnsi="仿宋" w:eastAsia="仿宋" w:cs="仿宋"/>
                <w:sz w:val="24"/>
                <w:szCs w:val="24"/>
                <w:highlight w:val="none"/>
              </w:rPr>
            </w:pPr>
          </w:p>
        </w:tc>
        <w:tc>
          <w:tcPr>
            <w:tcW w:w="1293" w:type="dxa"/>
            <w:noWrap w:val="0"/>
            <w:vAlign w:val="top"/>
          </w:tcPr>
          <w:p w14:paraId="271DC884">
            <w:pPr>
              <w:pStyle w:val="24"/>
              <w:spacing w:line="400" w:lineRule="exact"/>
              <w:rPr>
                <w:rFonts w:ascii="仿宋" w:hAnsi="仿宋" w:eastAsia="仿宋" w:cs="仿宋"/>
                <w:sz w:val="24"/>
                <w:szCs w:val="24"/>
                <w:highlight w:val="none"/>
              </w:rPr>
            </w:pPr>
          </w:p>
        </w:tc>
      </w:tr>
      <w:tr w14:paraId="19BB4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76D826E8">
            <w:pPr>
              <w:pStyle w:val="24"/>
              <w:spacing w:line="400" w:lineRule="exact"/>
              <w:rPr>
                <w:rFonts w:ascii="仿宋" w:hAnsi="仿宋" w:eastAsia="仿宋" w:cs="仿宋"/>
                <w:sz w:val="24"/>
                <w:szCs w:val="24"/>
                <w:highlight w:val="none"/>
              </w:rPr>
            </w:pPr>
          </w:p>
        </w:tc>
        <w:tc>
          <w:tcPr>
            <w:tcW w:w="1236" w:type="dxa"/>
            <w:noWrap w:val="0"/>
            <w:vAlign w:val="top"/>
          </w:tcPr>
          <w:p w14:paraId="390C7BD4">
            <w:pPr>
              <w:pStyle w:val="24"/>
              <w:spacing w:line="400" w:lineRule="exact"/>
              <w:rPr>
                <w:rFonts w:ascii="仿宋" w:hAnsi="仿宋" w:eastAsia="仿宋" w:cs="仿宋"/>
                <w:sz w:val="24"/>
                <w:szCs w:val="24"/>
                <w:highlight w:val="none"/>
              </w:rPr>
            </w:pPr>
          </w:p>
        </w:tc>
        <w:tc>
          <w:tcPr>
            <w:tcW w:w="2657" w:type="dxa"/>
            <w:noWrap w:val="0"/>
            <w:vAlign w:val="top"/>
          </w:tcPr>
          <w:p w14:paraId="249270DC">
            <w:pPr>
              <w:pStyle w:val="24"/>
              <w:spacing w:line="400" w:lineRule="exact"/>
              <w:rPr>
                <w:rFonts w:ascii="仿宋" w:hAnsi="仿宋" w:eastAsia="仿宋" w:cs="仿宋"/>
                <w:sz w:val="24"/>
                <w:szCs w:val="24"/>
                <w:highlight w:val="none"/>
              </w:rPr>
            </w:pPr>
          </w:p>
        </w:tc>
        <w:tc>
          <w:tcPr>
            <w:tcW w:w="1417" w:type="dxa"/>
            <w:noWrap w:val="0"/>
            <w:vAlign w:val="top"/>
          </w:tcPr>
          <w:p w14:paraId="0471E055">
            <w:pPr>
              <w:pStyle w:val="24"/>
              <w:spacing w:line="400" w:lineRule="exact"/>
              <w:rPr>
                <w:rFonts w:ascii="仿宋" w:hAnsi="仿宋" w:eastAsia="仿宋" w:cs="仿宋"/>
                <w:sz w:val="24"/>
                <w:szCs w:val="24"/>
                <w:highlight w:val="none"/>
              </w:rPr>
            </w:pPr>
          </w:p>
        </w:tc>
        <w:tc>
          <w:tcPr>
            <w:tcW w:w="2694" w:type="dxa"/>
            <w:noWrap w:val="0"/>
            <w:vAlign w:val="top"/>
          </w:tcPr>
          <w:p w14:paraId="261C988F">
            <w:pPr>
              <w:pStyle w:val="24"/>
              <w:spacing w:line="400" w:lineRule="exact"/>
              <w:rPr>
                <w:rFonts w:ascii="仿宋" w:hAnsi="仿宋" w:eastAsia="仿宋" w:cs="仿宋"/>
                <w:sz w:val="24"/>
                <w:szCs w:val="24"/>
                <w:highlight w:val="none"/>
              </w:rPr>
            </w:pPr>
          </w:p>
        </w:tc>
        <w:tc>
          <w:tcPr>
            <w:tcW w:w="1293" w:type="dxa"/>
            <w:noWrap w:val="0"/>
            <w:vAlign w:val="top"/>
          </w:tcPr>
          <w:p w14:paraId="7621F5E2">
            <w:pPr>
              <w:pStyle w:val="24"/>
              <w:spacing w:line="400" w:lineRule="exact"/>
              <w:rPr>
                <w:rFonts w:ascii="仿宋" w:hAnsi="仿宋" w:eastAsia="仿宋" w:cs="仿宋"/>
                <w:sz w:val="24"/>
                <w:szCs w:val="24"/>
                <w:highlight w:val="none"/>
              </w:rPr>
            </w:pPr>
          </w:p>
        </w:tc>
      </w:tr>
      <w:tr w14:paraId="77A3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6E9E8AF5">
            <w:pPr>
              <w:pStyle w:val="24"/>
              <w:spacing w:line="400" w:lineRule="exact"/>
              <w:rPr>
                <w:rFonts w:ascii="仿宋" w:hAnsi="仿宋" w:eastAsia="仿宋" w:cs="仿宋"/>
                <w:sz w:val="24"/>
                <w:szCs w:val="24"/>
                <w:highlight w:val="none"/>
              </w:rPr>
            </w:pPr>
          </w:p>
        </w:tc>
        <w:tc>
          <w:tcPr>
            <w:tcW w:w="1236" w:type="dxa"/>
            <w:noWrap w:val="0"/>
            <w:vAlign w:val="top"/>
          </w:tcPr>
          <w:p w14:paraId="6B00DCBA">
            <w:pPr>
              <w:pStyle w:val="24"/>
              <w:spacing w:line="400" w:lineRule="exact"/>
              <w:rPr>
                <w:rFonts w:ascii="仿宋" w:hAnsi="仿宋" w:eastAsia="仿宋" w:cs="仿宋"/>
                <w:sz w:val="24"/>
                <w:szCs w:val="24"/>
                <w:highlight w:val="none"/>
              </w:rPr>
            </w:pPr>
          </w:p>
        </w:tc>
        <w:tc>
          <w:tcPr>
            <w:tcW w:w="2657" w:type="dxa"/>
            <w:noWrap w:val="0"/>
            <w:vAlign w:val="top"/>
          </w:tcPr>
          <w:p w14:paraId="0BE38CCC">
            <w:pPr>
              <w:pStyle w:val="24"/>
              <w:spacing w:line="400" w:lineRule="exact"/>
              <w:rPr>
                <w:rFonts w:ascii="仿宋" w:hAnsi="仿宋" w:eastAsia="仿宋" w:cs="仿宋"/>
                <w:sz w:val="24"/>
                <w:szCs w:val="24"/>
                <w:highlight w:val="none"/>
              </w:rPr>
            </w:pPr>
          </w:p>
        </w:tc>
        <w:tc>
          <w:tcPr>
            <w:tcW w:w="1417" w:type="dxa"/>
            <w:noWrap w:val="0"/>
            <w:vAlign w:val="top"/>
          </w:tcPr>
          <w:p w14:paraId="67B5389F">
            <w:pPr>
              <w:pStyle w:val="24"/>
              <w:spacing w:line="400" w:lineRule="exact"/>
              <w:rPr>
                <w:rFonts w:ascii="仿宋" w:hAnsi="仿宋" w:eastAsia="仿宋" w:cs="仿宋"/>
                <w:sz w:val="24"/>
                <w:szCs w:val="24"/>
                <w:highlight w:val="none"/>
              </w:rPr>
            </w:pPr>
          </w:p>
        </w:tc>
        <w:tc>
          <w:tcPr>
            <w:tcW w:w="2694" w:type="dxa"/>
            <w:noWrap w:val="0"/>
            <w:vAlign w:val="top"/>
          </w:tcPr>
          <w:p w14:paraId="3117D9CA">
            <w:pPr>
              <w:pStyle w:val="24"/>
              <w:spacing w:line="400" w:lineRule="exact"/>
              <w:rPr>
                <w:rFonts w:ascii="仿宋" w:hAnsi="仿宋" w:eastAsia="仿宋" w:cs="仿宋"/>
                <w:sz w:val="24"/>
                <w:szCs w:val="24"/>
                <w:highlight w:val="none"/>
              </w:rPr>
            </w:pPr>
          </w:p>
        </w:tc>
        <w:tc>
          <w:tcPr>
            <w:tcW w:w="1293" w:type="dxa"/>
            <w:noWrap w:val="0"/>
            <w:vAlign w:val="top"/>
          </w:tcPr>
          <w:p w14:paraId="4EEE2236">
            <w:pPr>
              <w:pStyle w:val="24"/>
              <w:spacing w:line="400" w:lineRule="exact"/>
              <w:rPr>
                <w:rFonts w:ascii="仿宋" w:hAnsi="仿宋" w:eastAsia="仿宋" w:cs="仿宋"/>
                <w:sz w:val="24"/>
                <w:szCs w:val="24"/>
                <w:highlight w:val="none"/>
              </w:rPr>
            </w:pPr>
          </w:p>
        </w:tc>
      </w:tr>
      <w:tr w14:paraId="4C242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667B4413">
            <w:pPr>
              <w:pStyle w:val="24"/>
              <w:spacing w:line="400" w:lineRule="exact"/>
              <w:rPr>
                <w:rFonts w:ascii="仿宋" w:hAnsi="仿宋" w:eastAsia="仿宋" w:cs="仿宋"/>
                <w:sz w:val="24"/>
                <w:szCs w:val="24"/>
                <w:highlight w:val="none"/>
              </w:rPr>
            </w:pPr>
          </w:p>
        </w:tc>
        <w:tc>
          <w:tcPr>
            <w:tcW w:w="1236" w:type="dxa"/>
            <w:noWrap w:val="0"/>
            <w:vAlign w:val="top"/>
          </w:tcPr>
          <w:p w14:paraId="7A242D61">
            <w:pPr>
              <w:pStyle w:val="24"/>
              <w:spacing w:line="400" w:lineRule="exact"/>
              <w:rPr>
                <w:rFonts w:ascii="仿宋" w:hAnsi="仿宋" w:eastAsia="仿宋" w:cs="仿宋"/>
                <w:sz w:val="24"/>
                <w:szCs w:val="24"/>
                <w:highlight w:val="none"/>
              </w:rPr>
            </w:pPr>
          </w:p>
        </w:tc>
        <w:tc>
          <w:tcPr>
            <w:tcW w:w="2657" w:type="dxa"/>
            <w:noWrap w:val="0"/>
            <w:vAlign w:val="top"/>
          </w:tcPr>
          <w:p w14:paraId="261B1930">
            <w:pPr>
              <w:pStyle w:val="24"/>
              <w:spacing w:line="400" w:lineRule="exact"/>
              <w:rPr>
                <w:rFonts w:ascii="仿宋" w:hAnsi="仿宋" w:eastAsia="仿宋" w:cs="仿宋"/>
                <w:sz w:val="24"/>
                <w:szCs w:val="24"/>
                <w:highlight w:val="none"/>
              </w:rPr>
            </w:pPr>
          </w:p>
        </w:tc>
        <w:tc>
          <w:tcPr>
            <w:tcW w:w="1417" w:type="dxa"/>
            <w:noWrap w:val="0"/>
            <w:vAlign w:val="top"/>
          </w:tcPr>
          <w:p w14:paraId="19716DC0">
            <w:pPr>
              <w:pStyle w:val="24"/>
              <w:spacing w:line="400" w:lineRule="exact"/>
              <w:rPr>
                <w:rFonts w:ascii="仿宋" w:hAnsi="仿宋" w:eastAsia="仿宋" w:cs="仿宋"/>
                <w:sz w:val="24"/>
                <w:szCs w:val="24"/>
                <w:highlight w:val="none"/>
              </w:rPr>
            </w:pPr>
          </w:p>
        </w:tc>
        <w:tc>
          <w:tcPr>
            <w:tcW w:w="2694" w:type="dxa"/>
            <w:noWrap w:val="0"/>
            <w:vAlign w:val="top"/>
          </w:tcPr>
          <w:p w14:paraId="153B7BE1">
            <w:pPr>
              <w:pStyle w:val="24"/>
              <w:spacing w:line="400" w:lineRule="exact"/>
              <w:rPr>
                <w:rFonts w:ascii="仿宋" w:hAnsi="仿宋" w:eastAsia="仿宋" w:cs="仿宋"/>
                <w:sz w:val="24"/>
                <w:szCs w:val="24"/>
                <w:highlight w:val="none"/>
              </w:rPr>
            </w:pPr>
          </w:p>
        </w:tc>
        <w:tc>
          <w:tcPr>
            <w:tcW w:w="1293" w:type="dxa"/>
            <w:noWrap w:val="0"/>
            <w:vAlign w:val="top"/>
          </w:tcPr>
          <w:p w14:paraId="76F49F05">
            <w:pPr>
              <w:pStyle w:val="24"/>
              <w:spacing w:line="400" w:lineRule="exact"/>
              <w:rPr>
                <w:rFonts w:ascii="仿宋" w:hAnsi="仿宋" w:eastAsia="仿宋" w:cs="仿宋"/>
                <w:sz w:val="24"/>
                <w:szCs w:val="24"/>
                <w:highlight w:val="none"/>
              </w:rPr>
            </w:pPr>
          </w:p>
        </w:tc>
      </w:tr>
      <w:tr w14:paraId="0CF98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359A6B7A">
            <w:pPr>
              <w:pStyle w:val="24"/>
              <w:spacing w:line="400" w:lineRule="exact"/>
              <w:rPr>
                <w:rFonts w:ascii="仿宋" w:hAnsi="仿宋" w:eastAsia="仿宋" w:cs="仿宋"/>
                <w:sz w:val="24"/>
                <w:szCs w:val="24"/>
                <w:highlight w:val="none"/>
              </w:rPr>
            </w:pPr>
          </w:p>
        </w:tc>
        <w:tc>
          <w:tcPr>
            <w:tcW w:w="1236" w:type="dxa"/>
            <w:noWrap w:val="0"/>
            <w:vAlign w:val="top"/>
          </w:tcPr>
          <w:p w14:paraId="7F3A2360">
            <w:pPr>
              <w:pStyle w:val="24"/>
              <w:spacing w:line="400" w:lineRule="exact"/>
              <w:rPr>
                <w:rFonts w:ascii="仿宋" w:hAnsi="仿宋" w:eastAsia="仿宋" w:cs="仿宋"/>
                <w:sz w:val="24"/>
                <w:szCs w:val="24"/>
                <w:highlight w:val="none"/>
              </w:rPr>
            </w:pPr>
          </w:p>
        </w:tc>
        <w:tc>
          <w:tcPr>
            <w:tcW w:w="2657" w:type="dxa"/>
            <w:noWrap w:val="0"/>
            <w:vAlign w:val="top"/>
          </w:tcPr>
          <w:p w14:paraId="156869A9">
            <w:pPr>
              <w:pStyle w:val="24"/>
              <w:spacing w:line="400" w:lineRule="exact"/>
              <w:rPr>
                <w:rFonts w:ascii="仿宋" w:hAnsi="仿宋" w:eastAsia="仿宋" w:cs="仿宋"/>
                <w:sz w:val="24"/>
                <w:szCs w:val="24"/>
                <w:highlight w:val="none"/>
              </w:rPr>
            </w:pPr>
          </w:p>
        </w:tc>
        <w:tc>
          <w:tcPr>
            <w:tcW w:w="1417" w:type="dxa"/>
            <w:noWrap w:val="0"/>
            <w:vAlign w:val="top"/>
          </w:tcPr>
          <w:p w14:paraId="558024DE">
            <w:pPr>
              <w:pStyle w:val="24"/>
              <w:spacing w:line="400" w:lineRule="exact"/>
              <w:rPr>
                <w:rFonts w:ascii="仿宋" w:hAnsi="仿宋" w:eastAsia="仿宋" w:cs="仿宋"/>
                <w:sz w:val="24"/>
                <w:szCs w:val="24"/>
                <w:highlight w:val="none"/>
              </w:rPr>
            </w:pPr>
          </w:p>
        </w:tc>
        <w:tc>
          <w:tcPr>
            <w:tcW w:w="2694" w:type="dxa"/>
            <w:noWrap w:val="0"/>
            <w:vAlign w:val="top"/>
          </w:tcPr>
          <w:p w14:paraId="1ED9908D">
            <w:pPr>
              <w:pStyle w:val="24"/>
              <w:spacing w:line="400" w:lineRule="exact"/>
              <w:rPr>
                <w:rFonts w:ascii="仿宋" w:hAnsi="仿宋" w:eastAsia="仿宋" w:cs="仿宋"/>
                <w:sz w:val="24"/>
                <w:szCs w:val="24"/>
                <w:highlight w:val="none"/>
              </w:rPr>
            </w:pPr>
          </w:p>
        </w:tc>
        <w:tc>
          <w:tcPr>
            <w:tcW w:w="1293" w:type="dxa"/>
            <w:noWrap w:val="0"/>
            <w:vAlign w:val="top"/>
          </w:tcPr>
          <w:p w14:paraId="2939CCB3">
            <w:pPr>
              <w:pStyle w:val="24"/>
              <w:spacing w:line="400" w:lineRule="exact"/>
              <w:rPr>
                <w:rFonts w:ascii="仿宋" w:hAnsi="仿宋" w:eastAsia="仿宋" w:cs="仿宋"/>
                <w:sz w:val="24"/>
                <w:szCs w:val="24"/>
                <w:highlight w:val="none"/>
              </w:rPr>
            </w:pPr>
          </w:p>
        </w:tc>
      </w:tr>
    </w:tbl>
    <w:p w14:paraId="21217731">
      <w:pPr>
        <w:pStyle w:val="24"/>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45BF2178">
      <w:pPr>
        <w:spacing w:line="360" w:lineRule="exact"/>
        <w:ind w:firstLine="4200" w:firstLineChars="1750"/>
        <w:rPr>
          <w:rFonts w:ascii="仿宋" w:hAnsi="仿宋" w:eastAsia="仿宋" w:cs="仿宋"/>
          <w:sz w:val="24"/>
          <w:szCs w:val="24"/>
          <w:highlight w:val="none"/>
        </w:rPr>
      </w:pPr>
    </w:p>
    <w:p w14:paraId="335CC64F">
      <w:pPr>
        <w:spacing w:line="360" w:lineRule="exact"/>
        <w:ind w:firstLine="4200" w:firstLineChars="1750"/>
        <w:rPr>
          <w:rFonts w:ascii="仿宋" w:hAnsi="仿宋" w:eastAsia="仿宋" w:cs="仿宋"/>
          <w:sz w:val="24"/>
          <w:szCs w:val="24"/>
          <w:highlight w:val="none"/>
        </w:rPr>
      </w:pPr>
    </w:p>
    <w:p w14:paraId="28DB1181">
      <w:pPr>
        <w:spacing w:line="360" w:lineRule="exact"/>
        <w:ind w:firstLine="4200" w:firstLineChars="1750"/>
        <w:rPr>
          <w:rFonts w:ascii="仿宋" w:hAnsi="仿宋" w:eastAsia="仿宋" w:cs="仿宋"/>
          <w:sz w:val="24"/>
          <w:szCs w:val="24"/>
          <w:highlight w:val="none"/>
        </w:rPr>
      </w:pPr>
    </w:p>
    <w:p w14:paraId="2C11B457">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EDF7A95">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5DF939C1">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078C2D8D">
      <w:pPr>
        <w:spacing w:line="460" w:lineRule="exact"/>
        <w:jc w:val="center"/>
        <w:rPr>
          <w:rFonts w:hint="eastAsia" w:ascii="仿宋" w:hAnsi="仿宋" w:eastAsia="仿宋" w:cs="仿宋"/>
          <w:b/>
          <w:kern w:val="0"/>
          <w:sz w:val="36"/>
          <w:szCs w:val="36"/>
          <w:highlight w:val="none"/>
        </w:rPr>
      </w:pPr>
    </w:p>
    <w:p w14:paraId="60B1499B">
      <w:pPr>
        <w:spacing w:line="460" w:lineRule="exact"/>
        <w:jc w:val="center"/>
        <w:rPr>
          <w:rFonts w:hint="eastAsia" w:ascii="仿宋" w:hAnsi="仿宋" w:eastAsia="仿宋" w:cs="仿宋"/>
          <w:b/>
          <w:kern w:val="0"/>
          <w:sz w:val="36"/>
          <w:szCs w:val="36"/>
          <w:highlight w:val="none"/>
        </w:rPr>
      </w:pPr>
    </w:p>
    <w:p w14:paraId="2E32F6A7">
      <w:pPr>
        <w:spacing w:line="460" w:lineRule="exact"/>
        <w:jc w:val="center"/>
        <w:rPr>
          <w:rFonts w:hint="eastAsia" w:ascii="仿宋" w:hAnsi="仿宋" w:eastAsia="仿宋" w:cs="仿宋"/>
          <w:b/>
          <w:kern w:val="0"/>
          <w:sz w:val="36"/>
          <w:szCs w:val="36"/>
          <w:highlight w:val="none"/>
        </w:rPr>
      </w:pPr>
    </w:p>
    <w:p w14:paraId="3DB852EB">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4"/>
    <w:p w14:paraId="2E2821A9">
      <w:pPr>
        <w:pStyle w:val="24"/>
        <w:wordWrap w:val="0"/>
        <w:spacing w:line="360" w:lineRule="auto"/>
        <w:rPr>
          <w:rFonts w:hint="eastAsia" w:ascii="仿宋" w:hAnsi="仿宋" w:eastAsia="仿宋" w:cs="仿宋"/>
          <w:sz w:val="24"/>
          <w:szCs w:val="24"/>
          <w:highlight w:val="none"/>
        </w:rPr>
      </w:pPr>
      <w:bookmarkStart w:id="22" w:name="_Toc13194"/>
      <w:r>
        <w:rPr>
          <w:rFonts w:hint="eastAsia" w:ascii="仿宋" w:hAnsi="仿宋" w:eastAsia="仿宋" w:cs="仿宋"/>
          <w:sz w:val="24"/>
          <w:szCs w:val="24"/>
          <w:highlight w:val="none"/>
        </w:rPr>
        <w:t>包括但不限于以下内容：</w:t>
      </w:r>
    </w:p>
    <w:p w14:paraId="6FCB5463">
      <w:pPr>
        <w:pStyle w:val="24"/>
        <w:wordWrap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产品技术性能</w:t>
      </w:r>
    </w:p>
    <w:p w14:paraId="0BF11743">
      <w:pPr>
        <w:pStyle w:val="24"/>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2、产品质量控制方案和措施</w:t>
      </w:r>
    </w:p>
    <w:p w14:paraId="0A10D622">
      <w:pPr>
        <w:pStyle w:val="24"/>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3、供货方案</w:t>
      </w:r>
    </w:p>
    <w:p w14:paraId="2713B553">
      <w:pPr>
        <w:pStyle w:val="24"/>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4、售后及相关服务方案</w:t>
      </w:r>
    </w:p>
    <w:p w14:paraId="1B4840A4">
      <w:pPr>
        <w:pStyle w:val="24"/>
        <w:tabs>
          <w:tab w:val="left" w:pos="3375"/>
        </w:tabs>
        <w:wordWrap w:val="0"/>
        <w:spacing w:line="360" w:lineRule="auto"/>
        <w:jc w:val="center"/>
        <w:rPr>
          <w:rFonts w:hint="eastAsia"/>
          <w:highlight w:val="none"/>
          <w:lang w:eastAsia="zh-CN"/>
        </w:rPr>
      </w:pPr>
      <w:r>
        <w:rPr>
          <w:rFonts w:hint="eastAsia" w:ascii="仿宋" w:hAnsi="仿宋" w:eastAsia="仿宋" w:cs="仿宋"/>
          <w:sz w:val="24"/>
          <w:szCs w:val="24"/>
          <w:highlight w:val="none"/>
          <w:lang w:eastAsia="zh-CN"/>
        </w:rPr>
        <w:br w:type="page"/>
      </w:r>
      <w:r>
        <w:rPr>
          <w:rFonts w:hint="eastAsia" w:ascii="黑体" w:hAnsi="黑体" w:eastAsia="仿宋" w:cs="Times New Roman"/>
          <w:b/>
          <w:kern w:val="2"/>
          <w:sz w:val="30"/>
          <w:szCs w:val="22"/>
          <w:highlight w:val="none"/>
          <w:lang w:val="en-US" w:eastAsia="zh-CN" w:bidi="ar-SA"/>
        </w:rPr>
        <w:t>第六部分  合同（范本）</w:t>
      </w:r>
      <w:bookmarkEnd w:id="22"/>
    </w:p>
    <w:p w14:paraId="767B2823">
      <w:pPr>
        <w:autoSpaceDE w:val="0"/>
        <w:autoSpaceDN w:val="0"/>
        <w:adjustRightInd w:val="0"/>
        <w:spacing w:line="460" w:lineRule="exact"/>
        <w:jc w:val="right"/>
        <w:outlineLvl w:val="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合同编号：                                                              </w:t>
      </w:r>
    </w:p>
    <w:p w14:paraId="43EBF39B">
      <w:pPr>
        <w:autoSpaceDE w:val="0"/>
        <w:autoSpaceDN w:val="0"/>
        <w:adjustRightInd w:val="0"/>
        <w:spacing w:line="460" w:lineRule="exact"/>
        <w:jc w:val="right"/>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24"/>
          <w:szCs w:val="24"/>
          <w:highlight w:val="none"/>
          <w:lang w:val="en-US" w:eastAsia="zh-CN"/>
        </w:rPr>
        <w:t>招标编号：WHSW-SWT2026-001</w:t>
      </w:r>
    </w:p>
    <w:p w14:paraId="6262103D">
      <w:pPr>
        <w:autoSpaceDE w:val="0"/>
        <w:autoSpaceDN w:val="0"/>
        <w:adjustRightInd w:val="0"/>
        <w:spacing w:line="460" w:lineRule="exact"/>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威海水务投资有限责任公司</w:t>
      </w:r>
    </w:p>
    <w:p w14:paraId="646D20BF">
      <w:pPr>
        <w:autoSpaceDE w:val="0"/>
        <w:autoSpaceDN w:val="0"/>
        <w:adjustRightInd w:val="0"/>
        <w:spacing w:line="240" w:lineRule="auto"/>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污水处理</w:t>
      </w:r>
      <w:r>
        <w:rPr>
          <w:rFonts w:hint="eastAsia" w:ascii="仿宋" w:hAnsi="仿宋" w:eastAsia="仿宋" w:cs="仿宋"/>
          <w:b w:val="0"/>
          <w:bCs/>
          <w:sz w:val="44"/>
          <w:szCs w:val="44"/>
          <w:highlight w:val="none"/>
          <w:lang w:val="zh-CN" w:eastAsia="zh-CN"/>
        </w:rPr>
        <w:t>药</w:t>
      </w:r>
      <w:r>
        <w:rPr>
          <w:rFonts w:hint="eastAsia" w:ascii="仿宋" w:hAnsi="仿宋" w:eastAsia="仿宋" w:cs="仿宋"/>
          <w:b w:val="0"/>
          <w:bCs/>
          <w:sz w:val="44"/>
          <w:szCs w:val="44"/>
          <w:highlight w:val="none"/>
          <w:lang w:val="zh-CN"/>
        </w:rPr>
        <w:t>剂采购及相关服务合同</w:t>
      </w:r>
    </w:p>
    <w:p w14:paraId="28F1ED10">
      <w:pPr>
        <w:pStyle w:val="37"/>
        <w:rPr>
          <w:rFonts w:hint="eastAsia" w:ascii="仿宋" w:hAnsi="仿宋" w:eastAsia="仿宋" w:cs="仿宋"/>
          <w:highlight w:val="none"/>
        </w:rPr>
      </w:pPr>
    </w:p>
    <w:p w14:paraId="2BB9087A">
      <w:pPr>
        <w:snapToGrid w:val="0"/>
        <w:spacing w:line="360" w:lineRule="auto"/>
        <w:ind w:firstLine="480"/>
        <w:rPr>
          <w:rFonts w:hint="eastAsia" w:ascii="仿宋" w:hAnsi="仿宋" w:eastAsia="仿宋" w:cs="仿宋"/>
          <w:sz w:val="24"/>
          <w:szCs w:val="24"/>
          <w:highlight w:val="none"/>
          <w:u w:val="single"/>
        </w:rPr>
      </w:pPr>
      <w:bookmarkStart w:id="23" w:name="_Toc183264312"/>
      <w:bookmarkStart w:id="24" w:name="_Toc325358070"/>
      <w:r>
        <w:rPr>
          <w:rFonts w:hint="eastAsia" w:ascii="仿宋" w:hAnsi="仿宋" w:eastAsia="仿宋" w:cs="仿宋"/>
          <w:sz w:val="24"/>
          <w:szCs w:val="24"/>
          <w:highlight w:val="none"/>
        </w:rPr>
        <w:t>甲方（买方）：</w:t>
      </w:r>
      <w:r>
        <w:rPr>
          <w:rFonts w:hint="eastAsia" w:ascii="仿宋" w:hAnsi="仿宋" w:eastAsia="仿宋" w:cs="仿宋"/>
          <w:color w:val="000000"/>
          <w:sz w:val="24"/>
          <w:szCs w:val="24"/>
          <w:highlight w:val="none"/>
          <w:vertAlign w:val="baseline"/>
          <w:lang w:val="en-US" w:eastAsia="zh-CN"/>
        </w:rPr>
        <w:t xml:space="preserve"> </w:t>
      </w:r>
    </w:p>
    <w:p w14:paraId="2093D3D3">
      <w:pPr>
        <w:snapToGrid w:val="0"/>
        <w:spacing w:line="360" w:lineRule="auto"/>
        <w:ind w:firstLine="48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乙方（卖方）：</w:t>
      </w:r>
      <w:r>
        <w:rPr>
          <w:rFonts w:hint="eastAsia" w:ascii="仿宋" w:hAnsi="仿宋" w:eastAsia="仿宋" w:cs="仿宋"/>
          <w:color w:val="000000"/>
          <w:sz w:val="24"/>
          <w:szCs w:val="24"/>
          <w:highlight w:val="none"/>
          <w:vertAlign w:val="baseline"/>
          <w:lang w:val="en-US" w:eastAsia="zh-CN"/>
        </w:rPr>
        <w:t xml:space="preserve"> </w:t>
      </w:r>
    </w:p>
    <w:bookmarkEnd w:id="23"/>
    <w:bookmarkEnd w:id="24"/>
    <w:p w14:paraId="62193CF6">
      <w:pPr>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经公开招标程序，</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甲方确认乙方</w:t>
      </w:r>
      <w:r>
        <w:rPr>
          <w:rFonts w:hint="eastAsia" w:ascii="仿宋" w:hAnsi="仿宋" w:eastAsia="仿宋" w:cs="仿宋"/>
          <w:sz w:val="24"/>
          <w:szCs w:val="24"/>
          <w:highlight w:val="none"/>
          <w:lang w:eastAsia="zh-CN"/>
        </w:rPr>
        <w:t>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eastAsia="zh-CN"/>
        </w:rPr>
        <w:t>药剂供应商。</w:t>
      </w:r>
      <w:r>
        <w:rPr>
          <w:rFonts w:hint="eastAsia" w:ascii="仿宋" w:hAnsi="仿宋" w:eastAsia="仿宋" w:cs="仿宋"/>
          <w:sz w:val="24"/>
          <w:szCs w:val="24"/>
          <w:highlight w:val="none"/>
        </w:rPr>
        <w:t>双方依据《中华人民共和国</w:t>
      </w:r>
      <w:r>
        <w:rPr>
          <w:rFonts w:hint="eastAsia" w:ascii="仿宋" w:hAnsi="仿宋" w:eastAsia="仿宋" w:cs="仿宋"/>
          <w:sz w:val="24"/>
          <w:szCs w:val="24"/>
          <w:highlight w:val="none"/>
          <w:lang w:eastAsia="zh-CN"/>
        </w:rPr>
        <w:t>民法典</w:t>
      </w:r>
      <w:r>
        <w:rPr>
          <w:rFonts w:hint="eastAsia" w:ascii="仿宋" w:hAnsi="仿宋" w:eastAsia="仿宋" w:cs="仿宋"/>
          <w:sz w:val="24"/>
          <w:szCs w:val="24"/>
          <w:highlight w:val="none"/>
        </w:rPr>
        <w:t>》及其他相关法律法规的规定，在平等、自愿、协商一致的基础上，达成如下协议：</w:t>
      </w:r>
    </w:p>
    <w:p w14:paraId="011520E3">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1.基本情况 </w:t>
      </w:r>
    </w:p>
    <w:p w14:paraId="1E19E4CA">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 采购标的：经公开招投标程序，甲方确定乙方为其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的供应商。</w:t>
      </w:r>
    </w:p>
    <w:p w14:paraId="5FA2ECE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 采购数量：具体数量以实际发生的采购数量为准。实际采购数量根据处理规模、来水量变化等影响因素可适时增加或者减少，并据实结算，可能会大于或者小于约定的采购数量，不视为违约。</w:t>
      </w:r>
    </w:p>
    <w:p w14:paraId="15C7B8B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1.3 本合同签订后，甲方将根据实际需求向乙方发出书面采购订单，具体供货品种及数量以甲方每次向乙方发出的采购订单确定的为依据。</w:t>
      </w:r>
    </w:p>
    <w:p w14:paraId="1D692843">
      <w:pPr>
        <w:snapToGrid w:val="0"/>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1.4 合同履行期限：</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日至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日</w:t>
      </w:r>
    </w:p>
    <w:p w14:paraId="5900E04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 其他：</w:t>
      </w:r>
      <w:r>
        <w:rPr>
          <w:rFonts w:hint="eastAsia" w:ascii="仿宋" w:hAnsi="仿宋" w:eastAsia="仿宋" w:cs="仿宋"/>
          <w:sz w:val="24"/>
          <w:szCs w:val="24"/>
          <w:highlight w:val="none"/>
          <w:lang w:val="en-US" w:eastAsia="zh-CN"/>
        </w:rPr>
        <w:t>合同期满后，</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可选择依据有关制度规定对乙方履约情况进行评价，合格则续签合同，续签不超过2次。</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也可以选择重新招标选择供应商。具体选择何种方式以</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结合实际需要确定。</w:t>
      </w:r>
      <w:r>
        <w:rPr>
          <w:rFonts w:hint="eastAsia" w:ascii="仿宋" w:hAnsi="仿宋" w:eastAsia="仿宋" w:cs="仿宋"/>
          <w:sz w:val="24"/>
          <w:szCs w:val="24"/>
          <w:highlight w:val="none"/>
        </w:rPr>
        <w:t xml:space="preserve">                                                                                                        </w:t>
      </w:r>
    </w:p>
    <w:p w14:paraId="2F9AA071">
      <w:pPr>
        <w:tabs>
          <w:tab w:val="left" w:pos="408"/>
        </w:tabs>
        <w:snapToGrid w:val="0"/>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eastAsia="zh-CN"/>
        </w:rPr>
        <w:t>药剂价格</w:t>
      </w:r>
    </w:p>
    <w:p w14:paraId="5A279FC7">
      <w:pPr>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eastAsia="zh-CN"/>
        </w:rPr>
        <w:t>为单价合同，定单价不定总价和用量，药剂用量以甲方实际需求量为准。</w:t>
      </w:r>
    </w:p>
    <w:p w14:paraId="29844AB0">
      <w:pPr>
        <w:snapToGrid w:val="0"/>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除税单价执行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lang w:val="en-US" w:eastAsia="zh-CN"/>
        </w:rPr>
        <w:t>含税单价</w:t>
      </w:r>
      <w:r>
        <w:rPr>
          <w:rFonts w:hint="eastAsia" w:ascii="仿宋" w:hAnsi="仿宋" w:eastAsia="仿宋" w:cs="仿宋"/>
          <w:color w:val="auto"/>
          <w:sz w:val="24"/>
          <w:szCs w:val="24"/>
          <w:highlight w:val="none"/>
          <w:lang w:eastAsia="zh-CN"/>
        </w:rPr>
        <w:t>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u w:val="none"/>
          <w:lang w:val="en-US" w:eastAsia="zh-CN"/>
        </w:rPr>
        <w:t>，税率为</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none"/>
          <w:lang w:val="en-US" w:eastAsia="zh-CN"/>
        </w:rPr>
        <w:t>。</w:t>
      </w:r>
    </w:p>
    <w:p w14:paraId="175B7672">
      <w:pPr>
        <w:widowControl/>
        <w:snapToGrid w:val="0"/>
        <w:spacing w:line="360" w:lineRule="auto"/>
        <w:ind w:firstLine="480"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color w:val="000000"/>
          <w:sz w:val="24"/>
          <w:szCs w:val="24"/>
          <w:highlight w:val="none"/>
          <w:lang w:bidi="ar"/>
        </w:rPr>
        <w:t>合同执行过程中，若国家税收法律政策变更，按最新的税率计算含税总价</w:t>
      </w:r>
      <w:r>
        <w:rPr>
          <w:rFonts w:hint="eastAsia" w:ascii="仿宋" w:hAnsi="仿宋" w:eastAsia="仿宋" w:cs="仿宋"/>
          <w:b/>
          <w:color w:val="000000"/>
          <w:sz w:val="24"/>
          <w:szCs w:val="24"/>
          <w:highlight w:val="none"/>
          <w:lang w:bidi="ar"/>
        </w:rPr>
        <w:t>。</w:t>
      </w:r>
    </w:p>
    <w:p w14:paraId="33D961C5">
      <w:pPr>
        <w:widowControl/>
        <w:snapToGrid w:val="0"/>
        <w:spacing w:line="360" w:lineRule="auto"/>
        <w:ind w:firstLine="482"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b/>
          <w:color w:val="000000"/>
          <w:sz w:val="24"/>
          <w:szCs w:val="24"/>
          <w:highlight w:val="none"/>
          <w:lang w:val="en-US" w:eastAsia="zh-CN" w:bidi="ar"/>
        </w:rPr>
        <w:t>鉴于药剂原材料市场价格不可避免存在波动，</w:t>
      </w:r>
      <w:r>
        <w:rPr>
          <w:rFonts w:hint="eastAsia" w:ascii="仿宋" w:hAnsi="仿宋" w:eastAsia="仿宋" w:cs="仿宋"/>
          <w:b/>
          <w:color w:val="000000"/>
          <w:sz w:val="24"/>
          <w:szCs w:val="24"/>
          <w:highlight w:val="none"/>
          <w:lang w:eastAsia="zh-CN" w:bidi="ar"/>
        </w:rPr>
        <w:t>中标的综合单价除税金外，若价格因市场变化因素变动超过5%，对于超出部分经双方协商同意后，按协商后的只对超出5%的部分进行调整。</w:t>
      </w:r>
    </w:p>
    <w:p w14:paraId="79EEC49F">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3.包装标准、包装物回收及费用承担</w:t>
      </w:r>
    </w:p>
    <w:p w14:paraId="3B15306C">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3.1包装物材料及包装方式必须同时符合国家有关要求，包装费用由乙方承担；</w:t>
      </w:r>
    </w:p>
    <w:p w14:paraId="0E48619D">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 包装不符合标准造成产品毁损灭失或其他后果的，由乙方承担相应责任；</w:t>
      </w:r>
    </w:p>
    <w:p w14:paraId="74377477">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3.3乙方负责对运送到甲方指定地点的货物进行装卸以及对废弃的包装物进行处理。</w:t>
      </w:r>
    </w:p>
    <w:p w14:paraId="2BDDA020">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4.质量标准</w:t>
      </w:r>
    </w:p>
    <w:p w14:paraId="15C02752">
      <w:pPr>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4.1 供货内容应符合下述标准：</w:t>
      </w:r>
      <w:r>
        <w:rPr>
          <w:rFonts w:hint="eastAsia" w:ascii="仿宋" w:hAnsi="仿宋" w:eastAsia="仿宋" w:cs="仿宋"/>
          <w:sz w:val="24"/>
          <w:szCs w:val="24"/>
          <w:highlight w:val="none"/>
          <w:u w:val="single"/>
        </w:rPr>
        <w:t>符合国家颁布的相关药剂指标标准</w:t>
      </w:r>
      <w:r>
        <w:rPr>
          <w:rFonts w:hint="eastAsia" w:ascii="仿宋" w:hAnsi="仿宋" w:eastAsia="仿宋" w:cs="仿宋"/>
          <w:sz w:val="24"/>
          <w:szCs w:val="24"/>
          <w:highlight w:val="none"/>
          <w:u w:val="single"/>
          <w:lang w:eastAsia="zh-CN"/>
        </w:rPr>
        <w:t>和甲方指标要求</w:t>
      </w:r>
      <w:r>
        <w:rPr>
          <w:rFonts w:hint="eastAsia" w:ascii="仿宋" w:hAnsi="仿宋" w:eastAsia="仿宋" w:cs="仿宋"/>
          <w:sz w:val="24"/>
          <w:szCs w:val="24"/>
          <w:highlight w:val="none"/>
        </w:rPr>
        <w:t>；</w:t>
      </w:r>
    </w:p>
    <w:p w14:paraId="2803BB95">
      <w:pPr>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4.2 药剂指标要求：</w:t>
      </w:r>
    </w:p>
    <w:tbl>
      <w:tblPr>
        <w:tblStyle w:val="42"/>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3182"/>
        <w:gridCol w:w="1678"/>
        <w:gridCol w:w="1924"/>
      </w:tblGrid>
      <w:tr w14:paraId="7BFB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14:paraId="5D5325B3">
            <w:pPr>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药剂名称</w:t>
            </w:r>
          </w:p>
        </w:tc>
        <w:tc>
          <w:tcPr>
            <w:tcW w:w="3182" w:type="dxa"/>
            <w:tcBorders>
              <w:top w:val="single" w:color="auto" w:sz="4" w:space="0"/>
              <w:left w:val="single" w:color="auto" w:sz="4" w:space="0"/>
              <w:bottom w:val="single" w:color="auto" w:sz="4" w:space="0"/>
              <w:right w:val="single" w:color="auto" w:sz="4" w:space="0"/>
            </w:tcBorders>
            <w:noWrap w:val="0"/>
            <w:vAlign w:val="center"/>
          </w:tcPr>
          <w:p w14:paraId="7D479C39">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指标要求</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3C678CBC">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处理效果</w:t>
            </w:r>
          </w:p>
        </w:tc>
        <w:tc>
          <w:tcPr>
            <w:tcW w:w="1924" w:type="dxa"/>
            <w:tcBorders>
              <w:top w:val="single" w:color="auto" w:sz="4" w:space="0"/>
              <w:left w:val="single" w:color="auto" w:sz="4" w:space="0"/>
              <w:bottom w:val="single" w:color="auto" w:sz="4" w:space="0"/>
              <w:right w:val="single" w:color="auto" w:sz="4" w:space="0"/>
            </w:tcBorders>
            <w:noWrap w:val="0"/>
            <w:vAlign w:val="center"/>
          </w:tcPr>
          <w:p w14:paraId="48F39A81">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执行标准</w:t>
            </w:r>
          </w:p>
        </w:tc>
      </w:tr>
      <w:tr w14:paraId="6E43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14:paraId="6C2E70D8">
            <w:pPr>
              <w:keepNext w:val="0"/>
              <w:pageBreakBefore w:val="0"/>
              <w:widowControl w:val="0"/>
              <w:numPr>
                <w:ilvl w:val="0"/>
                <w:numId w:val="0"/>
              </w:numPr>
              <w:kinsoku/>
              <w:wordWrap/>
              <w:overflowPunct/>
              <w:topLinePunct w:val="0"/>
              <w:autoSpaceDE/>
              <w:autoSpaceDN/>
              <w:bidi w:val="0"/>
              <w:spacing w:line="600" w:lineRule="exact"/>
              <w:ind w:left="0" w:leftChars="0" w:firstLine="0" w:firstLineChars="0"/>
              <w:jc w:val="center"/>
              <w:rPr>
                <w:rFonts w:hint="eastAsia" w:ascii="仿宋" w:hAnsi="仿宋" w:eastAsia="仿宋" w:cs="仿宋"/>
                <w:color w:val="auto"/>
                <w:sz w:val="24"/>
                <w:szCs w:val="24"/>
                <w:highlight w:val="none"/>
                <w:lang w:eastAsia="zh-CN"/>
              </w:rPr>
            </w:pPr>
          </w:p>
        </w:tc>
        <w:tc>
          <w:tcPr>
            <w:tcW w:w="3182" w:type="dxa"/>
            <w:tcBorders>
              <w:top w:val="single" w:color="auto" w:sz="4" w:space="0"/>
              <w:left w:val="single" w:color="auto" w:sz="4" w:space="0"/>
              <w:bottom w:val="single" w:color="auto" w:sz="4" w:space="0"/>
              <w:right w:val="single" w:color="auto" w:sz="4" w:space="0"/>
            </w:tcBorders>
            <w:noWrap w:val="0"/>
            <w:vAlign w:val="center"/>
          </w:tcPr>
          <w:p w14:paraId="2BAA616E">
            <w:pPr>
              <w:snapToGrid w:val="0"/>
              <w:spacing w:line="460" w:lineRule="exact"/>
              <w:jc w:val="left"/>
              <w:rPr>
                <w:rFonts w:hint="eastAsia" w:ascii="仿宋" w:hAnsi="仿宋" w:eastAsia="仿宋" w:cs="仿宋"/>
                <w:color w:val="auto"/>
                <w:sz w:val="24"/>
                <w:szCs w:val="24"/>
                <w:highlight w:val="none"/>
                <w:lang w:val="en-US"/>
              </w:rPr>
            </w:pPr>
          </w:p>
        </w:tc>
        <w:tc>
          <w:tcPr>
            <w:tcW w:w="1678" w:type="dxa"/>
            <w:tcBorders>
              <w:top w:val="single" w:color="auto" w:sz="4" w:space="0"/>
              <w:left w:val="single" w:color="auto" w:sz="4" w:space="0"/>
              <w:bottom w:val="single" w:color="auto" w:sz="4" w:space="0"/>
              <w:right w:val="single" w:color="auto" w:sz="4" w:space="0"/>
            </w:tcBorders>
            <w:noWrap w:val="0"/>
            <w:vAlign w:val="center"/>
          </w:tcPr>
          <w:p w14:paraId="2EBB5851">
            <w:pPr>
              <w:widowControl/>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使用效果满足污水厂出水水质要求</w:t>
            </w:r>
          </w:p>
        </w:tc>
        <w:tc>
          <w:tcPr>
            <w:tcW w:w="1924" w:type="dxa"/>
            <w:tcBorders>
              <w:top w:val="single" w:color="auto" w:sz="4" w:space="0"/>
              <w:left w:val="single" w:color="auto" w:sz="4" w:space="0"/>
              <w:bottom w:val="single" w:color="auto" w:sz="4" w:space="0"/>
              <w:right w:val="single" w:color="auto" w:sz="4" w:space="0"/>
            </w:tcBorders>
            <w:noWrap w:val="0"/>
            <w:vAlign w:val="center"/>
          </w:tcPr>
          <w:p w14:paraId="149D992F">
            <w:pPr>
              <w:widowControl/>
              <w:snapToGrid w:val="0"/>
              <w:spacing w:line="360" w:lineRule="auto"/>
              <w:jc w:val="center"/>
              <w:rPr>
                <w:rFonts w:hint="eastAsia" w:ascii="仿宋" w:hAnsi="仿宋" w:eastAsia="仿宋" w:cs="仿宋"/>
                <w:color w:val="auto"/>
                <w:sz w:val="24"/>
                <w:szCs w:val="24"/>
                <w:highlight w:val="none"/>
              </w:rPr>
            </w:pPr>
          </w:p>
        </w:tc>
      </w:tr>
    </w:tbl>
    <w:p w14:paraId="05096615">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4.3乙方根据甲方货物使用计划要求进行供货，每批次货物应付资料为：</w:t>
      </w:r>
    </w:p>
    <w:p w14:paraId="500121BA">
      <w:pPr>
        <w:keepNext w:val="0"/>
        <w:keepLines w:val="0"/>
        <w:pageBreakBefore w:val="0"/>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药剂送货单、过磅单。</w:t>
      </w:r>
    </w:p>
    <w:p w14:paraId="143E69F2">
      <w:pPr>
        <w:keepNext w:val="0"/>
        <w:keepLines w:val="0"/>
        <w:pageBreakBefore w:val="0"/>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药剂出厂检验报告单。</w:t>
      </w:r>
    </w:p>
    <w:p w14:paraId="764C0004">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4.4 货物外包装要求:</w:t>
      </w:r>
    </w:p>
    <w:p w14:paraId="0B87F380">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（1）包装规格按照国家、行业标准包装，同时应有利于药剂使用、仓储及物流运输，包装费用包含在药剂价格内。</w:t>
      </w:r>
    </w:p>
    <w:p w14:paraId="43B09DE5">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（2）定量包装允许合理误差范围，标注净含量的1%。</w:t>
      </w:r>
    </w:p>
    <w:p w14:paraId="09889B68">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（3）罐车过磅量与乙方提供的过磅单据允许误差范围为1‰。</w:t>
      </w:r>
    </w:p>
    <w:p w14:paraId="665FDC6A">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5乙方所提供的产品到达现场后，甲方对产品质量和数量进行验收。数量验收方面，固定包装固体类药剂，现场清点确定。液体类药剂过磅计量确定。产品质量验收方面，甲方每月委托指定单位对投标方供应药剂进行抽检，抽检结果不合格时：（1）如抽检不合格药剂尚未使用，甲方有权要求乙方对抽检不合格批次药剂进行更换，因产品质量问题给甲方造成的一切损失由乙方负责赔偿；（2）如抽检不合格药剂已经使用，甲方有权对乙方该批次药剂不予结算采购金额（采购金额=药剂结算单价*经抽检确定为不合格的同批次药剂总量）。另外，因产品质量问题给甲方造成的一切损失亦由乙方负责赔偿；（3）药剂每月抽检的检测单位由甲方确定，抽检结果即为唯一最终结果，不接受质疑。乙方委托其他检测单位进行药剂检验的结果，甲方不予认可。</w:t>
      </w:r>
    </w:p>
    <w:p w14:paraId="7FD646C9">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sz w:val="24"/>
          <w:szCs w:val="24"/>
          <w:highlight w:val="none"/>
          <w:lang w:val="en-US" w:eastAsia="zh-CN"/>
        </w:rPr>
        <w:t>4.6鉴于药剂抽检检测过程中，不可避免可能存在误差。因此，如抽检结果与本合同约定的指标要求的误差范围在±2%以内（含±2%），则视为抽检合格。</w:t>
      </w:r>
    </w:p>
    <w:p w14:paraId="0ED5A692">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5.交货与运输</w:t>
      </w:r>
    </w:p>
    <w:p w14:paraId="45CCC0A3">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5.1交货时间</w:t>
      </w:r>
      <w:r>
        <w:rPr>
          <w:rFonts w:hint="eastAsia" w:ascii="仿宋" w:hAnsi="仿宋" w:eastAsia="仿宋" w:cs="仿宋"/>
          <w:sz w:val="24"/>
          <w:szCs w:val="24"/>
          <w:highlight w:val="none"/>
          <w:lang w:eastAsia="zh-CN"/>
        </w:rPr>
        <w:t>：自接到</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通知之日起，按照通知要求在</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日内将货物运抵</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指定地点，药剂按批次采购，单次实际采购量以</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通知为准。</w:t>
      </w:r>
    </w:p>
    <w:p w14:paraId="54B9FE28">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5.2具体交货时间、数量、品种等具体要求根据甲方发出的采购订单执行。乙方在接到甲方发出的采购订单后，</w:t>
      </w:r>
      <w:r>
        <w:rPr>
          <w:rFonts w:hint="eastAsia" w:ascii="仿宋" w:hAnsi="仿宋" w:eastAsia="仿宋" w:cs="仿宋"/>
          <w:sz w:val="24"/>
          <w:szCs w:val="24"/>
          <w:highlight w:val="none"/>
          <w:lang w:eastAsia="zh-CN"/>
        </w:rPr>
        <w:t>在甲方要求时限内</w:t>
      </w:r>
      <w:r>
        <w:rPr>
          <w:rFonts w:hint="eastAsia" w:ascii="仿宋" w:hAnsi="仿宋" w:eastAsia="仿宋" w:cs="仿宋"/>
          <w:sz w:val="24"/>
          <w:szCs w:val="24"/>
          <w:highlight w:val="none"/>
        </w:rPr>
        <w:t>内将货物运送至甲方指定地点。</w:t>
      </w:r>
    </w:p>
    <w:p w14:paraId="36C8A46E">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5.3交货地点：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甲方</w:t>
      </w:r>
      <w:r>
        <w:rPr>
          <w:rFonts w:hint="eastAsia" w:ascii="仿宋" w:hAnsi="仿宋" w:eastAsia="仿宋" w:cs="仿宋"/>
          <w:sz w:val="24"/>
          <w:szCs w:val="24"/>
          <w:highlight w:val="none"/>
          <w:u w:val="single"/>
        </w:rPr>
        <w:t>指定交货地点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。如甲方根据实际情况需要改变交货地点的，以甲方向乙方发出的采购订单为准；如甲方在采购订单上没有记载交货地点的，以</w:t>
      </w:r>
      <w:r>
        <w:rPr>
          <w:rFonts w:hint="eastAsia" w:ascii="仿宋" w:hAnsi="仿宋" w:eastAsia="仿宋" w:cs="仿宋"/>
          <w:sz w:val="24"/>
          <w:szCs w:val="24"/>
          <w:highlight w:val="none"/>
          <w:lang w:eastAsia="zh-CN"/>
        </w:rPr>
        <w:t>以下</w:t>
      </w:r>
      <w:r>
        <w:rPr>
          <w:rFonts w:hint="eastAsia" w:ascii="仿宋" w:hAnsi="仿宋" w:eastAsia="仿宋" w:cs="仿宋"/>
          <w:sz w:val="24"/>
          <w:szCs w:val="24"/>
          <w:highlight w:val="none"/>
        </w:rPr>
        <w:t>交货地点为准</w:t>
      </w:r>
      <w:r>
        <w:rPr>
          <w:rFonts w:hint="eastAsia" w:ascii="仿宋" w:hAnsi="仿宋" w:eastAsia="仿宋" w:cs="仿宋"/>
          <w:sz w:val="24"/>
          <w:szCs w:val="24"/>
          <w:highlight w:val="none"/>
          <w:lang w:eastAsia="zh-CN"/>
        </w:rPr>
        <w:t>：</w:t>
      </w:r>
    </w:p>
    <w:p w14:paraId="5E03FCB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威海水务投资公司经区污水处理厂（威海市经济技术开发区崮山路6号）</w:t>
      </w:r>
    </w:p>
    <w:p w14:paraId="4C0D24F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威海水务投资公司初村污水处理厂（威海市初村镇职业学院北）</w:t>
      </w:r>
    </w:p>
    <w:p w14:paraId="1B0AF39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威海水务投资公司高区污水处理厂（威海市高区营口路1号）</w:t>
      </w:r>
    </w:p>
    <w:p w14:paraId="4630133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威海水务投资公司临港区污水处理厂（威海市临港区草庙子镇曹格庄村）</w:t>
      </w:r>
    </w:p>
    <w:p w14:paraId="773770A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威海水务投资公司渗滤液处理中心（威海市环翠区张村镇天目路）</w:t>
      </w:r>
    </w:p>
    <w:p w14:paraId="472FDF6E">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5.4 乙方应使用符合本合同产品特性要求的车况好、手续齐全的运输工具、采用安全合理的运输路线运送产品；运输过程应符合国家标准及环保要求，出现的货物灭失、短少、变质、污染、损坏、安全事故等由乙方全部承担</w:t>
      </w:r>
      <w:r>
        <w:rPr>
          <w:rFonts w:hint="eastAsia" w:ascii="仿宋" w:hAnsi="仿宋" w:eastAsia="仿宋" w:cs="仿宋"/>
          <w:b/>
          <w:sz w:val="24"/>
          <w:szCs w:val="24"/>
          <w:highlight w:val="none"/>
        </w:rPr>
        <w:t>（涉及危化品的，其运输必须具备危化品运输许可证书）。</w:t>
      </w:r>
    </w:p>
    <w:p w14:paraId="3ABB1B3F">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5.5 产品的运输、运输费用、装卸费用由乙方承担。</w:t>
      </w:r>
    </w:p>
    <w:p w14:paraId="2D54B1C3">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5.6其他：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14:paraId="19401514">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6.所有权与风险转移</w:t>
      </w:r>
    </w:p>
    <w:p w14:paraId="40FD215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 商品的所有权，只有乙方将货物运至交货地点并完成落地交货和现场验收合格且出具甲方签字的单据时，由乙方转移至甲方；</w:t>
      </w:r>
    </w:p>
    <w:p w14:paraId="6F7FA7C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6.2 货物毁损、灭失的风险随所有权同时转移；</w:t>
      </w:r>
    </w:p>
    <w:p w14:paraId="2E06A89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6.3 在拒收或者解除合同的情形下，货物毁损、灭失的风险由乙方承担；</w:t>
      </w:r>
    </w:p>
    <w:p w14:paraId="21E7BE5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6.4 所有权和风险的转移，如另有约定的从其约定。所有权和风险的转移，不影响因乙方履行义务符合约定，甲方要求其承担违约责任的权利；</w:t>
      </w:r>
    </w:p>
    <w:p w14:paraId="6981288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6.5 货物运抵交货地点后，甲方应组织现场验收并根据检验情况如实出具相应的验收报告。</w:t>
      </w:r>
    </w:p>
    <w:p w14:paraId="4417B2FF">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7.验收</w:t>
      </w:r>
    </w:p>
    <w:p w14:paraId="1FD3B88B">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 货到现场后甲方应对到货物资的规格型号、数量及外观质量、检验报告及原产地证明进行初步验收；在初步验收后按照4.5进行，其中第三方检测单位由甲方指定。</w:t>
      </w:r>
    </w:p>
    <w:p w14:paraId="34A99012">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7.2 如甲方验收不合格，应于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7</w:t>
      </w:r>
      <w:r>
        <w:rPr>
          <w:rFonts w:hint="eastAsia" w:ascii="仿宋" w:hAnsi="仿宋" w:eastAsia="仿宋" w:cs="仿宋"/>
          <w:sz w:val="24"/>
          <w:szCs w:val="24"/>
          <w:highlight w:val="none"/>
        </w:rPr>
        <w:t>个工作日内通知乙方进行复验，经双方共同确认不合格后，甲方有权要求办理退货，由此产生的一切后果及费用由乙方承担；</w:t>
      </w:r>
    </w:p>
    <w:p w14:paraId="1F7FD3DA">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7.3 如验收过程中出现争议，双方应采取有效措施保护现场并协商解决，协商不成的双方可委托第三方机构进行评价裁定，按本合同相关规定执行。</w:t>
      </w:r>
    </w:p>
    <w:p w14:paraId="0D503D45">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7.4 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14:paraId="456F5084">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8.结算及付款</w:t>
      </w:r>
    </w:p>
    <w:p w14:paraId="42C44CD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8.1 结算确认</w:t>
      </w:r>
    </w:p>
    <w:p w14:paraId="0C22AAB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采购物资报验单</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为依据对合同事项进行确认，甲方须凭乙方提交的以下支付文件进行支付：</w:t>
      </w:r>
    </w:p>
    <w:p w14:paraId="7637DA6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（1） 乙方出具的经甲方确认的支付申请书；</w:t>
      </w:r>
    </w:p>
    <w:p w14:paraId="23E4DBF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（2） 由乙方出具的交货清单，标明品名、数量、型号、规格；</w:t>
      </w:r>
    </w:p>
    <w:p w14:paraId="0493057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（3） 本批货物的出厂合格证；</w:t>
      </w:r>
    </w:p>
    <w:p w14:paraId="383FB8D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（4） 由制造商签署的质量证明书（经销商提供）；</w:t>
      </w:r>
    </w:p>
    <w:p w14:paraId="0A88D7D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（5） 一、二次验收（如有）质量检验报告。</w:t>
      </w:r>
    </w:p>
    <w:p w14:paraId="52B67C1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8.2 付款方式</w:t>
      </w:r>
    </w:p>
    <w:p w14:paraId="0DA43AD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color w:val="000000"/>
          <w:sz w:val="24"/>
          <w:szCs w:val="24"/>
          <w:highlight w:val="none"/>
          <w:u w:val="single"/>
        </w:rPr>
      </w:pPr>
      <w:r>
        <w:rPr>
          <w:rFonts w:hint="eastAsia" w:ascii="仿宋" w:hAnsi="仿宋" w:eastAsia="仿宋" w:cs="仿宋"/>
          <w:b w:val="0"/>
          <w:bCs/>
          <w:color w:val="000000"/>
          <w:sz w:val="24"/>
          <w:szCs w:val="24"/>
          <w:highlight w:val="none"/>
        </w:rPr>
        <w:t>（1）</w:t>
      </w:r>
      <w:r>
        <w:rPr>
          <w:rFonts w:hint="eastAsia" w:ascii="仿宋" w:hAnsi="仿宋" w:eastAsia="仿宋" w:cs="仿宋"/>
          <w:b w:val="0"/>
          <w:bCs/>
          <w:color w:val="000000"/>
          <w:sz w:val="24"/>
          <w:szCs w:val="24"/>
          <w:highlight w:val="none"/>
          <w:u w:val="single"/>
          <w:lang w:val="en-US" w:eastAsia="zh-CN"/>
        </w:rPr>
        <w:t>货到验收合格后甲方办理入库手续，双方每月定期对当月的药剂采购量和采购金额进行核对，乙方应在采购量和采购金额核对无误后，及时开具增值税专用发票。甲方根据到厂物资报验单/送货单、验收入库单、增值税专用发票等作为结算确认依据。甲方每年安排三次付款，每次付款比例不超过账面应付账款的30%。</w:t>
      </w:r>
    </w:p>
    <w:p w14:paraId="18590C4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）其他：</w:t>
      </w:r>
      <w:r>
        <w:rPr>
          <w:rFonts w:hint="eastAsia" w:ascii="仿宋" w:hAnsi="仿宋" w:eastAsia="仿宋" w:cs="仿宋"/>
          <w:sz w:val="24"/>
          <w:szCs w:val="24"/>
          <w:highlight w:val="none"/>
          <w:u w:val="single"/>
          <w:lang w:eastAsia="zh-CN"/>
        </w:rPr>
        <w:t>未尽事宜由双方协商确定。</w:t>
      </w:r>
    </w:p>
    <w:p w14:paraId="040C4FC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8.3 发票信息（付款方）：</w:t>
      </w:r>
    </w:p>
    <w:tbl>
      <w:tblPr>
        <w:tblStyle w:val="42"/>
        <w:tblW w:w="9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1"/>
        <w:gridCol w:w="3356"/>
        <w:gridCol w:w="1787"/>
        <w:gridCol w:w="2853"/>
      </w:tblGrid>
      <w:tr w14:paraId="55CFB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0721E16E">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公司名称</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0413A971">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威海水务投资有限责任公司</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11ECD2D0">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纳税人识别号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37372DEF">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91371000080896598M</w:t>
            </w:r>
          </w:p>
        </w:tc>
      </w:tr>
      <w:tr w14:paraId="683FB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2514BA83">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公司地址</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5CE8B809">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威海市经区崮山路</w:t>
            </w:r>
            <w:r>
              <w:rPr>
                <w:rFonts w:hint="eastAsia" w:ascii="仿宋" w:hAnsi="仿宋" w:eastAsia="仿宋" w:cs="仿宋"/>
                <w:sz w:val="24"/>
                <w:szCs w:val="24"/>
                <w:highlight w:val="none"/>
                <w:lang w:val="en-US" w:eastAsia="zh-CN"/>
              </w:rPr>
              <w:t>6号</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7643084E">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217248DE">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15610751188</w:t>
            </w:r>
          </w:p>
        </w:tc>
      </w:tr>
      <w:tr w14:paraId="22C28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57A48BE6">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开户行</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244B39D1">
            <w:pPr>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交通银行威海经区支行</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3C712AC5">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账号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6FCC79A1">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401006200018010095533</w:t>
            </w:r>
          </w:p>
        </w:tc>
      </w:tr>
    </w:tbl>
    <w:p w14:paraId="4F267BB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9.质保及售后</w:t>
      </w:r>
    </w:p>
    <w:p w14:paraId="37781EB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9.1 质保期内实行质量“三包”。在质保期内出现的一切货物质量问题，由乙方承担全部责任，包括但不限于无偿调配试剂、更换货物、退货以及赔偿损失。如乙方提供的产品质量不符合国家标准要求、不符合约定的标准或有其它质量问题，经证实后，甲方有权4.5</w:t>
      </w:r>
      <w:r>
        <w:rPr>
          <w:rFonts w:hint="eastAsia" w:ascii="仿宋" w:hAnsi="仿宋" w:eastAsia="仿宋" w:cs="仿宋"/>
          <w:sz w:val="24"/>
          <w:szCs w:val="24"/>
          <w:highlight w:val="none"/>
          <w:lang w:eastAsia="zh-CN"/>
        </w:rPr>
        <w:t>规定</w:t>
      </w:r>
      <w:r>
        <w:rPr>
          <w:rFonts w:hint="eastAsia" w:ascii="仿宋" w:hAnsi="仿宋" w:eastAsia="仿宋" w:cs="仿宋"/>
          <w:sz w:val="24"/>
          <w:szCs w:val="24"/>
          <w:highlight w:val="none"/>
        </w:rPr>
        <w:t>要求退</w:t>
      </w:r>
      <w:r>
        <w:rPr>
          <w:rFonts w:hint="eastAsia" w:ascii="仿宋" w:hAnsi="仿宋" w:eastAsia="仿宋" w:cs="仿宋"/>
          <w:sz w:val="24"/>
          <w:szCs w:val="24"/>
          <w:highlight w:val="none"/>
          <w:lang w:eastAsia="zh-CN"/>
        </w:rPr>
        <w:t>换</w:t>
      </w:r>
      <w:r>
        <w:rPr>
          <w:rFonts w:hint="eastAsia" w:ascii="仿宋" w:hAnsi="仿宋" w:eastAsia="仿宋" w:cs="仿宋"/>
          <w:sz w:val="24"/>
          <w:szCs w:val="24"/>
          <w:highlight w:val="none"/>
        </w:rPr>
        <w:t>货</w:t>
      </w:r>
      <w:r>
        <w:rPr>
          <w:rFonts w:hint="eastAsia" w:ascii="仿宋" w:hAnsi="仿宋" w:eastAsia="仿宋" w:cs="仿宋"/>
          <w:sz w:val="24"/>
          <w:szCs w:val="24"/>
          <w:highlight w:val="none"/>
          <w:lang w:eastAsia="zh-CN"/>
        </w:rPr>
        <w:t>或进行追责处罚</w:t>
      </w:r>
      <w:r>
        <w:rPr>
          <w:rFonts w:hint="eastAsia" w:ascii="仿宋" w:hAnsi="仿宋" w:eastAsia="仿宋" w:cs="仿宋"/>
          <w:sz w:val="24"/>
          <w:szCs w:val="24"/>
          <w:highlight w:val="none"/>
        </w:rPr>
        <w:t>，并由乙方承担违约责任和由于质量问题所发生的损失及费用。</w:t>
      </w:r>
    </w:p>
    <w:p w14:paraId="652F503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9.2乙方对所提供的药剂质量负责，提供的药剂必须符合国家、行业标准和合同约定标准，并与送交甲方的药剂检验合格证明中的检验结果保持一致。</w:t>
      </w:r>
    </w:p>
    <w:p w14:paraId="19C12FD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 药剂调试：需要在现场进行药剂调试时，乙方在接到甲方的维护或技术服务通知后，应在合理的期限内（</w:t>
      </w:r>
      <w:r>
        <w:rPr>
          <w:rFonts w:hint="eastAsia" w:ascii="仿宋" w:hAnsi="仿宋" w:eastAsia="仿宋" w:cs="仿宋"/>
          <w:sz w:val="24"/>
          <w:szCs w:val="24"/>
          <w:highlight w:val="none"/>
          <w:lang w:val="en-US" w:eastAsia="zh-CN"/>
        </w:rPr>
        <w:t>48</w:t>
      </w:r>
      <w:r>
        <w:rPr>
          <w:rFonts w:hint="eastAsia" w:ascii="仿宋" w:hAnsi="仿宋" w:eastAsia="仿宋" w:cs="仿宋"/>
          <w:sz w:val="24"/>
          <w:szCs w:val="24"/>
          <w:highlight w:val="none"/>
        </w:rPr>
        <w:t>小时/</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个工作日内）派相关人员前往甲方指定地点进行调试。若经调试后仍不能保证药剂的正常使用，甲方有权选择采取下列措施：</w:t>
      </w:r>
    </w:p>
    <w:p w14:paraId="77FF7E0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（1）要求乙方更换同种型号的同类新产品，相关一切费用由乙方承担；</w:t>
      </w:r>
    </w:p>
    <w:p w14:paraId="62394C9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（2）要求退货退款，所涉及相关费用（包括但不限于运输费、咨装卸费、税费）由乙方承担。</w:t>
      </w:r>
    </w:p>
    <w:p w14:paraId="3B43B69B">
      <w:pPr>
        <w:keepNext w:val="0"/>
        <w:keepLines w:val="0"/>
        <w:pageBreakBefore w:val="0"/>
        <w:kinsoku/>
        <w:wordWrap/>
        <w:overflowPunct/>
        <w:topLinePunct w:val="0"/>
        <w:autoSpaceDE/>
        <w:autoSpaceDN/>
        <w:bidi w:val="0"/>
        <w:adjustRightInd/>
        <w:snapToGrid w:val="0"/>
        <w:spacing w:line="360" w:lineRule="auto"/>
        <w:ind w:firstLine="482" w:firstLineChars="200"/>
        <w:jc w:val="left"/>
        <w:textAlignment w:val="auto"/>
        <w:rPr>
          <w:rFonts w:hint="default" w:ascii="仿宋" w:hAnsi="仿宋" w:eastAsia="仿宋" w:cs="仿宋"/>
          <w:b/>
          <w:bCs/>
          <w:sz w:val="24"/>
          <w:szCs w:val="24"/>
          <w:highlight w:val="none"/>
        </w:rPr>
      </w:pPr>
      <w:r>
        <w:rPr>
          <w:rFonts w:hint="default" w:ascii="仿宋" w:hAnsi="仿宋" w:eastAsia="仿宋" w:cs="仿宋"/>
          <w:b/>
          <w:bCs/>
          <w:sz w:val="24"/>
          <w:szCs w:val="24"/>
          <w:highlight w:val="none"/>
        </w:rPr>
        <w:t>9.</w:t>
      </w:r>
      <w:r>
        <w:rPr>
          <w:rFonts w:hint="default" w:ascii="仿宋" w:hAnsi="仿宋" w:eastAsia="仿宋" w:cs="仿宋"/>
          <w:b/>
          <w:bCs/>
          <w:sz w:val="24"/>
          <w:szCs w:val="24"/>
          <w:highlight w:val="none"/>
          <w:lang w:val="en-US" w:eastAsia="zh-CN"/>
        </w:rPr>
        <w:t>4</w:t>
      </w:r>
      <w:r>
        <w:rPr>
          <w:rFonts w:hint="default" w:ascii="仿宋" w:hAnsi="仿宋" w:eastAsia="仿宋" w:cs="仿宋"/>
          <w:b/>
          <w:bCs/>
          <w:sz w:val="24"/>
          <w:szCs w:val="24"/>
          <w:highlight w:val="none"/>
        </w:rPr>
        <w:t xml:space="preserve"> 应急供货的时间要求：24小时；服务响应的时间要求：乙方在得到甲方通知后2小时内进行电话或邮件响应，如电话或邮件未能解决问题则在12小时内前往现场进行调试；</w:t>
      </w:r>
    </w:p>
    <w:p w14:paraId="62ABFE0F">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10.双方其他义务</w:t>
      </w:r>
    </w:p>
    <w:p w14:paraId="707CC533">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10.1 甲方义务</w:t>
      </w:r>
    </w:p>
    <w:p w14:paraId="5F27171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（1）甲方应当提前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日就送货的具体时间、地点及收货人等情况跟乙方确认，并向乙方发出采购订单；</w:t>
      </w:r>
    </w:p>
    <w:p w14:paraId="37C2890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（2）甲方应当按照合同约定办理验收、货款结算并支付货款；</w:t>
      </w:r>
    </w:p>
    <w:p w14:paraId="03EEA59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（3）甲方应当按照乙方提示的方法，对货物妥善保管、搬运、使用。因甲方原因导致货物损毁的，由甲方承担相应责任；</w:t>
      </w:r>
    </w:p>
    <w:p w14:paraId="55F3C68C">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（4）甲方指定乙方为本合同所供药剂的唯一供应商。</w:t>
      </w:r>
    </w:p>
    <w:p w14:paraId="71921EB5">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10.2 乙方义务</w:t>
      </w:r>
    </w:p>
    <w:p w14:paraId="379999D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（1）乙方应当按照合同约定保质保量按时供货；</w:t>
      </w:r>
    </w:p>
    <w:p w14:paraId="5354799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（2）乙方应当对货物的保管及使用方法进行技术交底；</w:t>
      </w:r>
    </w:p>
    <w:p w14:paraId="08CFD81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（3）乙方应当明确告知配套使用产品的保质期限或有效期限；</w:t>
      </w:r>
    </w:p>
    <w:p w14:paraId="2FF814B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（4）乙方产品生产商为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14:paraId="18E32CD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（5）乙方为本合同所供药剂的唯一供应商，应直接供应商品，不得转让他人供应；</w:t>
      </w:r>
    </w:p>
    <w:p w14:paraId="531F9E8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（6）乙方按照投标服务承诺履行职责。</w:t>
      </w:r>
    </w:p>
    <w:p w14:paraId="3917EDB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11.违约责任</w:t>
      </w:r>
    </w:p>
    <w:p w14:paraId="7BECDC3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11.1 甲方违约责任</w:t>
      </w:r>
    </w:p>
    <w:p w14:paraId="6242BAA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（1）由于甲方原因导致货物交接地点或收货人错误的，甲方应当承担由此给乙方造成的损失，交货期限顺延。</w:t>
      </w:r>
    </w:p>
    <w:p w14:paraId="0CB4E90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11.2 乙方违约责任</w:t>
      </w:r>
    </w:p>
    <w:p w14:paraId="1C53B07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（1）如乙方所交产品品种、型号、规格、质量不符合合同规定的，乙方应承担所有的退货费用及因此引起的损失；</w:t>
      </w:r>
    </w:p>
    <w:p w14:paraId="0D7819E6">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（2）乙方逾期交货的，每延误一天，甲方有权扣除当期货款的千分之一。逾期</w:t>
      </w: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u w:val="single"/>
          <w:lang w:eastAsia="zh-CN"/>
        </w:rPr>
        <w:t>三</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rPr>
        <w:t>天后仍未交货的，甲方有权终止本合同，选择其他供应商；</w:t>
      </w:r>
    </w:p>
    <w:p w14:paraId="244A023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因乙方所供产品质量瑕疵或缺陷等原因，引起甲方在生产、使用上的发生损失或事故，乙方应承担违约责任和赔偿责任，赔偿甲方的直接经济损失和因此导致甲方重新购买同类产品的合理差价、甲方因此需向第三方承担的违约责任、赔偿责任等相关间接经济损失，</w:t>
      </w:r>
      <w:r>
        <w:rPr>
          <w:rFonts w:hint="eastAsia" w:ascii="仿宋" w:hAnsi="仿宋" w:eastAsia="仿宋" w:cs="仿宋"/>
          <w:sz w:val="24"/>
          <w:szCs w:val="24"/>
          <w:highlight w:val="none"/>
        </w:rPr>
        <w:t>并接受甲方按中标候选人顺位排序选择新的供货方</w:t>
      </w:r>
      <w:r>
        <w:rPr>
          <w:rFonts w:hint="eastAsia" w:ascii="仿宋" w:hAnsi="仿宋" w:eastAsia="仿宋" w:cs="仿宋"/>
          <w:color w:val="000000"/>
          <w:sz w:val="24"/>
          <w:szCs w:val="24"/>
          <w:highlight w:val="none"/>
        </w:rPr>
        <w:t>；</w:t>
      </w:r>
    </w:p>
    <w:p w14:paraId="26F3C9E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（4）如乙方交货少于甲方采购订单所规定的数量及品种，甲方有权要求乙方按采购订单所规定的数量品种供货或补齐，乙方须及时供货或补齐。未及时补齐的，甲方有权扣除未供货或未补齐部分产品总价的</w:t>
      </w:r>
      <w:r>
        <w:rPr>
          <w:rFonts w:hint="eastAsia" w:ascii="仿宋" w:hAnsi="仿宋" w:eastAsia="仿宋" w:cs="仿宋"/>
          <w:color w:val="000000"/>
          <w:sz w:val="24"/>
          <w:szCs w:val="24"/>
          <w:highlight w:val="none"/>
          <w:u w:val="single"/>
        </w:rPr>
        <w:t xml:space="preserve"> 1% </w:t>
      </w:r>
      <w:r>
        <w:rPr>
          <w:rFonts w:hint="eastAsia" w:ascii="仿宋" w:hAnsi="仿宋" w:eastAsia="仿宋" w:cs="仿宋"/>
          <w:color w:val="000000"/>
          <w:sz w:val="24"/>
          <w:szCs w:val="24"/>
          <w:highlight w:val="none"/>
        </w:rPr>
        <w:t>作为违约金。</w:t>
      </w:r>
    </w:p>
    <w:p w14:paraId="630A057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11.3 其他：</w:t>
      </w:r>
    </w:p>
    <w:p w14:paraId="284E739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12.免责事由</w:t>
      </w:r>
    </w:p>
    <w:p w14:paraId="6488114E">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因不可抗力导致双方或一方不能履行或不能完全履行本合同项下有关义务时，双方互相不承担违约责任。但遇有不可抗力的一方或双方应于不可抗力发生后的15日内将情况告知对方，并提供有关部门的证明。在不可抗力影响消除后的合理时间内，一方或双方应当继续履行合同。</w:t>
      </w:r>
    </w:p>
    <w:p w14:paraId="4CC2D82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不可抗力事件包括水灾、火灾、台风、地震等严重自然灾害、政府行为、罢工、暴乱、战争等。</w:t>
      </w:r>
    </w:p>
    <w:p w14:paraId="18159E3F">
      <w:pPr>
        <w:keepNext w:val="0"/>
        <w:keepLines w:val="0"/>
        <w:pageBreakBefore w:val="0"/>
        <w:tabs>
          <w:tab w:val="left" w:pos="1113"/>
        </w:tabs>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13.合同争议的解决方式</w:t>
      </w:r>
    </w:p>
    <w:p w14:paraId="4C6C13F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本合同履行过程中发生争议，由双方当事人协商解决协商不成的，依法向甲方所在地人民法院起诉。</w:t>
      </w:r>
    </w:p>
    <w:p w14:paraId="740981BE">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14.通知与送达</w:t>
      </w:r>
    </w:p>
    <w:p w14:paraId="0DD39FC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双方因履行本合同发出的通知、文件、资料，均按下列地址送达：</w:t>
      </w:r>
    </w:p>
    <w:p w14:paraId="23E2E97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 xml:space="preserve">                                  </w:t>
      </w:r>
    </w:p>
    <w:p w14:paraId="50AA1F1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u w:val="single"/>
          <w:lang w:val="en-US" w:eastAsia="zh-CN"/>
        </w:rPr>
        <w:t xml:space="preserve">                                  </w:t>
      </w:r>
    </w:p>
    <w:p w14:paraId="5C1417E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一方变更地址，应当及时书面通知对方，否则以原地址为准。</w:t>
      </w:r>
    </w:p>
    <w:p w14:paraId="067FA33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14.2 双方约定的上述地址，同样作为人民法院送达诉讼文书的确认地址，人民法院按照上述地址进行投递的，一经投递即视为当事人已经接收。</w:t>
      </w:r>
    </w:p>
    <w:p w14:paraId="6C01B27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14.3 合同双方以邮寄方式送达的，寄件人应当在邮寄详清单上注明文件名称及简要内容。</w:t>
      </w:r>
    </w:p>
    <w:p w14:paraId="6223DB5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15.其他约定事项</w:t>
      </w:r>
    </w:p>
    <w:p w14:paraId="3DC87FEE">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15.1 合同签订后如需修改，经双方协商一致后，可签订补充合同，该补充合同与本合同具有同等法律效力。</w:t>
      </w:r>
    </w:p>
    <w:p w14:paraId="3D62AEC8">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15.2 合同履行完毕后合同终止。但售后服务承诺不随合同的终止而终止。</w:t>
      </w:r>
    </w:p>
    <w:p w14:paraId="118F952B">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其他：</w:t>
      </w:r>
    </w:p>
    <w:p w14:paraId="4237E2B3">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份，乙方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份，自双方签字盖章之日起生效</w:t>
      </w:r>
      <w:r>
        <w:rPr>
          <w:rFonts w:hint="eastAsia" w:ascii="仿宋" w:hAnsi="仿宋" w:eastAsia="仿宋" w:cs="仿宋"/>
          <w:color w:val="auto"/>
          <w:sz w:val="24"/>
          <w:szCs w:val="24"/>
          <w:highlight w:val="none"/>
          <w:lang w:eastAsia="zh-CN"/>
        </w:rPr>
        <w:t>。</w:t>
      </w:r>
    </w:p>
    <w:p w14:paraId="179DAA54">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4A7B668D">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auto"/>
          <w:sz w:val="24"/>
          <w:szCs w:val="24"/>
          <w:highlight w:val="none"/>
        </w:rPr>
      </w:pPr>
    </w:p>
    <w:tbl>
      <w:tblPr>
        <w:tblStyle w:val="42"/>
        <w:tblpPr w:leftFromText="180" w:rightFromText="180" w:vertAnchor="text" w:horzAnchor="margin" w:tblpXSpec="center" w:tblpY="157"/>
        <w:tblW w:w="10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0"/>
        <w:gridCol w:w="5127"/>
      </w:tblGrid>
      <w:tr w14:paraId="44B7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0" w:type="dxa"/>
            <w:noWrap w:val="0"/>
            <w:vAlign w:val="top"/>
          </w:tcPr>
          <w:p w14:paraId="401E60F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w:t>
            </w:r>
          </w:p>
          <w:p w14:paraId="277AB0E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甲方(章): </w:t>
            </w:r>
          </w:p>
          <w:p w14:paraId="417EB023">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地址： </w:t>
            </w:r>
          </w:p>
          <w:p w14:paraId="4090E09D">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14:paraId="3DF8C7EF">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14:paraId="6DF5D5ED">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电话:   </w:t>
            </w:r>
          </w:p>
          <w:p w14:paraId="7456C83A">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开户行: </w:t>
            </w:r>
          </w:p>
          <w:p w14:paraId="4850231E">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账号： </w:t>
            </w:r>
          </w:p>
          <w:p w14:paraId="2CA117DF">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税号： </w:t>
            </w:r>
          </w:p>
          <w:p w14:paraId="5C8720CF">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c>
          <w:tcPr>
            <w:tcW w:w="5127" w:type="dxa"/>
            <w:noWrap w:val="0"/>
            <w:vAlign w:val="top"/>
          </w:tcPr>
          <w:p w14:paraId="30E08CB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乙方</w:t>
            </w:r>
          </w:p>
          <w:p w14:paraId="646E89AC">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乙方(章)： </w:t>
            </w:r>
          </w:p>
          <w:p w14:paraId="0CEB271B">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地址：</w:t>
            </w:r>
          </w:p>
          <w:p w14:paraId="4DF92EAC">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14:paraId="52402BAE">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14:paraId="2353DFA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电话：</w:t>
            </w:r>
          </w:p>
          <w:p w14:paraId="7C37F9FB">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开户行：</w:t>
            </w:r>
          </w:p>
          <w:p w14:paraId="3EDEE7F7">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账号：</w:t>
            </w:r>
          </w:p>
          <w:p w14:paraId="560D1398">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税号：</w:t>
            </w:r>
          </w:p>
          <w:p w14:paraId="52E615FC">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r>
    </w:tbl>
    <w:p w14:paraId="09E82C9F">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14:paraId="5BB7F843">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14:paraId="4BE0BB7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AB749">
    <w:pPr>
      <w:pStyle w:val="29"/>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a:effectLst/>
                    </wps:spPr>
                    <wps:txbx>
                      <w:txbxContent>
                        <w:p w14:paraId="5488316B">
                          <w:pPr>
                            <w:pStyle w:val="29"/>
                          </w:pPr>
                          <w:r>
                            <w:fldChar w:fldCharType="begin"/>
                          </w:r>
                          <w:r>
                            <w:instrText xml:space="preserve"> PAGE  \* MERGEFORMAT </w:instrText>
                          </w:r>
                          <w:r>
                            <w:fldChar w:fldCharType="separate"/>
                          </w:r>
                          <w:r>
                            <w:t>66</w:t>
                          </w:r>
                          <w:r>
                            <w:fldChar w:fldCharType="end"/>
                          </w:r>
                        </w:p>
                      </w:txbxContent>
                    </wps:txbx>
                    <wps:bodyPr vert="horz" wrap="none" lIns="0" tIns="0" rIns="0" bIns="0" anchor="t"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ADMeA&#10;1AAAAAMBAAAPAAAAAAAAAAEAIAAAACIAAABkcnMvZG93bnJldi54bWxQSwECFAAUAAAACACHTuJA&#10;UmR/2+wBAADGAwAADgAAAAAAAAABACAAAAAjAQAAZHJzL2Uyb0RvYy54bWxQSwUGAAAAAAYABgBZ&#10;AQAAgQUAAAAA&#10;">
              <v:fill on="f" focussize="0,0"/>
              <v:stroke on="f" weight="1.25pt"/>
              <v:imagedata o:title=""/>
              <o:lock v:ext="edit" aspectratio="f"/>
              <v:textbox inset="0mm,0mm,0mm,0mm" style="mso-fit-shape-to-text:t;">
                <w:txbxContent>
                  <w:p w14:paraId="5488316B">
                    <w:pPr>
                      <w:pStyle w:val="29"/>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5677A">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8CDA">
    <w:pPr>
      <w:pStyle w:val="29"/>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7BB5DECE">
                          <w:pPr>
                            <w:pStyle w:val="29"/>
                            <w:rPr>
                              <w:rFonts w:hint="eastAsia"/>
                            </w:rPr>
                          </w:pP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A9207viAQAAvAMAAA4A&#10;AAAAAAAAAQAgAAAAHwEAAGRycy9lMm9Eb2MueG1sUEsFBgAAAAAGAAYAWQEAAHMFAAAAAA==&#10;">
              <v:fill on="f" focussize="0,0"/>
              <v:stroke on="f"/>
              <v:imagedata o:title=""/>
              <o:lock v:ext="edit" aspectratio="f"/>
              <v:textbox inset="0mm,0mm,0mm,0mm" style="mso-fit-shape-to-text:t;">
                <w:txbxContent>
                  <w:p w14:paraId="7BB5DECE">
                    <w:pPr>
                      <w:pStyle w:val="29"/>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55E65">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18649C92">
                          <w:pPr>
                            <w:pStyle w:val="29"/>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Dgt1M/lAQAAvwMA&#10;AA4AAAAAAAAAAQAgAAAAHwEAAGRycy9lMm9Eb2MueG1sUEsFBgAAAAAGAAYAWQEAAHYFAAAAAA==&#10;">
              <v:fill on="f" focussize="0,0"/>
              <v:stroke on="f"/>
              <v:imagedata o:title=""/>
              <o:lock v:ext="edit" aspectratio="f"/>
              <v:textbox inset="0mm,0mm,0mm,0mm" style="mso-fit-shape-to-text:t;">
                <w:txbxContent>
                  <w:p w14:paraId="18649C92">
                    <w:pPr>
                      <w:pStyle w:val="29"/>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2B9558BD">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A8E1C">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542709A0">
                          <w:pPr>
                            <w:pStyle w:val="29"/>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L1L2fXiAQAAvAMAAA4A&#10;AAAAAAAAAQAgAAAAHwEAAGRycy9lMm9Eb2MueG1sUEsFBgAAAAAGAAYAWQEAAHMFAAAAAA==&#10;">
              <v:fill on="f" focussize="0,0"/>
              <v:stroke on="f"/>
              <v:imagedata o:title=""/>
              <o:lock v:ext="edit" aspectratio="f"/>
              <v:textbox inset="0mm,0mm,0mm,0mm" style="mso-fit-shape-to-text:t;">
                <w:txbxContent>
                  <w:p w14:paraId="542709A0">
                    <w:pPr>
                      <w:pStyle w:val="29"/>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5D81ACA1">
                          <w:pPr>
                            <w:pStyle w:val="29"/>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IvHPjHlAQAAvwMA&#10;AA4AAAAAAAAAAQAgAAAAHwEAAGRycy9lMm9Eb2MueG1sUEsFBgAAAAAGAAYAWQEAAHYFAAAAAA==&#10;">
              <v:fill on="f" focussize="0,0"/>
              <v:stroke on="f"/>
              <v:imagedata o:title=""/>
              <o:lock v:ext="edit" aspectratio="f"/>
              <v:textbox inset="0mm,0mm,0mm,0mm" style="mso-fit-shape-to-text:t;">
                <w:txbxContent>
                  <w:p w14:paraId="5D81ACA1">
                    <w:pPr>
                      <w:pStyle w:val="29"/>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373A0">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3B25FA58">
                          <w:pPr>
                            <w:pStyle w:val="29"/>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Kdk22flAQAAvwMA&#10;AA4AAAAAAAAAAQAgAAAAHwEAAGRycy9lMm9Eb2MueG1sUEsFBgAAAAAGAAYAWQEAAHYFAAAAAA==&#10;">
              <v:fill on="f" focussize="0,0"/>
              <v:stroke on="f"/>
              <v:imagedata o:title=""/>
              <o:lock v:ext="edit" aspectratio="f"/>
              <v:textbox inset="0mm,0mm,0mm,0mm" style="mso-fit-shape-to-text:t;">
                <w:txbxContent>
                  <w:p w14:paraId="3B25FA58">
                    <w:pPr>
                      <w:pStyle w:val="29"/>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09E4F68E">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7BED5">
    <w:pPr>
      <w:pStyle w:val="29"/>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25E65189">
                          <w:pPr>
                            <w:pStyle w:val="29"/>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lfknQAAAAAwEAAA8AAAAA&#10;AAAAAQAgAAAAIgAAAGRycy9kb3ducmV2LnhtbFBLAQIUABQAAAAIAIdO4kCY3liI4wEAALwDAAAO&#10;AAAAAAAAAAEAIAAAAB8BAABkcnMvZTJvRG9jLnhtbFBLBQYAAAAABgAGAFkBAAB0BQAAAAA=&#10;">
              <v:fill on="f" focussize="0,0"/>
              <v:stroke on="f"/>
              <v:imagedata o:title=""/>
              <o:lock v:ext="edit" aspectratio="f"/>
              <v:textbox inset="0mm,0mm,0mm,0mm" style="mso-fit-shape-to-text:t;">
                <w:txbxContent>
                  <w:p w14:paraId="25E65189">
                    <w:pPr>
                      <w:pStyle w:val="29"/>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75DD1BD3">
                          <w:pPr>
                            <w:pStyle w:val="29"/>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BSOMZnlAQAAvwMA&#10;AA4AAAAAAAAAAQAgAAAAHwEAAGRycy9lMm9Eb2MueG1sUEsFBgAAAAAGAAYAWQEAAHYFAAAAAA==&#10;">
              <v:fill on="f" focussize="0,0"/>
              <v:stroke on="f"/>
              <v:imagedata o:title=""/>
              <o:lock v:ext="edit" aspectratio="f"/>
              <v:textbox inset="0mm,0mm,0mm,0mm" style="mso-fit-shape-to-text:t;">
                <w:txbxContent>
                  <w:p w14:paraId="75DD1BD3">
                    <w:pPr>
                      <w:pStyle w:val="29"/>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28B73">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0B530">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85243">
    <w:pPr>
      <w:pStyle w:val="3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0D8D9">
    <w:pPr>
      <w:pStyle w:val="30"/>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D54E5">
    <w:pPr>
      <w:pStyle w:val="3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0BAD3">
    <w:pPr>
      <w:pStyle w:val="30"/>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113B2">
    <w:pPr>
      <w:pStyle w:val="30"/>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5FF8B">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A1240B"/>
    <w:multiLevelType w:val="singleLevel"/>
    <w:tmpl w:val="95A1240B"/>
    <w:lvl w:ilvl="0" w:tentative="0">
      <w:start w:val="1"/>
      <w:numFmt w:val="decimal"/>
      <w:suff w:val="nothing"/>
      <w:lvlText w:val="（%1）"/>
      <w:lvlJc w:val="left"/>
      <w:pPr>
        <w:ind w:left="480" w:firstLine="0"/>
      </w:pPr>
    </w:lvl>
  </w:abstractNum>
  <w:abstractNum w:abstractNumId="1">
    <w:nsid w:val="5852C880"/>
    <w:multiLevelType w:val="singleLevel"/>
    <w:tmpl w:val="5852C880"/>
    <w:lvl w:ilvl="0" w:tentative="0">
      <w:start w:val="1"/>
      <w:numFmt w:val="decimal"/>
      <w:suff w:val="nothing"/>
      <w:lvlText w:val="%1、"/>
      <w:lvlJc w:val="left"/>
    </w:lvl>
  </w:abstractNum>
  <w:abstractNum w:abstractNumId="2">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916C5A"/>
    <w:rsid w:val="01AA1039"/>
    <w:rsid w:val="01F15E4E"/>
    <w:rsid w:val="02067D25"/>
    <w:rsid w:val="0210458C"/>
    <w:rsid w:val="0224293B"/>
    <w:rsid w:val="02250785"/>
    <w:rsid w:val="023824A9"/>
    <w:rsid w:val="02537422"/>
    <w:rsid w:val="02593918"/>
    <w:rsid w:val="028454C6"/>
    <w:rsid w:val="02BA785F"/>
    <w:rsid w:val="02CD1F13"/>
    <w:rsid w:val="02F05C02"/>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432ACE"/>
    <w:rsid w:val="046B128A"/>
    <w:rsid w:val="04A643B1"/>
    <w:rsid w:val="04B36B01"/>
    <w:rsid w:val="04BA68C6"/>
    <w:rsid w:val="04BE3BAF"/>
    <w:rsid w:val="04CD527F"/>
    <w:rsid w:val="04E61B13"/>
    <w:rsid w:val="04E752B7"/>
    <w:rsid w:val="04F66AB2"/>
    <w:rsid w:val="053F17F0"/>
    <w:rsid w:val="058C559B"/>
    <w:rsid w:val="058E795B"/>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6156D"/>
    <w:rsid w:val="07FB16AC"/>
    <w:rsid w:val="0803158C"/>
    <w:rsid w:val="084E323F"/>
    <w:rsid w:val="08501519"/>
    <w:rsid w:val="08631238"/>
    <w:rsid w:val="088377C5"/>
    <w:rsid w:val="089C05F6"/>
    <w:rsid w:val="08DA1CD0"/>
    <w:rsid w:val="08DF5A76"/>
    <w:rsid w:val="096F5AD2"/>
    <w:rsid w:val="09CD0A4B"/>
    <w:rsid w:val="09CD66ED"/>
    <w:rsid w:val="09D726B7"/>
    <w:rsid w:val="09E57988"/>
    <w:rsid w:val="09F72AC1"/>
    <w:rsid w:val="0A1B5868"/>
    <w:rsid w:val="0A554394"/>
    <w:rsid w:val="0A570314"/>
    <w:rsid w:val="0A586566"/>
    <w:rsid w:val="0AA43C12"/>
    <w:rsid w:val="0AD377C9"/>
    <w:rsid w:val="0B112BB9"/>
    <w:rsid w:val="0B411470"/>
    <w:rsid w:val="0B4417DD"/>
    <w:rsid w:val="0B482350"/>
    <w:rsid w:val="0B5B5EDE"/>
    <w:rsid w:val="0B626891"/>
    <w:rsid w:val="0BB74BDB"/>
    <w:rsid w:val="0BCD6AE0"/>
    <w:rsid w:val="0BD133ED"/>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A34468"/>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FB3A31"/>
    <w:rsid w:val="0F1A3B0B"/>
    <w:rsid w:val="0F29172E"/>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2E6638"/>
    <w:rsid w:val="10341CED"/>
    <w:rsid w:val="1047087A"/>
    <w:rsid w:val="104A65A1"/>
    <w:rsid w:val="105D5DEF"/>
    <w:rsid w:val="10892646"/>
    <w:rsid w:val="108B094A"/>
    <w:rsid w:val="109E0A4B"/>
    <w:rsid w:val="10AD2D88"/>
    <w:rsid w:val="10EA2BC5"/>
    <w:rsid w:val="10F414EA"/>
    <w:rsid w:val="10FA0DBF"/>
    <w:rsid w:val="11166793"/>
    <w:rsid w:val="11293107"/>
    <w:rsid w:val="112E5EC1"/>
    <w:rsid w:val="113877F0"/>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1C3959"/>
    <w:rsid w:val="13451652"/>
    <w:rsid w:val="13797A19"/>
    <w:rsid w:val="13A31C28"/>
    <w:rsid w:val="13BB7C9E"/>
    <w:rsid w:val="13CE7899"/>
    <w:rsid w:val="13CF528F"/>
    <w:rsid w:val="141E5F1B"/>
    <w:rsid w:val="14442C0E"/>
    <w:rsid w:val="14577569"/>
    <w:rsid w:val="1468030C"/>
    <w:rsid w:val="14736AB2"/>
    <w:rsid w:val="147B7590"/>
    <w:rsid w:val="1481490C"/>
    <w:rsid w:val="148C4292"/>
    <w:rsid w:val="14B6241E"/>
    <w:rsid w:val="14C76A12"/>
    <w:rsid w:val="14D36781"/>
    <w:rsid w:val="14E25007"/>
    <w:rsid w:val="14EB18BB"/>
    <w:rsid w:val="14FF4786"/>
    <w:rsid w:val="15237771"/>
    <w:rsid w:val="15261B20"/>
    <w:rsid w:val="153E5A17"/>
    <w:rsid w:val="159B6C93"/>
    <w:rsid w:val="159D39C7"/>
    <w:rsid w:val="15AE7584"/>
    <w:rsid w:val="15C40C40"/>
    <w:rsid w:val="16113804"/>
    <w:rsid w:val="16432473"/>
    <w:rsid w:val="165672E8"/>
    <w:rsid w:val="167964D4"/>
    <w:rsid w:val="16890903"/>
    <w:rsid w:val="16900E36"/>
    <w:rsid w:val="16A01D0F"/>
    <w:rsid w:val="16A10ABF"/>
    <w:rsid w:val="16A82624"/>
    <w:rsid w:val="16AB476B"/>
    <w:rsid w:val="16B83E57"/>
    <w:rsid w:val="16C01312"/>
    <w:rsid w:val="16ED44DA"/>
    <w:rsid w:val="170E2F06"/>
    <w:rsid w:val="172C5003"/>
    <w:rsid w:val="179258AA"/>
    <w:rsid w:val="17B95613"/>
    <w:rsid w:val="17F660E0"/>
    <w:rsid w:val="17F81D61"/>
    <w:rsid w:val="18291412"/>
    <w:rsid w:val="182A0E16"/>
    <w:rsid w:val="18315A8D"/>
    <w:rsid w:val="188A46BF"/>
    <w:rsid w:val="189E5FC5"/>
    <w:rsid w:val="18D641E0"/>
    <w:rsid w:val="18F719F9"/>
    <w:rsid w:val="193446F8"/>
    <w:rsid w:val="193631F2"/>
    <w:rsid w:val="19A80665"/>
    <w:rsid w:val="19AA0184"/>
    <w:rsid w:val="19E03E83"/>
    <w:rsid w:val="19E42FA8"/>
    <w:rsid w:val="19EA6CD0"/>
    <w:rsid w:val="1A2076E9"/>
    <w:rsid w:val="1A2F6FA0"/>
    <w:rsid w:val="1A4678C3"/>
    <w:rsid w:val="1A4A0D73"/>
    <w:rsid w:val="1A7F53D6"/>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2F2D72"/>
    <w:rsid w:val="1C404EA7"/>
    <w:rsid w:val="1C6358AB"/>
    <w:rsid w:val="1C751D0C"/>
    <w:rsid w:val="1CA10EA8"/>
    <w:rsid w:val="1CA56E81"/>
    <w:rsid w:val="1CD21FF5"/>
    <w:rsid w:val="1CF1781E"/>
    <w:rsid w:val="1CF74F2E"/>
    <w:rsid w:val="1CFD3435"/>
    <w:rsid w:val="1D473D20"/>
    <w:rsid w:val="1D5F1AB5"/>
    <w:rsid w:val="1D791955"/>
    <w:rsid w:val="1D9134D8"/>
    <w:rsid w:val="1DA34B71"/>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F0321"/>
    <w:rsid w:val="1FD75EB6"/>
    <w:rsid w:val="20293342"/>
    <w:rsid w:val="203977DF"/>
    <w:rsid w:val="20AC11C0"/>
    <w:rsid w:val="20D76825"/>
    <w:rsid w:val="20DB3072"/>
    <w:rsid w:val="2100305C"/>
    <w:rsid w:val="21311468"/>
    <w:rsid w:val="21764C9F"/>
    <w:rsid w:val="21806A80"/>
    <w:rsid w:val="21BC015E"/>
    <w:rsid w:val="21E85818"/>
    <w:rsid w:val="21EB64F7"/>
    <w:rsid w:val="21FB7D81"/>
    <w:rsid w:val="21FF7B22"/>
    <w:rsid w:val="221548E5"/>
    <w:rsid w:val="223654C7"/>
    <w:rsid w:val="22422404"/>
    <w:rsid w:val="226F628F"/>
    <w:rsid w:val="2273571C"/>
    <w:rsid w:val="228526E0"/>
    <w:rsid w:val="22943FB4"/>
    <w:rsid w:val="22A30143"/>
    <w:rsid w:val="22A91D27"/>
    <w:rsid w:val="22BE3D3F"/>
    <w:rsid w:val="22E461E8"/>
    <w:rsid w:val="22F66AC1"/>
    <w:rsid w:val="231A1E2F"/>
    <w:rsid w:val="2335020B"/>
    <w:rsid w:val="238B183B"/>
    <w:rsid w:val="23A607C4"/>
    <w:rsid w:val="23B34BAC"/>
    <w:rsid w:val="23B6282D"/>
    <w:rsid w:val="23BD5507"/>
    <w:rsid w:val="23C14CFA"/>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6376A5"/>
    <w:rsid w:val="25695674"/>
    <w:rsid w:val="256B5A72"/>
    <w:rsid w:val="257C268E"/>
    <w:rsid w:val="257F463C"/>
    <w:rsid w:val="259455FA"/>
    <w:rsid w:val="25A6736C"/>
    <w:rsid w:val="25A9485D"/>
    <w:rsid w:val="25D441CD"/>
    <w:rsid w:val="260E4227"/>
    <w:rsid w:val="2621701E"/>
    <w:rsid w:val="266271CD"/>
    <w:rsid w:val="26633E71"/>
    <w:rsid w:val="26B80661"/>
    <w:rsid w:val="26F73FDA"/>
    <w:rsid w:val="27106306"/>
    <w:rsid w:val="27172D0A"/>
    <w:rsid w:val="271F1251"/>
    <w:rsid w:val="27450B08"/>
    <w:rsid w:val="27623589"/>
    <w:rsid w:val="27710BD6"/>
    <w:rsid w:val="27930786"/>
    <w:rsid w:val="27AA7A9F"/>
    <w:rsid w:val="27AE736E"/>
    <w:rsid w:val="27CB7F20"/>
    <w:rsid w:val="27EA0323"/>
    <w:rsid w:val="28100ED0"/>
    <w:rsid w:val="281E2746"/>
    <w:rsid w:val="2828647E"/>
    <w:rsid w:val="28341F69"/>
    <w:rsid w:val="28444694"/>
    <w:rsid w:val="285223EF"/>
    <w:rsid w:val="28701C0B"/>
    <w:rsid w:val="288F4569"/>
    <w:rsid w:val="28E64419"/>
    <w:rsid w:val="28E8191E"/>
    <w:rsid w:val="29360053"/>
    <w:rsid w:val="294B33FB"/>
    <w:rsid w:val="29611D97"/>
    <w:rsid w:val="29684A53"/>
    <w:rsid w:val="296879F1"/>
    <w:rsid w:val="296E5E94"/>
    <w:rsid w:val="29810CA3"/>
    <w:rsid w:val="29830AB8"/>
    <w:rsid w:val="299077B6"/>
    <w:rsid w:val="29BF3AB4"/>
    <w:rsid w:val="29D26E17"/>
    <w:rsid w:val="29FC6F97"/>
    <w:rsid w:val="2A083E5C"/>
    <w:rsid w:val="2A2102CB"/>
    <w:rsid w:val="2A217CF0"/>
    <w:rsid w:val="2A313580"/>
    <w:rsid w:val="2A4F2539"/>
    <w:rsid w:val="2A5207B3"/>
    <w:rsid w:val="2A674427"/>
    <w:rsid w:val="2A74238E"/>
    <w:rsid w:val="2A7D7069"/>
    <w:rsid w:val="2A885A56"/>
    <w:rsid w:val="2A935D31"/>
    <w:rsid w:val="2AB0029F"/>
    <w:rsid w:val="2AB6502A"/>
    <w:rsid w:val="2AB73A3B"/>
    <w:rsid w:val="2ADA1A0E"/>
    <w:rsid w:val="2ADA3203"/>
    <w:rsid w:val="2AE46A49"/>
    <w:rsid w:val="2B04168B"/>
    <w:rsid w:val="2B33475A"/>
    <w:rsid w:val="2B766569"/>
    <w:rsid w:val="2BAD10B9"/>
    <w:rsid w:val="2BB4300F"/>
    <w:rsid w:val="2BC10E1F"/>
    <w:rsid w:val="2BC2788C"/>
    <w:rsid w:val="2BFE70DC"/>
    <w:rsid w:val="2C2916B9"/>
    <w:rsid w:val="2C532DA0"/>
    <w:rsid w:val="2C5F47C6"/>
    <w:rsid w:val="2C6B7D79"/>
    <w:rsid w:val="2C850D88"/>
    <w:rsid w:val="2C87404C"/>
    <w:rsid w:val="2C8E59C0"/>
    <w:rsid w:val="2CA27263"/>
    <w:rsid w:val="2CAA00EB"/>
    <w:rsid w:val="2CBF3DCB"/>
    <w:rsid w:val="2CE82C7B"/>
    <w:rsid w:val="2D013193"/>
    <w:rsid w:val="2D12304D"/>
    <w:rsid w:val="2D594F9E"/>
    <w:rsid w:val="2D5B77E5"/>
    <w:rsid w:val="2D5D39A4"/>
    <w:rsid w:val="2D700E84"/>
    <w:rsid w:val="2D7B7CF2"/>
    <w:rsid w:val="2D7C322C"/>
    <w:rsid w:val="2D9B2143"/>
    <w:rsid w:val="2DBD47AF"/>
    <w:rsid w:val="2DD43EE3"/>
    <w:rsid w:val="2DF93DDE"/>
    <w:rsid w:val="2DF95ADB"/>
    <w:rsid w:val="2E01070E"/>
    <w:rsid w:val="2E027B47"/>
    <w:rsid w:val="2E1A0D91"/>
    <w:rsid w:val="2E55688B"/>
    <w:rsid w:val="2ED81803"/>
    <w:rsid w:val="2EE634AB"/>
    <w:rsid w:val="2EFA10EB"/>
    <w:rsid w:val="2F1E70B9"/>
    <w:rsid w:val="2F3747C7"/>
    <w:rsid w:val="2F38042D"/>
    <w:rsid w:val="2F716042"/>
    <w:rsid w:val="2F7C1D5D"/>
    <w:rsid w:val="2F7C5058"/>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E212C3"/>
    <w:rsid w:val="30F05FA9"/>
    <w:rsid w:val="312954B5"/>
    <w:rsid w:val="31322DBE"/>
    <w:rsid w:val="317F3B29"/>
    <w:rsid w:val="31D9148B"/>
    <w:rsid w:val="31EF2C58"/>
    <w:rsid w:val="32031D3C"/>
    <w:rsid w:val="320710EC"/>
    <w:rsid w:val="32381939"/>
    <w:rsid w:val="324042EC"/>
    <w:rsid w:val="32593FDB"/>
    <w:rsid w:val="325F30A0"/>
    <w:rsid w:val="3267491C"/>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C6572"/>
    <w:rsid w:val="339F50F5"/>
    <w:rsid w:val="33DF247C"/>
    <w:rsid w:val="33EE54D5"/>
    <w:rsid w:val="33F13244"/>
    <w:rsid w:val="340547BA"/>
    <w:rsid w:val="3409108A"/>
    <w:rsid w:val="340F0157"/>
    <w:rsid w:val="343E5F1E"/>
    <w:rsid w:val="34693F09"/>
    <w:rsid w:val="346E408A"/>
    <w:rsid w:val="34A6512B"/>
    <w:rsid w:val="34B463BC"/>
    <w:rsid w:val="35047151"/>
    <w:rsid w:val="351A6043"/>
    <w:rsid w:val="35380BBF"/>
    <w:rsid w:val="35501281"/>
    <w:rsid w:val="35960786"/>
    <w:rsid w:val="35A46254"/>
    <w:rsid w:val="35AD5109"/>
    <w:rsid w:val="35AF5AAB"/>
    <w:rsid w:val="35C83CF1"/>
    <w:rsid w:val="35D00DF7"/>
    <w:rsid w:val="35EE3B1E"/>
    <w:rsid w:val="35EF5204"/>
    <w:rsid w:val="35F83427"/>
    <w:rsid w:val="360269EC"/>
    <w:rsid w:val="360A2896"/>
    <w:rsid w:val="36162CAE"/>
    <w:rsid w:val="3618279F"/>
    <w:rsid w:val="363438F4"/>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D64BEA"/>
    <w:rsid w:val="3B0A066E"/>
    <w:rsid w:val="3B3237CF"/>
    <w:rsid w:val="3B700157"/>
    <w:rsid w:val="3B7423AC"/>
    <w:rsid w:val="3B9308FD"/>
    <w:rsid w:val="3BB64C32"/>
    <w:rsid w:val="3BBA40DC"/>
    <w:rsid w:val="3BBE174D"/>
    <w:rsid w:val="3BC47EE7"/>
    <w:rsid w:val="3BE71216"/>
    <w:rsid w:val="3C0B0AE8"/>
    <w:rsid w:val="3C35270F"/>
    <w:rsid w:val="3C40441C"/>
    <w:rsid w:val="3C504ED6"/>
    <w:rsid w:val="3C9F351B"/>
    <w:rsid w:val="3CF7D354"/>
    <w:rsid w:val="3CFE3E64"/>
    <w:rsid w:val="3D021D9E"/>
    <w:rsid w:val="3D0D60B6"/>
    <w:rsid w:val="3D1666B8"/>
    <w:rsid w:val="3D281EC8"/>
    <w:rsid w:val="3D2B2B8C"/>
    <w:rsid w:val="3D3213E4"/>
    <w:rsid w:val="3D335057"/>
    <w:rsid w:val="3D3B307D"/>
    <w:rsid w:val="3D6407A3"/>
    <w:rsid w:val="3D675DC6"/>
    <w:rsid w:val="3D812CBA"/>
    <w:rsid w:val="3D962926"/>
    <w:rsid w:val="3DB04EEF"/>
    <w:rsid w:val="3DB77C3B"/>
    <w:rsid w:val="3DD50AFB"/>
    <w:rsid w:val="3DE0634E"/>
    <w:rsid w:val="3DE22F80"/>
    <w:rsid w:val="3E0A303B"/>
    <w:rsid w:val="3E1E4E42"/>
    <w:rsid w:val="3E294112"/>
    <w:rsid w:val="3E3A5ABC"/>
    <w:rsid w:val="3E6B33DD"/>
    <w:rsid w:val="3E706C08"/>
    <w:rsid w:val="3E767A53"/>
    <w:rsid w:val="3E9F7F61"/>
    <w:rsid w:val="3EA412D0"/>
    <w:rsid w:val="3EB05805"/>
    <w:rsid w:val="3ED2798E"/>
    <w:rsid w:val="3ED32447"/>
    <w:rsid w:val="3ED41958"/>
    <w:rsid w:val="3EE73304"/>
    <w:rsid w:val="3EF36C02"/>
    <w:rsid w:val="3EF4370E"/>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975F3"/>
    <w:rsid w:val="406960D0"/>
    <w:rsid w:val="40771177"/>
    <w:rsid w:val="40877FBB"/>
    <w:rsid w:val="40921A5C"/>
    <w:rsid w:val="40A63F0F"/>
    <w:rsid w:val="40B27FF8"/>
    <w:rsid w:val="410A4A33"/>
    <w:rsid w:val="41100CA0"/>
    <w:rsid w:val="411173AA"/>
    <w:rsid w:val="41235477"/>
    <w:rsid w:val="41393CF5"/>
    <w:rsid w:val="41581E77"/>
    <w:rsid w:val="41847666"/>
    <w:rsid w:val="421A4B61"/>
    <w:rsid w:val="4250230A"/>
    <w:rsid w:val="425B7949"/>
    <w:rsid w:val="42683077"/>
    <w:rsid w:val="42770885"/>
    <w:rsid w:val="42880C47"/>
    <w:rsid w:val="429658F0"/>
    <w:rsid w:val="429926BE"/>
    <w:rsid w:val="42FA567F"/>
    <w:rsid w:val="4334513F"/>
    <w:rsid w:val="435C492E"/>
    <w:rsid w:val="436412A6"/>
    <w:rsid w:val="43B11758"/>
    <w:rsid w:val="43D81DF9"/>
    <w:rsid w:val="43E360E1"/>
    <w:rsid w:val="440D1EAD"/>
    <w:rsid w:val="44366C11"/>
    <w:rsid w:val="446479C9"/>
    <w:rsid w:val="446A5022"/>
    <w:rsid w:val="4476222D"/>
    <w:rsid w:val="449400FA"/>
    <w:rsid w:val="44B50B65"/>
    <w:rsid w:val="44DC1567"/>
    <w:rsid w:val="44F70C6A"/>
    <w:rsid w:val="450F4D8A"/>
    <w:rsid w:val="45474A4C"/>
    <w:rsid w:val="457C53C2"/>
    <w:rsid w:val="4591040A"/>
    <w:rsid w:val="45967968"/>
    <w:rsid w:val="459E4528"/>
    <w:rsid w:val="45CE26BB"/>
    <w:rsid w:val="45CE28B2"/>
    <w:rsid w:val="45CF0244"/>
    <w:rsid w:val="45D71D2E"/>
    <w:rsid w:val="45E94D4D"/>
    <w:rsid w:val="461C75ED"/>
    <w:rsid w:val="461D39EE"/>
    <w:rsid w:val="463C0253"/>
    <w:rsid w:val="463C52FB"/>
    <w:rsid w:val="46503FBA"/>
    <w:rsid w:val="4655719D"/>
    <w:rsid w:val="465D6E59"/>
    <w:rsid w:val="46BD0F24"/>
    <w:rsid w:val="46D10DCA"/>
    <w:rsid w:val="46D532F9"/>
    <w:rsid w:val="46E12D03"/>
    <w:rsid w:val="46F76745"/>
    <w:rsid w:val="47062619"/>
    <w:rsid w:val="471825FE"/>
    <w:rsid w:val="477A6AEF"/>
    <w:rsid w:val="477B5D50"/>
    <w:rsid w:val="47BD67A4"/>
    <w:rsid w:val="47C7783E"/>
    <w:rsid w:val="47C805B8"/>
    <w:rsid w:val="47FE0532"/>
    <w:rsid w:val="47FE17F4"/>
    <w:rsid w:val="47FF70FE"/>
    <w:rsid w:val="480732DE"/>
    <w:rsid w:val="480A1F47"/>
    <w:rsid w:val="481501F8"/>
    <w:rsid w:val="481E0468"/>
    <w:rsid w:val="482761DD"/>
    <w:rsid w:val="483900A7"/>
    <w:rsid w:val="48507E7F"/>
    <w:rsid w:val="48671252"/>
    <w:rsid w:val="48743864"/>
    <w:rsid w:val="488F6F88"/>
    <w:rsid w:val="48AA54D8"/>
    <w:rsid w:val="48C540C0"/>
    <w:rsid w:val="48D30915"/>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D82813"/>
    <w:rsid w:val="4AF17CC0"/>
    <w:rsid w:val="4AF40C8C"/>
    <w:rsid w:val="4B0372DA"/>
    <w:rsid w:val="4B0A19F1"/>
    <w:rsid w:val="4B0C7CA6"/>
    <w:rsid w:val="4B1D3AD6"/>
    <w:rsid w:val="4B3E66D0"/>
    <w:rsid w:val="4B524B95"/>
    <w:rsid w:val="4BAD1567"/>
    <w:rsid w:val="4BB375DD"/>
    <w:rsid w:val="4BBE6A70"/>
    <w:rsid w:val="4BBF3681"/>
    <w:rsid w:val="4BC346FC"/>
    <w:rsid w:val="4BE15A04"/>
    <w:rsid w:val="4BFF6209"/>
    <w:rsid w:val="4C3F4944"/>
    <w:rsid w:val="4C4B52F4"/>
    <w:rsid w:val="4C9B7652"/>
    <w:rsid w:val="4CB45878"/>
    <w:rsid w:val="4D2C6EDE"/>
    <w:rsid w:val="4DD05A25"/>
    <w:rsid w:val="4DF40AE5"/>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67DF8"/>
    <w:rsid w:val="504B57F2"/>
    <w:rsid w:val="505905FF"/>
    <w:rsid w:val="505F3376"/>
    <w:rsid w:val="50760A57"/>
    <w:rsid w:val="50903563"/>
    <w:rsid w:val="50C42459"/>
    <w:rsid w:val="50C854B3"/>
    <w:rsid w:val="50CF01D2"/>
    <w:rsid w:val="50E2295D"/>
    <w:rsid w:val="50EC48E0"/>
    <w:rsid w:val="51017205"/>
    <w:rsid w:val="512110B0"/>
    <w:rsid w:val="51275918"/>
    <w:rsid w:val="51340057"/>
    <w:rsid w:val="5138767D"/>
    <w:rsid w:val="514477A1"/>
    <w:rsid w:val="515E513F"/>
    <w:rsid w:val="51653A78"/>
    <w:rsid w:val="51675ADE"/>
    <w:rsid w:val="516F16A8"/>
    <w:rsid w:val="51D862A4"/>
    <w:rsid w:val="51E66A28"/>
    <w:rsid w:val="521D47E0"/>
    <w:rsid w:val="5247586A"/>
    <w:rsid w:val="5271389B"/>
    <w:rsid w:val="52927EBD"/>
    <w:rsid w:val="52953DA4"/>
    <w:rsid w:val="529B480F"/>
    <w:rsid w:val="52A575BB"/>
    <w:rsid w:val="52BE3C8F"/>
    <w:rsid w:val="52DE4138"/>
    <w:rsid w:val="530E2C43"/>
    <w:rsid w:val="5322125E"/>
    <w:rsid w:val="532A2228"/>
    <w:rsid w:val="535320ED"/>
    <w:rsid w:val="53644E32"/>
    <w:rsid w:val="5371289D"/>
    <w:rsid w:val="53DE6D19"/>
    <w:rsid w:val="53F32D80"/>
    <w:rsid w:val="53F61DBC"/>
    <w:rsid w:val="53FF3638"/>
    <w:rsid w:val="540235C5"/>
    <w:rsid w:val="54036473"/>
    <w:rsid w:val="540A5C84"/>
    <w:rsid w:val="540E63A1"/>
    <w:rsid w:val="54457114"/>
    <w:rsid w:val="547D79BE"/>
    <w:rsid w:val="54844437"/>
    <w:rsid w:val="549C03CB"/>
    <w:rsid w:val="54A0116D"/>
    <w:rsid w:val="550058CC"/>
    <w:rsid w:val="55124B31"/>
    <w:rsid w:val="553153C0"/>
    <w:rsid w:val="553E36FF"/>
    <w:rsid w:val="556128E7"/>
    <w:rsid w:val="557A38E3"/>
    <w:rsid w:val="55925D4F"/>
    <w:rsid w:val="5597762A"/>
    <w:rsid w:val="55B00C6D"/>
    <w:rsid w:val="55E22755"/>
    <w:rsid w:val="55F81F7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E77F7"/>
    <w:rsid w:val="595E65AD"/>
    <w:rsid w:val="59710078"/>
    <w:rsid w:val="597169B0"/>
    <w:rsid w:val="59725B9E"/>
    <w:rsid w:val="59A5436A"/>
    <w:rsid w:val="59AF4BCB"/>
    <w:rsid w:val="59CC667E"/>
    <w:rsid w:val="59DC02C3"/>
    <w:rsid w:val="59DC4B2F"/>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42334E"/>
    <w:rsid w:val="5B7E1A86"/>
    <w:rsid w:val="5B80606F"/>
    <w:rsid w:val="5B8D59B9"/>
    <w:rsid w:val="5B8E27A1"/>
    <w:rsid w:val="5B90055D"/>
    <w:rsid w:val="5B9C1D95"/>
    <w:rsid w:val="5BE3143E"/>
    <w:rsid w:val="5C323E85"/>
    <w:rsid w:val="5C395701"/>
    <w:rsid w:val="5C3C314C"/>
    <w:rsid w:val="5C4D3BFA"/>
    <w:rsid w:val="5C741D5A"/>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E4708"/>
    <w:rsid w:val="5E3D78A1"/>
    <w:rsid w:val="5E53564E"/>
    <w:rsid w:val="5E573605"/>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806DF2"/>
    <w:rsid w:val="60825B34"/>
    <w:rsid w:val="60883EF9"/>
    <w:rsid w:val="60A4258A"/>
    <w:rsid w:val="60A93BB5"/>
    <w:rsid w:val="60AB7B52"/>
    <w:rsid w:val="60C50CA9"/>
    <w:rsid w:val="60FD2147"/>
    <w:rsid w:val="610C731A"/>
    <w:rsid w:val="6128091C"/>
    <w:rsid w:val="613B7151"/>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62255"/>
    <w:rsid w:val="63675512"/>
    <w:rsid w:val="638473E2"/>
    <w:rsid w:val="63920EDA"/>
    <w:rsid w:val="63A1155A"/>
    <w:rsid w:val="63B77CEA"/>
    <w:rsid w:val="63B92EE5"/>
    <w:rsid w:val="63F58A11"/>
    <w:rsid w:val="63F93517"/>
    <w:rsid w:val="63FE1B71"/>
    <w:rsid w:val="642F5001"/>
    <w:rsid w:val="64A30025"/>
    <w:rsid w:val="64C44139"/>
    <w:rsid w:val="64DE6705"/>
    <w:rsid w:val="65055B18"/>
    <w:rsid w:val="650E2619"/>
    <w:rsid w:val="652634A0"/>
    <w:rsid w:val="656E190F"/>
    <w:rsid w:val="65826BA0"/>
    <w:rsid w:val="65905F2A"/>
    <w:rsid w:val="659F5D29"/>
    <w:rsid w:val="65B975D9"/>
    <w:rsid w:val="65D8613A"/>
    <w:rsid w:val="65EB2226"/>
    <w:rsid w:val="65F8742B"/>
    <w:rsid w:val="66345205"/>
    <w:rsid w:val="66B001E2"/>
    <w:rsid w:val="66B33AA8"/>
    <w:rsid w:val="66B617C0"/>
    <w:rsid w:val="66D67CEA"/>
    <w:rsid w:val="66D74C03"/>
    <w:rsid w:val="66F95D5F"/>
    <w:rsid w:val="6712276E"/>
    <w:rsid w:val="67467080"/>
    <w:rsid w:val="67695363"/>
    <w:rsid w:val="679D028A"/>
    <w:rsid w:val="68275CED"/>
    <w:rsid w:val="683F3A37"/>
    <w:rsid w:val="6870599E"/>
    <w:rsid w:val="68825AA7"/>
    <w:rsid w:val="688F1B0F"/>
    <w:rsid w:val="68A622BF"/>
    <w:rsid w:val="68B55243"/>
    <w:rsid w:val="68B56396"/>
    <w:rsid w:val="68C07642"/>
    <w:rsid w:val="690600B1"/>
    <w:rsid w:val="691002CE"/>
    <w:rsid w:val="6912239E"/>
    <w:rsid w:val="693430AE"/>
    <w:rsid w:val="693B24AA"/>
    <w:rsid w:val="693C3339"/>
    <w:rsid w:val="693C538C"/>
    <w:rsid w:val="693F2021"/>
    <w:rsid w:val="697015AC"/>
    <w:rsid w:val="69B06E35"/>
    <w:rsid w:val="69BB1B96"/>
    <w:rsid w:val="69F07613"/>
    <w:rsid w:val="69FB4534"/>
    <w:rsid w:val="69FE1FF8"/>
    <w:rsid w:val="6A2F40E7"/>
    <w:rsid w:val="6A617C95"/>
    <w:rsid w:val="6A675E13"/>
    <w:rsid w:val="6A6A1D50"/>
    <w:rsid w:val="6A7E767E"/>
    <w:rsid w:val="6A873318"/>
    <w:rsid w:val="6A9E30D1"/>
    <w:rsid w:val="6ACB5685"/>
    <w:rsid w:val="6AF44665"/>
    <w:rsid w:val="6B00125C"/>
    <w:rsid w:val="6B013AC4"/>
    <w:rsid w:val="6B022B20"/>
    <w:rsid w:val="6B0B2C71"/>
    <w:rsid w:val="6B0D1E4C"/>
    <w:rsid w:val="6B225204"/>
    <w:rsid w:val="6B5D73DB"/>
    <w:rsid w:val="6B60329D"/>
    <w:rsid w:val="6B8F43C5"/>
    <w:rsid w:val="6BA74108"/>
    <w:rsid w:val="6BA932CC"/>
    <w:rsid w:val="6BAA3BFF"/>
    <w:rsid w:val="6BC631B0"/>
    <w:rsid w:val="6BD52BAE"/>
    <w:rsid w:val="6BD52F92"/>
    <w:rsid w:val="6BF568E6"/>
    <w:rsid w:val="6C086473"/>
    <w:rsid w:val="6C196A37"/>
    <w:rsid w:val="6C263EF0"/>
    <w:rsid w:val="6C294C9F"/>
    <w:rsid w:val="6C557385"/>
    <w:rsid w:val="6C5B4F41"/>
    <w:rsid w:val="6C5B54D6"/>
    <w:rsid w:val="6C657755"/>
    <w:rsid w:val="6C73245F"/>
    <w:rsid w:val="6CA41755"/>
    <w:rsid w:val="6CB6422F"/>
    <w:rsid w:val="6CDD5062"/>
    <w:rsid w:val="6CDE79AF"/>
    <w:rsid w:val="6CF46B9E"/>
    <w:rsid w:val="6CFD81DF"/>
    <w:rsid w:val="6D175C89"/>
    <w:rsid w:val="6D360C7F"/>
    <w:rsid w:val="6D404378"/>
    <w:rsid w:val="6D7A0F67"/>
    <w:rsid w:val="6D820AE9"/>
    <w:rsid w:val="6D9E0E35"/>
    <w:rsid w:val="6DAC5642"/>
    <w:rsid w:val="6DB200D0"/>
    <w:rsid w:val="6DD4077E"/>
    <w:rsid w:val="6DEA4604"/>
    <w:rsid w:val="6DFB7BC5"/>
    <w:rsid w:val="6E932C1C"/>
    <w:rsid w:val="6EB94CA1"/>
    <w:rsid w:val="6EE07AA3"/>
    <w:rsid w:val="6EEB8E5F"/>
    <w:rsid w:val="6EFE0978"/>
    <w:rsid w:val="6F062841"/>
    <w:rsid w:val="6F084862"/>
    <w:rsid w:val="6F2F1C60"/>
    <w:rsid w:val="6F806DDA"/>
    <w:rsid w:val="6F887A72"/>
    <w:rsid w:val="6F887B94"/>
    <w:rsid w:val="6FA32AFD"/>
    <w:rsid w:val="6FA535AD"/>
    <w:rsid w:val="6FDC60D0"/>
    <w:rsid w:val="6FF671C3"/>
    <w:rsid w:val="6FFA62C5"/>
    <w:rsid w:val="7009145B"/>
    <w:rsid w:val="70196838"/>
    <w:rsid w:val="7023229D"/>
    <w:rsid w:val="702707C6"/>
    <w:rsid w:val="70351AE0"/>
    <w:rsid w:val="70425469"/>
    <w:rsid w:val="7048478E"/>
    <w:rsid w:val="705C4D2F"/>
    <w:rsid w:val="708C17E3"/>
    <w:rsid w:val="708D34F0"/>
    <w:rsid w:val="709435AA"/>
    <w:rsid w:val="70B84AEA"/>
    <w:rsid w:val="70BA73D6"/>
    <w:rsid w:val="70D171F6"/>
    <w:rsid w:val="71033031"/>
    <w:rsid w:val="711A010D"/>
    <w:rsid w:val="71384F8A"/>
    <w:rsid w:val="715D620A"/>
    <w:rsid w:val="71A96202"/>
    <w:rsid w:val="71CF6942"/>
    <w:rsid w:val="724610A5"/>
    <w:rsid w:val="7258372B"/>
    <w:rsid w:val="72621DA4"/>
    <w:rsid w:val="727A76BE"/>
    <w:rsid w:val="72945F4F"/>
    <w:rsid w:val="72AB7696"/>
    <w:rsid w:val="7306587D"/>
    <w:rsid w:val="732C21E6"/>
    <w:rsid w:val="735A1725"/>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E3162"/>
    <w:rsid w:val="75695572"/>
    <w:rsid w:val="757C4776"/>
    <w:rsid w:val="75AF517F"/>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113955"/>
    <w:rsid w:val="772462D2"/>
    <w:rsid w:val="772E4ACD"/>
    <w:rsid w:val="773B415B"/>
    <w:rsid w:val="77562203"/>
    <w:rsid w:val="776970C2"/>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42437E"/>
    <w:rsid w:val="7B5800FE"/>
    <w:rsid w:val="7B647BE5"/>
    <w:rsid w:val="7B8B02EE"/>
    <w:rsid w:val="7B91477D"/>
    <w:rsid w:val="7BA674A3"/>
    <w:rsid w:val="7BD535D9"/>
    <w:rsid w:val="7BD54882"/>
    <w:rsid w:val="7BD65C61"/>
    <w:rsid w:val="7C1120EB"/>
    <w:rsid w:val="7C285AC3"/>
    <w:rsid w:val="7C442F72"/>
    <w:rsid w:val="7C443F36"/>
    <w:rsid w:val="7C6333F8"/>
    <w:rsid w:val="7C6D3BA7"/>
    <w:rsid w:val="7C813749"/>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C02B3B"/>
    <w:rsid w:val="7EC91566"/>
    <w:rsid w:val="7ECD1958"/>
    <w:rsid w:val="7EF936FE"/>
    <w:rsid w:val="7EFD2FAE"/>
    <w:rsid w:val="7F397B88"/>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125"/>
    <w:qFormat/>
    <w:uiPriority w:val="0"/>
    <w:pPr>
      <w:jc w:val="center"/>
      <w:outlineLvl w:val="0"/>
    </w:pPr>
    <w:rPr>
      <w:rFonts w:ascii="黑体" w:hAnsi="黑体" w:eastAsia="仿宋"/>
      <w:b/>
      <w:sz w:val="30"/>
      <w:highlight w:val="none"/>
    </w:rPr>
  </w:style>
  <w:style w:type="paragraph" w:styleId="4">
    <w:name w:val="heading 2"/>
    <w:basedOn w:val="1"/>
    <w:next w:val="1"/>
    <w:link w:val="126"/>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06"/>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6">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rFonts w:eastAsia="宋体"/>
      <w:b/>
      <w:sz w:val="28"/>
      <w:szCs w:val="20"/>
    </w:rPr>
  </w:style>
  <w:style w:type="paragraph" w:styleId="8">
    <w:name w:val="heading 6"/>
    <w:basedOn w:val="1"/>
    <w:next w:val="1"/>
    <w:link w:val="119"/>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9">
    <w:name w:val="heading 7"/>
    <w:basedOn w:val="1"/>
    <w:next w:val="1"/>
    <w:link w:val="114"/>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10">
    <w:name w:val="heading 8"/>
    <w:basedOn w:val="1"/>
    <w:next w:val="1"/>
    <w:link w:val="116"/>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1">
    <w:name w:val="heading 9"/>
    <w:basedOn w:val="1"/>
    <w:next w:val="1"/>
    <w:link w:val="127"/>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4">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customStyle="1" w:styleId="2">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styleId="12">
    <w:name w:val="toc 7"/>
    <w:basedOn w:val="1"/>
    <w:next w:val="1"/>
    <w:semiHidden/>
    <w:qFormat/>
    <w:uiPriority w:val="0"/>
    <w:pPr>
      <w:ind w:left="1200"/>
      <w:jc w:val="left"/>
    </w:pPr>
    <w:rPr>
      <w:rFonts w:ascii="Times New Roman" w:hAnsi="Times New Roman"/>
      <w:kern w:val="0"/>
      <w:sz w:val="18"/>
      <w:szCs w:val="18"/>
    </w:rPr>
  </w:style>
  <w:style w:type="paragraph" w:styleId="13">
    <w:name w:val="Normal Indent"/>
    <w:basedOn w:val="1"/>
    <w:qFormat/>
    <w:uiPriority w:val="0"/>
    <w:pPr>
      <w:ind w:firstLine="420" w:firstLineChars="200"/>
    </w:pPr>
    <w:rPr>
      <w:rFonts w:ascii="宋体" w:hAnsi="宋体"/>
      <w:kern w:val="0"/>
      <w:sz w:val="20"/>
      <w:szCs w:val="24"/>
    </w:rPr>
  </w:style>
  <w:style w:type="paragraph" w:styleId="14">
    <w:name w:val="caption"/>
    <w:basedOn w:val="1"/>
    <w:next w:val="1"/>
    <w:qFormat/>
    <w:uiPriority w:val="99"/>
    <w:pPr>
      <w:spacing w:before="152" w:after="160"/>
    </w:pPr>
    <w:rPr>
      <w:rFonts w:ascii="Arial" w:hAnsi="Arial" w:eastAsia="黑体" w:cs="Arial"/>
      <w:sz w:val="20"/>
      <w:szCs w:val="20"/>
    </w:rPr>
  </w:style>
  <w:style w:type="paragraph" w:styleId="15">
    <w:name w:val="Document Map"/>
    <w:basedOn w:val="1"/>
    <w:link w:val="128"/>
    <w:semiHidden/>
    <w:qFormat/>
    <w:uiPriority w:val="0"/>
    <w:pPr>
      <w:shd w:val="clear" w:color="auto" w:fill="000080"/>
    </w:pPr>
    <w:rPr>
      <w:rFonts w:ascii="宋体" w:hAnsi="宋体"/>
      <w:kern w:val="0"/>
      <w:sz w:val="20"/>
      <w:szCs w:val="24"/>
    </w:rPr>
  </w:style>
  <w:style w:type="paragraph" w:styleId="16">
    <w:name w:val="annotation text"/>
    <w:basedOn w:val="1"/>
    <w:link w:val="115"/>
    <w:qFormat/>
    <w:uiPriority w:val="0"/>
    <w:pPr>
      <w:jc w:val="left"/>
    </w:pPr>
    <w:rPr>
      <w:rFonts w:ascii="Courier New" w:hAnsi="Courier New"/>
      <w:color w:val="000000"/>
      <w:kern w:val="0"/>
      <w:sz w:val="24"/>
      <w:szCs w:val="24"/>
      <w:lang w:val="zh-CN"/>
    </w:rPr>
  </w:style>
  <w:style w:type="paragraph" w:styleId="17">
    <w:name w:val="Body Text"/>
    <w:basedOn w:val="1"/>
    <w:next w:val="1"/>
    <w:link w:val="111"/>
    <w:qFormat/>
    <w:uiPriority w:val="0"/>
    <w:pPr>
      <w:spacing w:after="120"/>
    </w:pPr>
    <w:rPr>
      <w:rFonts w:ascii="宋体" w:hAnsi="宋体"/>
      <w:kern w:val="0"/>
      <w:sz w:val="20"/>
      <w:szCs w:val="24"/>
    </w:rPr>
  </w:style>
  <w:style w:type="paragraph" w:styleId="18">
    <w:name w:val="Body Text Indent"/>
    <w:basedOn w:val="1"/>
    <w:next w:val="19"/>
    <w:link w:val="117"/>
    <w:qFormat/>
    <w:uiPriority w:val="0"/>
    <w:pPr>
      <w:spacing w:after="120"/>
      <w:ind w:left="420" w:leftChars="200"/>
    </w:pPr>
    <w:rPr>
      <w:rFonts w:ascii="宋体" w:hAnsi="宋体"/>
      <w:kern w:val="0"/>
      <w:sz w:val="20"/>
      <w:szCs w:val="24"/>
    </w:rPr>
  </w:style>
  <w:style w:type="paragraph" w:styleId="19">
    <w:name w:val="envelope return"/>
    <w:basedOn w:val="1"/>
    <w:qFormat/>
    <w:uiPriority w:val="0"/>
    <w:pPr>
      <w:snapToGrid w:val="0"/>
      <w:spacing w:line="360" w:lineRule="auto"/>
      <w:ind w:firstLine="200" w:firstLineChars="200"/>
    </w:pPr>
    <w:rPr>
      <w:rFonts w:ascii="Arial" w:hAnsi="Arial" w:cs="Arial"/>
      <w:sz w:val="24"/>
    </w:rPr>
  </w:style>
  <w:style w:type="paragraph" w:styleId="20">
    <w:name w:val="List 2"/>
    <w:basedOn w:val="1"/>
    <w:qFormat/>
    <w:uiPriority w:val="0"/>
    <w:pPr>
      <w:ind w:left="100" w:leftChars="200" w:hanging="200" w:hangingChars="200"/>
      <w:contextualSpacing/>
    </w:pPr>
  </w:style>
  <w:style w:type="paragraph" w:styleId="21">
    <w:name w:val="Block Text"/>
    <w:basedOn w:val="1"/>
    <w:qFormat/>
    <w:uiPriority w:val="0"/>
    <w:pPr>
      <w:ind w:left="-4" w:right="-108"/>
    </w:pPr>
    <w:rPr>
      <w:rFonts w:ascii="宋体" w:hAnsi="Times New Roman"/>
      <w:sz w:val="28"/>
      <w:szCs w:val="20"/>
    </w:rPr>
  </w:style>
  <w:style w:type="paragraph" w:styleId="22">
    <w:name w:val="toc 5"/>
    <w:basedOn w:val="1"/>
    <w:next w:val="1"/>
    <w:semiHidden/>
    <w:qFormat/>
    <w:uiPriority w:val="0"/>
    <w:pPr>
      <w:ind w:left="800"/>
      <w:jc w:val="left"/>
    </w:pPr>
    <w:rPr>
      <w:rFonts w:ascii="Times New Roman" w:hAnsi="Times New Roman"/>
      <w:kern w:val="0"/>
      <w:sz w:val="18"/>
      <w:szCs w:val="18"/>
    </w:rPr>
  </w:style>
  <w:style w:type="paragraph" w:styleId="23">
    <w:name w:val="toc 3"/>
    <w:basedOn w:val="1"/>
    <w:next w:val="1"/>
    <w:semiHidden/>
    <w:qFormat/>
    <w:uiPriority w:val="0"/>
    <w:pPr>
      <w:ind w:left="400"/>
      <w:jc w:val="left"/>
    </w:pPr>
    <w:rPr>
      <w:rFonts w:ascii="Times New Roman" w:hAnsi="Times New Roman"/>
      <w:i/>
      <w:iCs/>
      <w:kern w:val="0"/>
      <w:sz w:val="20"/>
      <w:szCs w:val="20"/>
    </w:rPr>
  </w:style>
  <w:style w:type="paragraph" w:styleId="24">
    <w:name w:val="Plain Text"/>
    <w:basedOn w:val="1"/>
    <w:link w:val="120"/>
    <w:qFormat/>
    <w:uiPriority w:val="0"/>
    <w:rPr>
      <w:rFonts w:ascii="宋体" w:hAnsi="Courier New"/>
      <w:szCs w:val="20"/>
    </w:rPr>
  </w:style>
  <w:style w:type="paragraph" w:styleId="25">
    <w:name w:val="toc 8"/>
    <w:basedOn w:val="1"/>
    <w:next w:val="1"/>
    <w:semiHidden/>
    <w:qFormat/>
    <w:uiPriority w:val="0"/>
    <w:pPr>
      <w:ind w:left="1400"/>
      <w:jc w:val="left"/>
    </w:pPr>
    <w:rPr>
      <w:rFonts w:ascii="Times New Roman" w:hAnsi="Times New Roman"/>
      <w:kern w:val="0"/>
      <w:sz w:val="18"/>
      <w:szCs w:val="18"/>
    </w:rPr>
  </w:style>
  <w:style w:type="paragraph" w:styleId="26">
    <w:name w:val="Date"/>
    <w:basedOn w:val="1"/>
    <w:next w:val="1"/>
    <w:link w:val="129"/>
    <w:unhideWhenUsed/>
    <w:qFormat/>
    <w:uiPriority w:val="99"/>
    <w:pPr>
      <w:ind w:left="100" w:leftChars="2500"/>
    </w:pPr>
  </w:style>
  <w:style w:type="paragraph" w:styleId="27">
    <w:name w:val="Body Text Indent 2"/>
    <w:basedOn w:val="1"/>
    <w:link w:val="130"/>
    <w:qFormat/>
    <w:uiPriority w:val="0"/>
    <w:pPr>
      <w:spacing w:after="120" w:line="480" w:lineRule="auto"/>
      <w:ind w:left="420" w:leftChars="200"/>
    </w:pPr>
    <w:rPr>
      <w:rFonts w:ascii="宋体" w:hAnsi="宋体"/>
      <w:kern w:val="0"/>
      <w:sz w:val="20"/>
      <w:szCs w:val="24"/>
    </w:rPr>
  </w:style>
  <w:style w:type="paragraph" w:styleId="28">
    <w:name w:val="Balloon Text"/>
    <w:basedOn w:val="1"/>
    <w:link w:val="131"/>
    <w:unhideWhenUsed/>
    <w:qFormat/>
    <w:uiPriority w:val="99"/>
    <w:rPr>
      <w:kern w:val="0"/>
      <w:sz w:val="18"/>
      <w:szCs w:val="18"/>
    </w:rPr>
  </w:style>
  <w:style w:type="paragraph" w:styleId="29">
    <w:name w:val="footer"/>
    <w:basedOn w:val="1"/>
    <w:link w:val="132"/>
    <w:unhideWhenUsed/>
    <w:qFormat/>
    <w:uiPriority w:val="99"/>
    <w:pPr>
      <w:tabs>
        <w:tab w:val="center" w:pos="4153"/>
        <w:tab w:val="right" w:pos="8306"/>
      </w:tabs>
      <w:snapToGrid w:val="0"/>
      <w:jc w:val="left"/>
    </w:pPr>
    <w:rPr>
      <w:kern w:val="0"/>
      <w:sz w:val="18"/>
      <w:szCs w:val="18"/>
    </w:rPr>
  </w:style>
  <w:style w:type="paragraph" w:styleId="30">
    <w:name w:val="header"/>
    <w:basedOn w:val="1"/>
    <w:link w:val="1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2">
    <w:name w:val="toc 4"/>
    <w:basedOn w:val="1"/>
    <w:next w:val="1"/>
    <w:semiHidden/>
    <w:qFormat/>
    <w:uiPriority w:val="0"/>
    <w:pPr>
      <w:ind w:left="600"/>
      <w:jc w:val="left"/>
    </w:pPr>
    <w:rPr>
      <w:rFonts w:ascii="Times New Roman" w:hAnsi="Times New Roman"/>
      <w:kern w:val="0"/>
      <w:sz w:val="18"/>
      <w:szCs w:val="18"/>
    </w:rPr>
  </w:style>
  <w:style w:type="paragraph" w:styleId="33">
    <w:name w:val="toc 6"/>
    <w:basedOn w:val="1"/>
    <w:next w:val="1"/>
    <w:semiHidden/>
    <w:qFormat/>
    <w:uiPriority w:val="0"/>
    <w:pPr>
      <w:ind w:left="1000"/>
      <w:jc w:val="left"/>
    </w:pPr>
    <w:rPr>
      <w:rFonts w:ascii="Times New Roman" w:hAnsi="Times New Roman"/>
      <w:kern w:val="0"/>
      <w:sz w:val="18"/>
      <w:szCs w:val="18"/>
    </w:rPr>
  </w:style>
  <w:style w:type="paragraph" w:styleId="34">
    <w:name w:val="Body Text Indent 3"/>
    <w:basedOn w:val="1"/>
    <w:qFormat/>
    <w:uiPriority w:val="0"/>
    <w:pPr>
      <w:spacing w:after="120" w:afterLines="0"/>
      <w:ind w:left="420" w:leftChars="200"/>
    </w:pPr>
    <w:rPr>
      <w:sz w:val="16"/>
      <w:szCs w:val="16"/>
    </w:rPr>
  </w:style>
  <w:style w:type="paragraph" w:styleId="35">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6">
    <w:name w:val="toc 9"/>
    <w:basedOn w:val="1"/>
    <w:next w:val="1"/>
    <w:semiHidden/>
    <w:qFormat/>
    <w:uiPriority w:val="0"/>
    <w:pPr>
      <w:ind w:left="1600"/>
      <w:jc w:val="left"/>
    </w:pPr>
    <w:rPr>
      <w:rFonts w:ascii="Times New Roman" w:hAnsi="Times New Roman"/>
      <w:kern w:val="0"/>
      <w:sz w:val="18"/>
      <w:szCs w:val="18"/>
    </w:rPr>
  </w:style>
  <w:style w:type="paragraph" w:styleId="37">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8">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9">
    <w:name w:val="Title"/>
    <w:basedOn w:val="1"/>
    <w:next w:val="1"/>
    <w:link w:val="134"/>
    <w:qFormat/>
    <w:uiPriority w:val="0"/>
    <w:pPr>
      <w:spacing w:before="240" w:after="60"/>
      <w:jc w:val="center"/>
      <w:outlineLvl w:val="0"/>
    </w:pPr>
    <w:rPr>
      <w:rFonts w:ascii="Arial" w:hAnsi="Arial"/>
      <w:b/>
      <w:bCs/>
      <w:kern w:val="0"/>
      <w:sz w:val="32"/>
      <w:szCs w:val="32"/>
    </w:rPr>
  </w:style>
  <w:style w:type="paragraph" w:styleId="40">
    <w:name w:val="annotation subject"/>
    <w:basedOn w:val="16"/>
    <w:next w:val="16"/>
    <w:link w:val="135"/>
    <w:semiHidden/>
    <w:qFormat/>
    <w:uiPriority w:val="0"/>
    <w:rPr>
      <w:rFonts w:ascii="宋体" w:hAnsi="宋体"/>
      <w:b/>
      <w:bCs/>
    </w:rPr>
  </w:style>
  <w:style w:type="paragraph" w:styleId="41">
    <w:name w:val="Body Text First Indent 2"/>
    <w:basedOn w:val="18"/>
    <w:next w:val="1"/>
    <w:qFormat/>
    <w:uiPriority w:val="0"/>
    <w:pPr>
      <w:spacing w:after="120"/>
      <w:ind w:left="200" w:leftChars="200" w:firstLine="420"/>
      <w:jc w:val="both"/>
    </w:pPr>
    <w:rPr>
      <w:rFonts w:ascii="Calibri" w:hAnsi="Calibri" w:eastAsia="宋体"/>
      <w:szCs w:val="24"/>
      <w:lang w:val="en-US"/>
    </w:rPr>
  </w:style>
  <w:style w:type="table" w:styleId="43">
    <w:name w:val="Table Grid"/>
    <w:basedOn w:val="4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basedOn w:val="44"/>
    <w:qFormat/>
    <w:uiPriority w:val="22"/>
    <w:rPr>
      <w:b/>
      <w:bCs/>
    </w:rPr>
  </w:style>
  <w:style w:type="character" w:styleId="46">
    <w:name w:val="page number"/>
    <w:qFormat/>
    <w:uiPriority w:val="0"/>
  </w:style>
  <w:style w:type="character" w:styleId="47">
    <w:name w:val="FollowedHyperlink"/>
    <w:qFormat/>
    <w:uiPriority w:val="0"/>
    <w:rPr>
      <w:rFonts w:hint="eastAsia" w:ascii="微软雅黑" w:hAnsi="微软雅黑" w:eastAsia="微软雅黑" w:cs="微软雅黑"/>
      <w:color w:val="333333"/>
      <w:sz w:val="21"/>
      <w:szCs w:val="21"/>
      <w:u w:val="none"/>
    </w:rPr>
  </w:style>
  <w:style w:type="character" w:styleId="48">
    <w:name w:val="Emphasis"/>
    <w:qFormat/>
    <w:uiPriority w:val="20"/>
  </w:style>
  <w:style w:type="character" w:styleId="49">
    <w:name w:val="HTML Definition"/>
    <w:unhideWhenUsed/>
    <w:qFormat/>
    <w:uiPriority w:val="99"/>
  </w:style>
  <w:style w:type="character" w:styleId="50">
    <w:name w:val="HTML Typewriter"/>
    <w:unhideWhenUsed/>
    <w:qFormat/>
    <w:uiPriority w:val="99"/>
    <w:rPr>
      <w:rFonts w:hint="default" w:ascii="monospace" w:hAnsi="monospace" w:eastAsia="monospace" w:cs="monospace"/>
      <w:sz w:val="20"/>
    </w:rPr>
  </w:style>
  <w:style w:type="character" w:styleId="51">
    <w:name w:val="HTML Acronym"/>
    <w:unhideWhenUsed/>
    <w:qFormat/>
    <w:uiPriority w:val="99"/>
  </w:style>
  <w:style w:type="character" w:styleId="52">
    <w:name w:val="HTML Variable"/>
    <w:unhideWhenUsed/>
    <w:qFormat/>
    <w:uiPriority w:val="99"/>
  </w:style>
  <w:style w:type="character" w:styleId="53">
    <w:name w:val="Hyperlink"/>
    <w:qFormat/>
    <w:uiPriority w:val="0"/>
    <w:rPr>
      <w:rFonts w:hint="eastAsia" w:ascii="微软雅黑" w:hAnsi="微软雅黑" w:eastAsia="微软雅黑" w:cs="微软雅黑"/>
      <w:color w:val="333333"/>
      <w:sz w:val="21"/>
      <w:szCs w:val="21"/>
      <w:u w:val="none"/>
    </w:rPr>
  </w:style>
  <w:style w:type="character" w:styleId="54">
    <w:name w:val="HTML Code"/>
    <w:unhideWhenUsed/>
    <w:qFormat/>
    <w:uiPriority w:val="99"/>
    <w:rPr>
      <w:rFonts w:hint="default" w:ascii="monospace" w:hAnsi="monospace" w:eastAsia="monospace" w:cs="monospace"/>
      <w:sz w:val="20"/>
    </w:rPr>
  </w:style>
  <w:style w:type="character" w:styleId="55">
    <w:name w:val="annotation reference"/>
    <w:qFormat/>
    <w:uiPriority w:val="0"/>
    <w:rPr>
      <w:sz w:val="21"/>
      <w:szCs w:val="21"/>
    </w:rPr>
  </w:style>
  <w:style w:type="character" w:styleId="56">
    <w:name w:val="HTML Cite"/>
    <w:unhideWhenUsed/>
    <w:qFormat/>
    <w:uiPriority w:val="99"/>
  </w:style>
  <w:style w:type="character" w:styleId="57">
    <w:name w:val="HTML Keyboard"/>
    <w:unhideWhenUsed/>
    <w:qFormat/>
    <w:uiPriority w:val="99"/>
    <w:rPr>
      <w:rFonts w:ascii="monospace" w:hAnsi="monospace" w:eastAsia="monospace" w:cs="monospace"/>
      <w:sz w:val="20"/>
    </w:rPr>
  </w:style>
  <w:style w:type="character" w:styleId="58">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9">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60">
    <w:name w:val="WPSOffice手动目录 1"/>
    <w:qFormat/>
    <w:uiPriority w:val="0"/>
    <w:pPr>
      <w:ind w:leftChars="0"/>
    </w:pPr>
    <w:rPr>
      <w:rFonts w:ascii="Times New Roman" w:hAnsi="Times New Roman" w:eastAsia="宋体" w:cs="Times New Roman"/>
      <w:sz w:val="20"/>
      <w:szCs w:val="20"/>
    </w:rPr>
  </w:style>
  <w:style w:type="paragraph" w:customStyle="1" w:styleId="61">
    <w:name w:val="Char"/>
    <w:basedOn w:val="15"/>
    <w:qFormat/>
    <w:uiPriority w:val="0"/>
    <w:pPr>
      <w:widowControl/>
    </w:pPr>
    <w:rPr>
      <w:rFonts w:ascii="Tahoma" w:hAnsi="Tahoma"/>
      <w:kern w:val="2"/>
      <w:sz w:val="24"/>
    </w:rPr>
  </w:style>
  <w:style w:type="paragraph" w:customStyle="1" w:styleId="62">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63">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4">
    <w:name w:val="正文文本 (2)1"/>
    <w:basedOn w:val="1"/>
    <w:link w:val="122"/>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7">
    <w:name w:val="GCEBStyles4"/>
    <w:basedOn w:val="1"/>
    <w:qFormat/>
    <w:uiPriority w:val="0"/>
    <w:pPr>
      <w:jc w:val="left"/>
      <w:outlineLvl w:val="4"/>
    </w:pPr>
    <w:rPr>
      <w:rFonts w:ascii="宋体" w:hAnsi="宋体"/>
      <w:b/>
      <w:bCs/>
      <w:kern w:val="0"/>
      <w:sz w:val="28"/>
      <w:szCs w:val="24"/>
    </w:rPr>
  </w:style>
  <w:style w:type="paragraph" w:customStyle="1" w:styleId="68">
    <w:name w:val="GCEBStyles7"/>
    <w:basedOn w:val="1"/>
    <w:qFormat/>
    <w:uiPriority w:val="0"/>
    <w:pPr>
      <w:jc w:val="left"/>
      <w:outlineLvl w:val="7"/>
    </w:pPr>
    <w:rPr>
      <w:rFonts w:ascii="黑体" w:hAnsi="宋体" w:eastAsia="黑体"/>
      <w:bCs/>
      <w:kern w:val="0"/>
      <w:sz w:val="24"/>
      <w:szCs w:val="24"/>
    </w:rPr>
  </w:style>
  <w:style w:type="paragraph" w:customStyle="1" w:styleId="6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0">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71">
    <w:name w:val="正文文本 (3)"/>
    <w:basedOn w:val="1"/>
    <w:link w:val="11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72">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73">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74">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75">
    <w:name w:val="List Paragraph1"/>
    <w:basedOn w:val="1"/>
    <w:qFormat/>
    <w:uiPriority w:val="0"/>
    <w:pPr>
      <w:ind w:firstLine="420" w:firstLineChars="200"/>
    </w:pPr>
    <w:rPr>
      <w:szCs w:val="21"/>
    </w:rPr>
  </w:style>
  <w:style w:type="paragraph" w:customStyle="1" w:styleId="76">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8">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9">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80">
    <w:name w:val="Style9"/>
    <w:basedOn w:val="1"/>
    <w:qFormat/>
    <w:uiPriority w:val="0"/>
    <w:pPr>
      <w:adjustRightInd w:val="0"/>
      <w:jc w:val="left"/>
    </w:pPr>
    <w:rPr>
      <w:rFonts w:ascii="宋体" w:hAnsi="Calibri" w:eastAsia="宋体" w:cs="Times New Roman"/>
      <w:kern w:val="0"/>
      <w:sz w:val="24"/>
      <w:szCs w:val="24"/>
    </w:rPr>
  </w:style>
  <w:style w:type="paragraph" w:styleId="81">
    <w:name w:val="List Paragraph"/>
    <w:basedOn w:val="1"/>
    <w:next w:val="1"/>
    <w:qFormat/>
    <w:uiPriority w:val="34"/>
    <w:pPr>
      <w:ind w:firstLine="420" w:firstLineChars="200"/>
    </w:pPr>
    <w:rPr>
      <w:rFonts w:ascii="Calibri" w:hAnsi="Calibri" w:cs="Times New Roman"/>
      <w:kern w:val="2"/>
      <w:sz w:val="21"/>
    </w:rPr>
  </w:style>
  <w:style w:type="paragraph" w:customStyle="1" w:styleId="82">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83">
    <w:name w:val="Char Char"/>
    <w:basedOn w:val="1"/>
    <w:qFormat/>
    <w:uiPriority w:val="0"/>
    <w:pPr>
      <w:ind w:firstLine="200" w:firstLineChars="200"/>
    </w:pPr>
    <w:rPr>
      <w:rFonts w:ascii="Times New Roman" w:hAnsi="Times New Roman"/>
      <w:szCs w:val="24"/>
    </w:rPr>
  </w:style>
  <w:style w:type="paragraph" w:customStyle="1" w:styleId="84">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5">
    <w:name w:val="GCEBStyles0"/>
    <w:basedOn w:val="1"/>
    <w:qFormat/>
    <w:uiPriority w:val="0"/>
    <w:pPr>
      <w:jc w:val="left"/>
      <w:outlineLvl w:val="0"/>
    </w:pPr>
    <w:rPr>
      <w:rFonts w:ascii="宋体" w:hAnsi="宋体"/>
      <w:b/>
      <w:bCs/>
      <w:kern w:val="0"/>
      <w:sz w:val="44"/>
      <w:szCs w:val="24"/>
    </w:rPr>
  </w:style>
  <w:style w:type="paragraph" w:customStyle="1" w:styleId="86">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7">
    <w:name w:val="GCEBStyles1"/>
    <w:basedOn w:val="1"/>
    <w:qFormat/>
    <w:uiPriority w:val="0"/>
    <w:pPr>
      <w:jc w:val="left"/>
      <w:outlineLvl w:val="1"/>
    </w:pPr>
    <w:rPr>
      <w:rFonts w:ascii="黑体" w:hAnsi="宋体" w:eastAsia="黑体"/>
      <w:b/>
      <w:bCs/>
      <w:kern w:val="0"/>
      <w:sz w:val="32"/>
      <w:szCs w:val="24"/>
    </w:rPr>
  </w:style>
  <w:style w:type="paragraph" w:customStyle="1" w:styleId="88">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9">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90">
    <w:name w:val="Table Paragraph"/>
    <w:basedOn w:val="1"/>
    <w:qFormat/>
    <w:uiPriority w:val="1"/>
    <w:pPr>
      <w:jc w:val="left"/>
    </w:pPr>
    <w:rPr>
      <w:rFonts w:cs="宋体"/>
      <w:sz w:val="22"/>
      <w:lang w:eastAsia="en-US"/>
    </w:rPr>
  </w:style>
  <w:style w:type="paragraph" w:customStyle="1" w:styleId="91">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2">
    <w:name w:val="GCEBStyles6"/>
    <w:basedOn w:val="1"/>
    <w:qFormat/>
    <w:uiPriority w:val="0"/>
    <w:pPr>
      <w:jc w:val="left"/>
      <w:outlineLvl w:val="6"/>
    </w:pPr>
    <w:rPr>
      <w:rFonts w:ascii="宋体" w:hAnsi="宋体"/>
      <w:b/>
      <w:bCs/>
      <w:kern w:val="0"/>
      <w:sz w:val="24"/>
      <w:szCs w:val="24"/>
    </w:rPr>
  </w:style>
  <w:style w:type="paragraph" w:customStyle="1" w:styleId="93">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4">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9"/>
    <w:next w:val="41"/>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font61"/>
    <w:qFormat/>
    <w:uiPriority w:val="0"/>
    <w:rPr>
      <w:rFonts w:hint="default" w:ascii="Times New Roman" w:hAnsi="Times New Roman" w:cs="Times New Roman"/>
      <w:color w:val="000000"/>
      <w:sz w:val="24"/>
      <w:szCs w:val="24"/>
      <w:u w:val="none"/>
    </w:rPr>
  </w:style>
  <w:style w:type="character" w:customStyle="1" w:styleId="106">
    <w:name w:val="标题 3 字符"/>
    <w:link w:val="5"/>
    <w:qFormat/>
    <w:uiPriority w:val="0"/>
    <w:rPr>
      <w:rFonts w:ascii="Times New Roman" w:hAnsi="Times New Roman"/>
      <w:b/>
      <w:sz w:val="32"/>
    </w:rPr>
  </w:style>
  <w:style w:type="character" w:customStyle="1" w:styleId="107">
    <w:name w:val="layui-laypage-curr"/>
    <w:qFormat/>
    <w:uiPriority w:val="0"/>
  </w:style>
  <w:style w:type="character" w:customStyle="1" w:styleId="108">
    <w:name w:val="layui-layer-tabnow"/>
    <w:qFormat/>
    <w:uiPriority w:val="0"/>
    <w:rPr>
      <w:bdr w:val="single" w:color="CCCCCC" w:sz="6" w:space="0"/>
      <w:shd w:val="clear" w:color="auto" w:fill="FFFFFF"/>
    </w:rPr>
  </w:style>
  <w:style w:type="character" w:customStyle="1" w:styleId="109">
    <w:name w:val="font91"/>
    <w:qFormat/>
    <w:uiPriority w:val="0"/>
    <w:rPr>
      <w:rFonts w:hint="eastAsia" w:ascii="宋体" w:hAnsi="宋体" w:eastAsia="宋体" w:cs="宋体"/>
      <w:color w:val="000000"/>
      <w:sz w:val="22"/>
      <w:szCs w:val="22"/>
      <w:u w:val="none"/>
    </w:rPr>
  </w:style>
  <w:style w:type="character" w:customStyle="1" w:styleId="110">
    <w:name w:val="hover1"/>
    <w:qFormat/>
    <w:uiPriority w:val="0"/>
    <w:rPr>
      <w:color w:val="2590EB"/>
    </w:rPr>
  </w:style>
  <w:style w:type="character" w:customStyle="1" w:styleId="111">
    <w:name w:val="正文文本 字符"/>
    <w:link w:val="17"/>
    <w:qFormat/>
    <w:uiPriority w:val="0"/>
    <w:rPr>
      <w:rFonts w:ascii="宋体" w:hAnsi="宋体"/>
      <w:szCs w:val="24"/>
    </w:rPr>
  </w:style>
  <w:style w:type="character" w:customStyle="1" w:styleId="112">
    <w:name w:val="标题 2 Char Char Char Char Char Char Char Char Char Char Char Char Char Char Char Char Char Char Char Char Char"/>
    <w:qFormat/>
    <w:uiPriority w:val="0"/>
  </w:style>
  <w:style w:type="character" w:customStyle="1" w:styleId="113">
    <w:name w:val="hover"/>
    <w:qFormat/>
    <w:uiPriority w:val="0"/>
    <w:rPr>
      <w:color w:val="2590EB"/>
    </w:rPr>
  </w:style>
  <w:style w:type="character" w:customStyle="1" w:styleId="114">
    <w:name w:val="标题 7 字符"/>
    <w:link w:val="9"/>
    <w:qFormat/>
    <w:uiPriority w:val="0"/>
    <w:rPr>
      <w:rFonts w:ascii="Times New Roman" w:hAnsi="Times New Roman"/>
      <w:b/>
      <w:bCs/>
      <w:sz w:val="24"/>
      <w:szCs w:val="24"/>
    </w:rPr>
  </w:style>
  <w:style w:type="character" w:customStyle="1" w:styleId="115">
    <w:name w:val="批注文字 字符"/>
    <w:link w:val="16"/>
    <w:qFormat/>
    <w:uiPriority w:val="0"/>
    <w:rPr>
      <w:rFonts w:ascii="Courier New" w:hAnsi="Courier New" w:eastAsia="宋体" w:cs="Courier New"/>
      <w:color w:val="000000"/>
      <w:kern w:val="0"/>
      <w:sz w:val="24"/>
      <w:szCs w:val="24"/>
      <w:lang w:val="zh-CN"/>
    </w:rPr>
  </w:style>
  <w:style w:type="character" w:customStyle="1" w:styleId="116">
    <w:name w:val="标题 8 字符"/>
    <w:link w:val="10"/>
    <w:qFormat/>
    <w:uiPriority w:val="0"/>
    <w:rPr>
      <w:rFonts w:ascii="Arial" w:hAnsi="Arial" w:eastAsia="黑体"/>
      <w:sz w:val="24"/>
      <w:szCs w:val="24"/>
    </w:rPr>
  </w:style>
  <w:style w:type="character" w:customStyle="1" w:styleId="117">
    <w:name w:val="正文文本缩进 字符"/>
    <w:link w:val="18"/>
    <w:qFormat/>
    <w:uiPriority w:val="0"/>
    <w:rPr>
      <w:rFonts w:ascii="宋体" w:hAnsi="宋体"/>
      <w:szCs w:val="24"/>
    </w:rPr>
  </w:style>
  <w:style w:type="character" w:customStyle="1" w:styleId="118">
    <w:name w:val="正文文本 (3)_"/>
    <w:link w:val="71"/>
    <w:qFormat/>
    <w:uiPriority w:val="0"/>
    <w:rPr>
      <w:rFonts w:ascii="MingLiU" w:eastAsia="MingLiU" w:cs="MingLiU"/>
      <w:spacing w:val="50"/>
      <w:sz w:val="50"/>
      <w:szCs w:val="50"/>
      <w:shd w:val="clear" w:color="auto" w:fill="FFFFFF"/>
    </w:rPr>
  </w:style>
  <w:style w:type="character" w:customStyle="1" w:styleId="119">
    <w:name w:val="标题 6 字符"/>
    <w:link w:val="8"/>
    <w:qFormat/>
    <w:uiPriority w:val="0"/>
    <w:rPr>
      <w:rFonts w:ascii="Arial" w:hAnsi="Arial" w:eastAsia="黑体"/>
      <w:b/>
      <w:bCs/>
      <w:sz w:val="24"/>
      <w:szCs w:val="24"/>
    </w:rPr>
  </w:style>
  <w:style w:type="character" w:customStyle="1" w:styleId="120">
    <w:name w:val="纯文本 字符"/>
    <w:link w:val="24"/>
    <w:qFormat/>
    <w:uiPriority w:val="0"/>
    <w:rPr>
      <w:rFonts w:ascii="宋体" w:hAnsi="Courier New"/>
      <w:kern w:val="2"/>
      <w:sz w:val="21"/>
    </w:rPr>
  </w:style>
  <w:style w:type="character" w:customStyle="1" w:styleId="121">
    <w:name w:val="font21"/>
    <w:qFormat/>
    <w:uiPriority w:val="0"/>
    <w:rPr>
      <w:rFonts w:hint="default" w:ascii="Arial" w:hAnsi="Arial" w:cs="Arial"/>
      <w:b/>
      <w:bCs/>
      <w:color w:val="000000"/>
      <w:sz w:val="20"/>
      <w:szCs w:val="20"/>
      <w:u w:val="none"/>
    </w:rPr>
  </w:style>
  <w:style w:type="character" w:customStyle="1" w:styleId="122">
    <w:name w:val="正文文本 (2)_"/>
    <w:link w:val="64"/>
    <w:qFormat/>
    <w:uiPriority w:val="0"/>
    <w:rPr>
      <w:rFonts w:ascii="MingLiU" w:eastAsia="MingLiU" w:cs="MingLiU"/>
      <w:sz w:val="22"/>
      <w:shd w:val="clear" w:color="auto" w:fill="FFFFFF"/>
    </w:rPr>
  </w:style>
  <w:style w:type="character" w:customStyle="1" w:styleId="123">
    <w:name w:val="flatpickr-day2"/>
    <w:basedOn w:val="44"/>
    <w:qFormat/>
    <w:uiPriority w:val="0"/>
  </w:style>
  <w:style w:type="character" w:customStyle="1" w:styleId="124">
    <w:name w:val="hover2"/>
    <w:qFormat/>
    <w:uiPriority w:val="0"/>
  </w:style>
  <w:style w:type="character" w:customStyle="1" w:styleId="125">
    <w:name w:val="标题 1 字符"/>
    <w:link w:val="3"/>
    <w:qFormat/>
    <w:uiPriority w:val="0"/>
    <w:rPr>
      <w:rFonts w:ascii="黑体" w:hAnsi="黑体" w:eastAsia="仿宋"/>
      <w:b/>
      <w:kern w:val="2"/>
      <w:sz w:val="30"/>
      <w:szCs w:val="22"/>
      <w:highlight w:val="none"/>
      <w:lang w:val="en-US" w:eastAsia="zh-CN" w:bidi="ar-SA"/>
    </w:rPr>
  </w:style>
  <w:style w:type="character" w:customStyle="1" w:styleId="126">
    <w:name w:val="标题 2 字符"/>
    <w:link w:val="4"/>
    <w:qFormat/>
    <w:uiPriority w:val="0"/>
    <w:rPr>
      <w:rFonts w:ascii="Arial" w:hAnsi="Arial" w:eastAsia="黑体"/>
      <w:b/>
      <w:bCs/>
      <w:sz w:val="32"/>
      <w:szCs w:val="32"/>
    </w:rPr>
  </w:style>
  <w:style w:type="character" w:customStyle="1" w:styleId="127">
    <w:name w:val="标题 9 字符"/>
    <w:link w:val="11"/>
    <w:qFormat/>
    <w:uiPriority w:val="0"/>
    <w:rPr>
      <w:rFonts w:ascii="Arial" w:hAnsi="Arial" w:eastAsia="黑体"/>
      <w:sz w:val="21"/>
      <w:szCs w:val="21"/>
    </w:rPr>
  </w:style>
  <w:style w:type="character" w:customStyle="1" w:styleId="128">
    <w:name w:val="文档结构图 字符"/>
    <w:link w:val="15"/>
    <w:semiHidden/>
    <w:qFormat/>
    <w:uiPriority w:val="0"/>
    <w:rPr>
      <w:rFonts w:ascii="宋体" w:hAnsi="宋体"/>
      <w:szCs w:val="24"/>
      <w:shd w:val="clear" w:color="auto" w:fill="000080"/>
    </w:rPr>
  </w:style>
  <w:style w:type="character" w:customStyle="1" w:styleId="129">
    <w:name w:val="日期 字符"/>
    <w:link w:val="26"/>
    <w:semiHidden/>
    <w:qFormat/>
    <w:uiPriority w:val="99"/>
  </w:style>
  <w:style w:type="character" w:customStyle="1" w:styleId="130">
    <w:name w:val="正文文本缩进 2 字符"/>
    <w:link w:val="27"/>
    <w:qFormat/>
    <w:uiPriority w:val="0"/>
    <w:rPr>
      <w:rFonts w:ascii="宋体" w:hAnsi="宋体"/>
      <w:szCs w:val="24"/>
    </w:rPr>
  </w:style>
  <w:style w:type="character" w:customStyle="1" w:styleId="131">
    <w:name w:val="批注框文本 字符"/>
    <w:link w:val="28"/>
    <w:semiHidden/>
    <w:qFormat/>
    <w:uiPriority w:val="99"/>
    <w:rPr>
      <w:sz w:val="18"/>
      <w:szCs w:val="18"/>
    </w:rPr>
  </w:style>
  <w:style w:type="character" w:customStyle="1" w:styleId="132">
    <w:name w:val="页脚 字符"/>
    <w:link w:val="29"/>
    <w:qFormat/>
    <w:uiPriority w:val="99"/>
    <w:rPr>
      <w:sz w:val="18"/>
      <w:szCs w:val="18"/>
    </w:rPr>
  </w:style>
  <w:style w:type="character" w:customStyle="1" w:styleId="133">
    <w:name w:val="页眉 字符"/>
    <w:link w:val="30"/>
    <w:qFormat/>
    <w:uiPriority w:val="99"/>
    <w:rPr>
      <w:sz w:val="18"/>
      <w:szCs w:val="18"/>
    </w:rPr>
  </w:style>
  <w:style w:type="character" w:customStyle="1" w:styleId="134">
    <w:name w:val="标题 字符"/>
    <w:link w:val="39"/>
    <w:qFormat/>
    <w:uiPriority w:val="0"/>
    <w:rPr>
      <w:rFonts w:ascii="Arial" w:hAnsi="Arial" w:cs="Arial"/>
      <w:b/>
      <w:bCs/>
      <w:sz w:val="32"/>
      <w:szCs w:val="32"/>
    </w:rPr>
  </w:style>
  <w:style w:type="character" w:customStyle="1" w:styleId="135">
    <w:name w:val="批注主题 字符"/>
    <w:link w:val="40"/>
    <w:semiHidden/>
    <w:qFormat/>
    <w:uiPriority w:val="0"/>
    <w:rPr>
      <w:rFonts w:ascii="宋体" w:hAnsi="宋体" w:eastAsia="宋体" w:cs="Courier New"/>
      <w:b/>
      <w:bCs/>
      <w:color w:val="000000"/>
      <w:kern w:val="0"/>
      <w:sz w:val="24"/>
      <w:szCs w:val="24"/>
      <w:lang w:val="zh-CN"/>
    </w:rPr>
  </w:style>
  <w:style w:type="character" w:customStyle="1" w:styleId="136">
    <w:name w:val="font51"/>
    <w:qFormat/>
    <w:uiPriority w:val="0"/>
    <w:rPr>
      <w:rFonts w:hint="eastAsia" w:ascii="宋体" w:hAnsi="宋体" w:eastAsia="宋体" w:cs="宋体"/>
      <w:color w:val="000000"/>
      <w:sz w:val="24"/>
      <w:szCs w:val="24"/>
      <w:u w:val="none"/>
    </w:rPr>
  </w:style>
  <w:style w:type="character" w:customStyle="1" w:styleId="137">
    <w:name w:val="font01"/>
    <w:qFormat/>
    <w:uiPriority w:val="0"/>
    <w:rPr>
      <w:rFonts w:hint="default" w:ascii="Arial" w:hAnsi="Arial" w:cs="Arial"/>
      <w:color w:val="000000"/>
      <w:sz w:val="20"/>
      <w:szCs w:val="20"/>
      <w:u w:val="none"/>
    </w:rPr>
  </w:style>
  <w:style w:type="character" w:customStyle="1" w:styleId="138">
    <w:name w:val="flatpickr-weekday"/>
    <w:basedOn w:val="44"/>
    <w:qFormat/>
    <w:uiPriority w:val="0"/>
    <w:rPr>
      <w:b/>
      <w:bCs/>
      <w:sz w:val="21"/>
      <w:szCs w:val="21"/>
    </w:rPr>
  </w:style>
  <w:style w:type="character" w:customStyle="1" w:styleId="139">
    <w:name w:val="font11"/>
    <w:qFormat/>
    <w:uiPriority w:val="0"/>
    <w:rPr>
      <w:rFonts w:hint="eastAsia" w:ascii="宋体" w:hAnsi="宋体" w:eastAsia="宋体" w:cs="宋体"/>
      <w:b/>
      <w:bCs/>
      <w:color w:val="000000"/>
      <w:sz w:val="20"/>
      <w:szCs w:val="20"/>
      <w:u w:val="none"/>
    </w:rPr>
  </w:style>
  <w:style w:type="character" w:customStyle="1" w:styleId="140">
    <w:name w:val="flatpickr-day"/>
    <w:qFormat/>
    <w:uiPriority w:val="0"/>
  </w:style>
  <w:style w:type="character" w:customStyle="1" w:styleId="141">
    <w:name w:val="first-child"/>
    <w:qFormat/>
    <w:uiPriority w:val="0"/>
  </w:style>
  <w:style w:type="character" w:customStyle="1" w:styleId="142">
    <w:name w:val="flatpickr-weekday2"/>
    <w:qFormat/>
    <w:uiPriority w:val="0"/>
    <w:rPr>
      <w:b/>
      <w:bCs/>
      <w:sz w:val="21"/>
      <w:szCs w:val="21"/>
    </w:rPr>
  </w:style>
  <w:style w:type="character" w:customStyle="1" w:styleId="143">
    <w:name w:val="标题1"/>
    <w:qFormat/>
    <w:uiPriority w:val="0"/>
  </w:style>
  <w:style w:type="character" w:customStyle="1" w:styleId="144">
    <w:name w:val="font31"/>
    <w:qFormat/>
    <w:uiPriority w:val="0"/>
    <w:rPr>
      <w:rFonts w:hint="eastAsia" w:ascii="宋体" w:hAnsi="宋体" w:eastAsia="宋体" w:cs="宋体"/>
      <w:color w:val="000000"/>
      <w:sz w:val="20"/>
      <w:szCs w:val="20"/>
      <w:u w:val="none"/>
    </w:rPr>
  </w:style>
  <w:style w:type="character" w:customStyle="1" w:styleId="145">
    <w:name w:val="正文文本 (2)"/>
    <w:qFormat/>
    <w:uiPriority w:val="0"/>
    <w:rPr>
      <w:rFonts w:ascii="MingLiU" w:eastAsia="MingLiU" w:cs="MingLiU"/>
      <w:sz w:val="22"/>
      <w:shd w:val="clear" w:color="auto" w:fill="FFFFFF"/>
    </w:rPr>
  </w:style>
  <w:style w:type="character" w:customStyle="1" w:styleId="146">
    <w:name w:val="font71"/>
    <w:qFormat/>
    <w:uiPriority w:val="0"/>
    <w:rPr>
      <w:rFonts w:ascii="仿宋_GB2312" w:eastAsia="仿宋_GB2312" w:cs="仿宋_GB2312"/>
      <w:color w:val="000000"/>
      <w:sz w:val="24"/>
      <w:szCs w:val="24"/>
      <w:u w:val="none"/>
    </w:rPr>
  </w:style>
  <w:style w:type="character" w:customStyle="1" w:styleId="147">
    <w:name w:val="font81"/>
    <w:qFormat/>
    <w:uiPriority w:val="0"/>
    <w:rPr>
      <w:rFonts w:hint="default" w:ascii="Times New Roman" w:hAnsi="Times New Roman" w:cs="Times New Roman"/>
      <w:color w:val="000000"/>
      <w:sz w:val="22"/>
      <w:szCs w:val="22"/>
      <w:u w:val="none"/>
    </w:rPr>
  </w:style>
  <w:style w:type="character" w:customStyle="1" w:styleId="148">
    <w:name w:val="hover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76</Pages>
  <Words>32483</Words>
  <Characters>34563</Characters>
  <Lines>273</Lines>
  <Paragraphs>77</Paragraphs>
  <TotalTime>317</TotalTime>
  <ScaleCrop>false</ScaleCrop>
  <LinksUpToDate>false</LinksUpToDate>
  <CharactersWithSpaces>35521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l</cp:lastModifiedBy>
  <cp:lastPrinted>2023-04-20T00:59:00Z</cp:lastPrinted>
  <dcterms:modified xsi:type="dcterms:W3CDTF">2026-08-13T05:46:23Z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259C79B18A2E457C9299917236FA5B74_13</vt:lpwstr>
  </property>
  <property fmtid="{D5CDD505-2E9C-101B-9397-08002B2CF9AE}" pid="4" name="KSOTemplateDocerSaveRecord">
    <vt:lpwstr>eyJoZGlkIjoiMTVhODhjMTUwZjUwNjkzMjQ0MTZlNTBlMWU0MzllYjAiLCJ1c2VySWQiOiIyNjI0NzI1In0=</vt:lpwstr>
  </property>
</Properties>
</file>