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366D5E">
      <w:pPr>
        <w:keepNext w:val="0"/>
        <w:keepLines w:val="0"/>
        <w:pageBreakBefore w:val="0"/>
        <w:widowControl w:val="0"/>
        <w:kinsoku/>
        <w:wordWrap/>
        <w:overflowPunct/>
        <w:topLinePunct w:val="0"/>
        <w:autoSpaceDE/>
        <w:autoSpaceDN/>
        <w:bidi w:val="0"/>
        <w:adjustRightInd/>
        <w:snapToGrid/>
        <w:spacing w:after="313" w:afterLines="100" w:line="360" w:lineRule="auto"/>
        <w:jc w:val="center"/>
        <w:textAlignment w:val="auto"/>
        <w:rPr>
          <w:rFonts w:asciiTheme="minorEastAsia" w:hAnsiTheme="minorEastAsia" w:cstheme="minorEastAsia"/>
          <w:color w:val="auto"/>
          <w:sz w:val="28"/>
          <w:szCs w:val="28"/>
        </w:rPr>
      </w:pPr>
      <w:r>
        <w:rPr>
          <w:rFonts w:hint="eastAsia" w:asciiTheme="minorEastAsia" w:hAnsiTheme="minorEastAsia" w:cstheme="minorEastAsia"/>
          <w:b/>
          <w:bCs/>
          <w:color w:val="auto"/>
          <w:sz w:val="32"/>
          <w:szCs w:val="32"/>
          <w:lang w:val="zh-CN"/>
        </w:rPr>
        <w:t>工程量清单</w:t>
      </w:r>
      <w:r>
        <w:rPr>
          <w:rFonts w:hint="eastAsia" w:asciiTheme="minorEastAsia" w:hAnsiTheme="minorEastAsia" w:cstheme="minorEastAsia"/>
          <w:b/>
          <w:bCs/>
          <w:color w:val="auto"/>
          <w:sz w:val="32"/>
          <w:szCs w:val="32"/>
        </w:rPr>
        <w:t>编制说明</w:t>
      </w:r>
    </w:p>
    <w:p w14:paraId="4C9E72E6">
      <w:pPr>
        <w:keepNext w:val="0"/>
        <w:keepLines w:val="0"/>
        <w:pageBreakBefore w:val="0"/>
        <w:widowControl w:val="0"/>
        <w:kinsoku/>
        <w:wordWrap/>
        <w:overflowPunct/>
        <w:topLinePunct w:val="0"/>
        <w:autoSpaceDE/>
        <w:autoSpaceDN/>
        <w:bidi w:val="0"/>
        <w:adjustRightInd/>
        <w:snapToGrid/>
        <w:spacing w:line="360" w:lineRule="auto"/>
        <w:ind w:left="0" w:firstLine="482" w:firstLineChars="200"/>
        <w:textAlignment w:val="auto"/>
        <w:rPr>
          <w:rFonts w:asciiTheme="minorEastAsia" w:hAnsiTheme="minorEastAsia" w:cstheme="minorEastAsia"/>
          <w:b/>
          <w:color w:val="auto"/>
          <w:sz w:val="24"/>
          <w:szCs w:val="24"/>
        </w:rPr>
      </w:pPr>
      <w:r>
        <w:rPr>
          <w:rFonts w:hint="eastAsia" w:asciiTheme="minorEastAsia" w:hAnsiTheme="minorEastAsia" w:cstheme="minorEastAsia"/>
          <w:b/>
          <w:color w:val="auto"/>
          <w:sz w:val="24"/>
          <w:szCs w:val="24"/>
          <w:lang w:val="zh-CN"/>
        </w:rPr>
        <w:t>一、工程概况：</w:t>
      </w:r>
    </w:p>
    <w:p w14:paraId="1E77E3EC">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80" w:firstLineChars="200"/>
        <w:textAlignment w:val="auto"/>
        <w:rPr>
          <w:rFonts w:asciiTheme="minorEastAsia" w:hAnsiTheme="minorEastAsia" w:cstheme="minorEastAsia"/>
          <w:color w:val="auto"/>
          <w:sz w:val="24"/>
          <w:szCs w:val="24"/>
          <w:lang w:val="zh-CN"/>
        </w:rPr>
      </w:pPr>
      <w:r>
        <w:rPr>
          <w:rFonts w:hint="eastAsia" w:asciiTheme="minorEastAsia" w:hAnsiTheme="minorEastAsia" w:cstheme="minorEastAsia"/>
          <w:color w:val="auto"/>
          <w:sz w:val="24"/>
          <w:szCs w:val="24"/>
          <w:lang w:val="zh-CN"/>
        </w:rPr>
        <w:t>工程名称：</w:t>
      </w:r>
      <w:r>
        <w:rPr>
          <w:rFonts w:hint="eastAsia" w:ascii="宋体" w:hAnsi="宋体" w:cs="宋体"/>
          <w:b w:val="0"/>
          <w:bCs w:val="0"/>
          <w:color w:val="auto"/>
          <w:kern w:val="1"/>
          <w:sz w:val="24"/>
          <w:szCs w:val="24"/>
        </w:rPr>
        <w:t>城东三区、黎明花园小区等2个老旧小区区间管网改造工程</w:t>
      </w:r>
      <w:r>
        <w:rPr>
          <w:rFonts w:hint="eastAsia" w:ascii="宋体" w:hAnsi="宋体" w:cs="宋体"/>
          <w:color w:val="auto"/>
          <w:sz w:val="24"/>
          <w:szCs w:val="22"/>
        </w:rPr>
        <w:t>；</w:t>
      </w:r>
    </w:p>
    <w:p w14:paraId="3B5E2AFF">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80" w:firstLineChars="200"/>
        <w:textAlignment w:val="auto"/>
        <w:rPr>
          <w:rFonts w:asciiTheme="minorEastAsia" w:hAnsiTheme="minorEastAsia" w:cstheme="minorEastAsia"/>
          <w:color w:val="auto"/>
          <w:sz w:val="24"/>
          <w:szCs w:val="24"/>
          <w:lang w:val="zh-CN"/>
        </w:rPr>
      </w:pPr>
      <w:r>
        <w:rPr>
          <w:rFonts w:hint="eastAsia" w:asciiTheme="minorEastAsia" w:hAnsiTheme="minorEastAsia" w:cstheme="minorEastAsia"/>
          <w:color w:val="auto"/>
          <w:sz w:val="24"/>
          <w:szCs w:val="24"/>
          <w:lang w:val="zh-CN"/>
        </w:rPr>
        <w:t>工程位置：乳山市</w:t>
      </w:r>
      <w:r>
        <w:rPr>
          <w:rFonts w:hint="eastAsia" w:asciiTheme="minorEastAsia" w:hAnsiTheme="minorEastAsia" w:cstheme="minorEastAsia"/>
          <w:color w:val="auto"/>
          <w:sz w:val="24"/>
          <w:szCs w:val="24"/>
          <w:lang w:val="en-US" w:eastAsia="zh-CN"/>
        </w:rPr>
        <w:t>内</w:t>
      </w:r>
      <w:r>
        <w:rPr>
          <w:rFonts w:hint="eastAsia" w:asciiTheme="minorEastAsia" w:hAnsiTheme="minorEastAsia" w:cstheme="minorEastAsia"/>
          <w:color w:val="auto"/>
          <w:sz w:val="24"/>
          <w:szCs w:val="24"/>
        </w:rPr>
        <w:t>；</w:t>
      </w:r>
    </w:p>
    <w:p w14:paraId="585286F3">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80" w:firstLineChars="200"/>
        <w:textAlignment w:val="auto"/>
        <w:rPr>
          <w:rFonts w:asciiTheme="minorEastAsia" w:hAnsiTheme="minorEastAsia" w:cstheme="minorEastAsia"/>
          <w:color w:val="auto"/>
          <w:sz w:val="24"/>
          <w:szCs w:val="24"/>
          <w:lang w:val="zh-CN"/>
        </w:rPr>
      </w:pPr>
      <w:r>
        <w:rPr>
          <w:rFonts w:hint="eastAsia" w:asciiTheme="minorEastAsia" w:hAnsiTheme="minorEastAsia" w:cstheme="minorEastAsia"/>
          <w:color w:val="auto"/>
          <w:sz w:val="24"/>
          <w:szCs w:val="24"/>
          <w:lang w:val="zh-CN"/>
        </w:rPr>
        <w:t>工程内容：</w:t>
      </w:r>
      <w:r>
        <w:rPr>
          <w:rFonts w:hint="eastAsia" w:ascii="宋体" w:hAnsi="宋体" w:cs="宋体"/>
          <w:b w:val="0"/>
          <w:bCs w:val="0"/>
          <w:color w:val="auto"/>
          <w:kern w:val="1"/>
          <w:sz w:val="24"/>
          <w:szCs w:val="24"/>
        </w:rPr>
        <w:t>室外、楼栋内暖气管道安装，阀门井砌筑等</w:t>
      </w:r>
      <w:r>
        <w:rPr>
          <w:rFonts w:hint="eastAsia" w:ascii="宋体" w:hAnsi="宋体" w:cs="宋体"/>
          <w:b w:val="0"/>
          <w:bCs w:val="0"/>
          <w:color w:val="auto"/>
          <w:kern w:val="1"/>
          <w:sz w:val="24"/>
          <w:szCs w:val="24"/>
          <w:lang w:eastAsia="zh-CN"/>
        </w:rPr>
        <w:t>。</w:t>
      </w:r>
    </w:p>
    <w:p w14:paraId="2CC000DE">
      <w:pPr>
        <w:keepNext w:val="0"/>
        <w:keepLines w:val="0"/>
        <w:pageBreakBefore w:val="0"/>
        <w:widowControl w:val="0"/>
        <w:kinsoku/>
        <w:wordWrap/>
        <w:overflowPunct/>
        <w:topLinePunct w:val="0"/>
        <w:autoSpaceDE/>
        <w:autoSpaceDN/>
        <w:bidi w:val="0"/>
        <w:adjustRightInd/>
        <w:snapToGrid/>
        <w:spacing w:line="360" w:lineRule="auto"/>
        <w:ind w:left="0" w:firstLine="482" w:firstLineChars="200"/>
        <w:textAlignment w:val="auto"/>
        <w:rPr>
          <w:rFonts w:asciiTheme="minorEastAsia" w:hAnsiTheme="minorEastAsia" w:cstheme="minorEastAsia"/>
          <w:b/>
          <w:color w:val="auto"/>
          <w:sz w:val="24"/>
          <w:szCs w:val="24"/>
          <w:lang w:val="zh-CN"/>
        </w:rPr>
      </w:pPr>
      <w:r>
        <w:rPr>
          <w:rFonts w:hint="eastAsia" w:asciiTheme="minorEastAsia" w:hAnsiTheme="minorEastAsia" w:cstheme="minorEastAsia"/>
          <w:b/>
          <w:color w:val="auto"/>
          <w:sz w:val="24"/>
          <w:szCs w:val="24"/>
          <w:lang w:val="zh-CN"/>
        </w:rPr>
        <w:t>二、编制范围：</w:t>
      </w:r>
    </w:p>
    <w:p w14:paraId="5B6C12B4">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color w:val="auto"/>
          <w:kern w:val="2"/>
          <w:sz w:val="24"/>
          <w:szCs w:val="22"/>
          <w:lang w:eastAsia="zh-CN"/>
        </w:rPr>
      </w:pPr>
      <w:r>
        <w:rPr>
          <w:rFonts w:hint="eastAsia" w:ascii="宋体" w:hAnsi="宋体" w:cs="宋体"/>
          <w:b w:val="0"/>
          <w:bCs w:val="0"/>
          <w:color w:val="auto"/>
          <w:kern w:val="1"/>
          <w:sz w:val="24"/>
          <w:szCs w:val="24"/>
        </w:rPr>
        <w:t>室外、楼栋内暖气管道安装，阀门井砌筑等</w:t>
      </w:r>
      <w:r>
        <w:rPr>
          <w:rFonts w:hint="eastAsia" w:ascii="宋体" w:hAnsi="宋体"/>
          <w:color w:val="auto"/>
          <w:kern w:val="2"/>
          <w:sz w:val="24"/>
          <w:szCs w:val="22"/>
          <w:lang w:eastAsia="zh-CN"/>
        </w:rPr>
        <w:t>。</w:t>
      </w:r>
    </w:p>
    <w:p w14:paraId="68794CDC">
      <w:pPr>
        <w:keepNext w:val="0"/>
        <w:keepLines w:val="0"/>
        <w:pageBreakBefore w:val="0"/>
        <w:widowControl w:val="0"/>
        <w:kinsoku/>
        <w:wordWrap/>
        <w:overflowPunct/>
        <w:topLinePunct w:val="0"/>
        <w:autoSpaceDE/>
        <w:autoSpaceDN/>
        <w:bidi w:val="0"/>
        <w:adjustRightInd/>
        <w:snapToGrid/>
        <w:spacing w:line="360" w:lineRule="auto"/>
        <w:ind w:left="0" w:firstLine="482" w:firstLineChars="200"/>
        <w:textAlignment w:val="auto"/>
        <w:rPr>
          <w:rFonts w:asciiTheme="minorEastAsia" w:hAnsiTheme="minorEastAsia" w:cstheme="minorEastAsia"/>
          <w:b/>
          <w:color w:val="auto"/>
          <w:sz w:val="24"/>
          <w:szCs w:val="24"/>
        </w:rPr>
      </w:pPr>
      <w:r>
        <w:rPr>
          <w:rFonts w:hint="eastAsia" w:asciiTheme="minorEastAsia" w:hAnsiTheme="minorEastAsia" w:cstheme="minorEastAsia"/>
          <w:b/>
          <w:color w:val="auto"/>
          <w:sz w:val="24"/>
          <w:szCs w:val="24"/>
        </w:rPr>
        <w:t>二</w:t>
      </w:r>
      <w:r>
        <w:rPr>
          <w:rFonts w:hint="eastAsia" w:asciiTheme="minorEastAsia" w:hAnsiTheme="minorEastAsia" w:cstheme="minorEastAsia"/>
          <w:b/>
          <w:color w:val="auto"/>
          <w:sz w:val="24"/>
          <w:szCs w:val="24"/>
          <w:lang w:val="zh-CN"/>
        </w:rPr>
        <w:t>、编制依据：</w:t>
      </w:r>
    </w:p>
    <w:p w14:paraId="59E0901D">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80" w:firstLineChars="200"/>
        <w:textAlignment w:val="auto"/>
        <w:rPr>
          <w:rFonts w:asciiTheme="minorEastAsia" w:hAnsiTheme="minorEastAsia" w:cstheme="minorEastAsia"/>
          <w:color w:val="auto"/>
          <w:sz w:val="24"/>
          <w:szCs w:val="24"/>
          <w:lang w:val="zh-CN"/>
        </w:rPr>
      </w:pPr>
      <w:r>
        <w:rPr>
          <w:rFonts w:hint="eastAsia" w:asciiTheme="minorEastAsia" w:hAnsiTheme="minorEastAsia" w:cstheme="minorEastAsia"/>
          <w:color w:val="auto"/>
          <w:sz w:val="24"/>
          <w:szCs w:val="24"/>
          <w:lang w:val="zh-CN"/>
        </w:rPr>
        <w:t>住建部《建设工程工程量清单计价规范》(GB50500-20</w:t>
      </w:r>
      <w:r>
        <w:rPr>
          <w:rFonts w:hint="eastAsia" w:asciiTheme="minorEastAsia" w:hAnsiTheme="minorEastAsia" w:cstheme="minorEastAsia"/>
          <w:color w:val="auto"/>
          <w:sz w:val="24"/>
          <w:szCs w:val="24"/>
          <w:lang w:val="en-US" w:eastAsia="zh-CN"/>
        </w:rPr>
        <w:t>24</w:t>
      </w:r>
      <w:r>
        <w:rPr>
          <w:rFonts w:hint="eastAsia" w:asciiTheme="minorEastAsia" w:hAnsiTheme="minorEastAsia" w:cstheme="minorEastAsia"/>
          <w:color w:val="auto"/>
          <w:sz w:val="24"/>
          <w:szCs w:val="24"/>
          <w:lang w:val="zh-CN"/>
        </w:rPr>
        <w:t>)；</w:t>
      </w:r>
    </w:p>
    <w:p w14:paraId="26C7471F">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80" w:firstLineChars="200"/>
        <w:textAlignment w:val="auto"/>
        <w:rPr>
          <w:rFonts w:asciiTheme="minorEastAsia" w:hAnsiTheme="minorEastAsia" w:cstheme="minorEastAsia"/>
          <w:color w:val="auto"/>
          <w:sz w:val="24"/>
          <w:szCs w:val="24"/>
          <w:lang w:val="zh-CN"/>
        </w:rPr>
      </w:pPr>
      <w:r>
        <w:rPr>
          <w:rFonts w:hint="eastAsia" w:asciiTheme="minorEastAsia" w:hAnsiTheme="minorEastAsia" w:cstheme="minorEastAsia"/>
          <w:color w:val="auto"/>
          <w:sz w:val="24"/>
          <w:szCs w:val="24"/>
          <w:lang w:val="zh-CN"/>
        </w:rPr>
        <w:t>住建部《通用安装工程计量规范》(GB50856-20</w:t>
      </w:r>
      <w:r>
        <w:rPr>
          <w:rFonts w:hint="eastAsia" w:asciiTheme="minorEastAsia" w:hAnsiTheme="minorEastAsia" w:cstheme="minorEastAsia"/>
          <w:color w:val="auto"/>
          <w:sz w:val="24"/>
          <w:szCs w:val="24"/>
          <w:lang w:val="en-US" w:eastAsia="zh-CN"/>
        </w:rPr>
        <w:t>24</w:t>
      </w:r>
      <w:r>
        <w:rPr>
          <w:rFonts w:hint="eastAsia" w:asciiTheme="minorEastAsia" w:hAnsiTheme="minorEastAsia" w:cstheme="minorEastAsia"/>
          <w:color w:val="auto"/>
          <w:sz w:val="24"/>
          <w:szCs w:val="24"/>
          <w:lang w:val="zh-CN"/>
        </w:rPr>
        <w:t>)；</w:t>
      </w:r>
    </w:p>
    <w:p w14:paraId="6CA0FD3B">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80" w:firstLineChars="200"/>
        <w:textAlignment w:val="auto"/>
        <w:rPr>
          <w:rFonts w:asciiTheme="minorEastAsia" w:hAnsiTheme="minorEastAsia" w:cstheme="minorEastAsia"/>
          <w:color w:val="auto"/>
          <w:sz w:val="24"/>
          <w:szCs w:val="24"/>
          <w:lang w:val="zh-CN"/>
        </w:rPr>
      </w:pPr>
      <w:r>
        <w:rPr>
          <w:rFonts w:hint="eastAsia" w:asciiTheme="minorEastAsia" w:hAnsiTheme="minorEastAsia" w:cstheme="minorEastAsia"/>
          <w:color w:val="auto"/>
          <w:sz w:val="24"/>
          <w:szCs w:val="24"/>
          <w:lang w:val="zh-CN"/>
        </w:rPr>
        <w:t>《山东省建设工程费用项目组成及计算规则》及其配套价目表；</w:t>
      </w:r>
    </w:p>
    <w:p w14:paraId="7ABBA6FF">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80" w:firstLineChars="200"/>
        <w:textAlignment w:val="auto"/>
        <w:rPr>
          <w:rFonts w:asciiTheme="minorEastAsia" w:hAnsiTheme="minorEastAsia" w:cstheme="minorEastAsia"/>
          <w:color w:val="auto"/>
          <w:sz w:val="24"/>
          <w:szCs w:val="24"/>
          <w:lang w:val="zh-CN"/>
        </w:rPr>
      </w:pPr>
      <w:r>
        <w:rPr>
          <w:rFonts w:hint="eastAsia" w:asciiTheme="minorEastAsia" w:hAnsiTheme="minorEastAsia" w:cstheme="minorEastAsia"/>
          <w:color w:val="auto"/>
          <w:sz w:val="24"/>
          <w:szCs w:val="24"/>
          <w:lang w:val="zh-CN"/>
        </w:rPr>
        <w:t>建设单位提供的图纸、做法及建设单位的相关说明等；</w:t>
      </w:r>
    </w:p>
    <w:p w14:paraId="2C236EBF">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80" w:firstLineChars="200"/>
        <w:textAlignment w:val="auto"/>
        <w:rPr>
          <w:rFonts w:asciiTheme="minorEastAsia" w:hAnsiTheme="minorEastAsia" w:cstheme="minorEastAsia"/>
          <w:color w:val="auto"/>
          <w:sz w:val="24"/>
          <w:szCs w:val="24"/>
          <w:lang w:val="zh-CN"/>
        </w:rPr>
      </w:pPr>
      <w:r>
        <w:rPr>
          <w:rFonts w:hint="eastAsia" w:asciiTheme="minorEastAsia" w:hAnsiTheme="minorEastAsia" w:cstheme="minorEastAsia"/>
          <w:color w:val="auto"/>
          <w:sz w:val="24"/>
          <w:szCs w:val="24"/>
          <w:lang w:val="zh-CN"/>
        </w:rPr>
        <w:t>与建设项目相关的标准设计图集、规范、技术资料等。</w:t>
      </w:r>
    </w:p>
    <w:p w14:paraId="35CF2441">
      <w:pPr>
        <w:keepNext w:val="0"/>
        <w:keepLines w:val="0"/>
        <w:pageBreakBefore w:val="0"/>
        <w:widowControl w:val="0"/>
        <w:kinsoku/>
        <w:wordWrap/>
        <w:overflowPunct/>
        <w:topLinePunct w:val="0"/>
        <w:autoSpaceDE/>
        <w:autoSpaceDN/>
        <w:bidi w:val="0"/>
        <w:adjustRightInd/>
        <w:snapToGrid/>
        <w:spacing w:line="360" w:lineRule="auto"/>
        <w:ind w:left="0" w:firstLine="482" w:firstLineChars="200"/>
        <w:textAlignment w:val="auto"/>
        <w:rPr>
          <w:rFonts w:asciiTheme="minorEastAsia" w:hAnsiTheme="minorEastAsia" w:cstheme="minorEastAsia"/>
          <w:b/>
          <w:color w:val="auto"/>
          <w:sz w:val="24"/>
          <w:szCs w:val="24"/>
          <w:highlight w:val="none"/>
        </w:rPr>
      </w:pPr>
      <w:r>
        <w:rPr>
          <w:rFonts w:hint="eastAsia" w:asciiTheme="minorEastAsia" w:hAnsiTheme="minorEastAsia" w:cstheme="minorEastAsia"/>
          <w:b/>
          <w:color w:val="auto"/>
          <w:sz w:val="24"/>
          <w:szCs w:val="24"/>
          <w:highlight w:val="none"/>
        </w:rPr>
        <w:t>三</w:t>
      </w:r>
      <w:r>
        <w:rPr>
          <w:rFonts w:hint="eastAsia" w:asciiTheme="minorEastAsia" w:hAnsiTheme="minorEastAsia" w:cstheme="minorEastAsia"/>
          <w:b/>
          <w:color w:val="auto"/>
          <w:sz w:val="24"/>
          <w:szCs w:val="24"/>
          <w:highlight w:val="none"/>
          <w:lang w:val="zh-CN"/>
        </w:rPr>
        <w:t>、说明事项：</w:t>
      </w:r>
    </w:p>
    <w:p w14:paraId="66EF1758">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textAlignment w:val="auto"/>
        <w:rPr>
          <w:rFonts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lang w:val="zh-CN"/>
        </w:rPr>
        <w:t>投标单位参与投标视为已考察工程现场，对现场情况（包括工地位置情况、道路、存贮空间、装运限制及任何其他足以影响报价的情况）已较为了解和充分预计，并能根据已了解情况合理组织完成施工。现场原有工程的实际情况（包括与其他专业施工单位交接过程中的各种因素）视为在报价中已充分考虑，任何因忽视或误解工地情况而导致的索赔或工期延长将不被批准。</w:t>
      </w:r>
    </w:p>
    <w:p w14:paraId="0101ACB3">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textAlignment w:val="auto"/>
        <w:rPr>
          <w:rFonts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lang w:val="zh-CN"/>
        </w:rPr>
        <w:t>所有清单综合单价应含其子目的全部工作内容的费用（与图纸和技术要求不一致、特别注明的除外），对不予计量的工作内容，其费用应视为已分摊在综合单价或总价之中。</w:t>
      </w:r>
    </w:p>
    <w:p w14:paraId="765A8D22">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textAlignment w:val="auto"/>
        <w:rPr>
          <w:rFonts w:asciiTheme="minorEastAsia" w:hAnsiTheme="minorEastAsia" w:cstheme="minorEastAsia"/>
          <w:color w:val="auto"/>
          <w:sz w:val="24"/>
          <w:szCs w:val="24"/>
          <w:highlight w:val="none"/>
          <w:lang w:val="zh-CN"/>
        </w:rPr>
      </w:pPr>
      <w:r>
        <w:rPr>
          <w:rFonts w:hint="eastAsia" w:asciiTheme="minorEastAsia" w:hAnsiTheme="minorEastAsia" w:cstheme="minorEastAsia"/>
          <w:color w:val="auto"/>
          <w:sz w:val="24"/>
          <w:szCs w:val="24"/>
          <w:highlight w:val="none"/>
          <w:lang w:val="zh-CN"/>
        </w:rPr>
        <w:t>投标单位在投标报价时，应根据企业自身实力结合市场信息，充分考虑市场竞争因素和市场风险进行自主报价。</w:t>
      </w:r>
    </w:p>
    <w:p w14:paraId="72187F66">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textAlignment w:val="auto"/>
        <w:rPr>
          <w:rFonts w:asciiTheme="minorEastAsia" w:hAnsiTheme="minorEastAsia" w:cstheme="minorEastAsia"/>
          <w:color w:val="auto"/>
          <w:sz w:val="24"/>
          <w:szCs w:val="24"/>
          <w:highlight w:val="none"/>
          <w:lang w:val="zh-CN"/>
        </w:rPr>
      </w:pPr>
      <w:r>
        <w:rPr>
          <w:rFonts w:hint="eastAsia" w:asciiTheme="minorEastAsia" w:hAnsiTheme="minorEastAsia" w:cstheme="minorEastAsia"/>
          <w:color w:val="auto"/>
          <w:sz w:val="24"/>
          <w:szCs w:val="24"/>
          <w:highlight w:val="none"/>
          <w:lang w:val="zh-CN"/>
        </w:rPr>
        <w:t>工程量清单计价表中的综合单价应包括完成本项目（清单子目）内容所需的人工费、材料费、机械使用费、制作费、运输费、安装费、管理费、利润、自主报价材料的采保费、损耗等，并考虑风险因素，以及为完成本工程项目（清单子目）的施工所发生于该工程施工前和施工过程中技术、生活、安全等方面的非工程实体项目费用，以及招标文件和合同中明确的其他责任和义务。</w:t>
      </w:r>
    </w:p>
    <w:p w14:paraId="1DF83C12">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textAlignment w:val="auto"/>
        <w:rPr>
          <w:rFonts w:asciiTheme="minorEastAsia" w:hAnsiTheme="minorEastAsia" w:cstheme="minorEastAsia"/>
          <w:color w:val="auto"/>
          <w:sz w:val="24"/>
          <w:szCs w:val="24"/>
          <w:highlight w:val="none"/>
          <w:lang w:val="zh-CN"/>
        </w:rPr>
      </w:pPr>
      <w:r>
        <w:rPr>
          <w:rFonts w:hint="eastAsia" w:asciiTheme="minorEastAsia" w:hAnsiTheme="minorEastAsia" w:cstheme="minorEastAsia"/>
          <w:color w:val="auto"/>
          <w:sz w:val="24"/>
          <w:szCs w:val="24"/>
          <w:highlight w:val="none"/>
          <w:lang w:val="zh-CN"/>
        </w:rPr>
        <w:t>投标单位应详细填写工程量清单计价表中的每一项综合单价及合价，如某一项没有填写视为已包括在其它项目清单的综合单价及总价内。</w:t>
      </w:r>
    </w:p>
    <w:p w14:paraId="449F5F80">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textAlignment w:val="auto"/>
        <w:rPr>
          <w:rFonts w:asciiTheme="minorEastAsia" w:hAnsiTheme="minorEastAsia" w:cstheme="minorEastAsia"/>
          <w:color w:val="auto"/>
          <w:sz w:val="24"/>
          <w:szCs w:val="24"/>
          <w:highlight w:val="none"/>
          <w:lang w:val="zh-CN"/>
        </w:rPr>
      </w:pPr>
      <w:r>
        <w:rPr>
          <w:rFonts w:hint="eastAsia" w:asciiTheme="minorEastAsia" w:hAnsiTheme="minorEastAsia" w:cstheme="minorEastAsia"/>
          <w:color w:val="auto"/>
          <w:sz w:val="24"/>
          <w:szCs w:val="24"/>
          <w:highlight w:val="none"/>
          <w:lang w:val="zh-CN"/>
        </w:rPr>
        <w:t>投标单位必须完成所有按国家相关法律法规、行业规范等文件要求的检验、检测和验收工作；由此产生的费用投标单位在报价时须予以考虑，结算时不增加此部分费用。</w:t>
      </w:r>
    </w:p>
    <w:p w14:paraId="30865B64">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textAlignment w:val="auto"/>
        <w:rPr>
          <w:rFonts w:asciiTheme="minorEastAsia" w:hAnsiTheme="minorEastAsia" w:cstheme="minorEastAsia"/>
          <w:color w:val="auto"/>
          <w:sz w:val="24"/>
          <w:szCs w:val="24"/>
          <w:highlight w:val="none"/>
          <w:lang w:val="zh-CN"/>
        </w:rPr>
      </w:pPr>
      <w:r>
        <w:rPr>
          <w:rFonts w:hint="eastAsia" w:asciiTheme="minorEastAsia" w:hAnsiTheme="minorEastAsia" w:cstheme="minorEastAsia"/>
          <w:color w:val="auto"/>
          <w:sz w:val="24"/>
          <w:szCs w:val="24"/>
          <w:highlight w:val="none"/>
          <w:lang w:val="zh-CN"/>
        </w:rPr>
        <w:t>工程施工中，为保证工程质量，施工单位自行采取的施工工艺、施工措施项目，均由投标单位在报价时自行考虑，结算时不增加此部分费用。</w:t>
      </w:r>
    </w:p>
    <w:p w14:paraId="67833566">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textAlignment w:val="auto"/>
        <w:rPr>
          <w:rFonts w:asciiTheme="minorEastAsia" w:hAnsiTheme="minorEastAsia" w:cstheme="minorEastAsia"/>
          <w:color w:val="auto"/>
          <w:sz w:val="24"/>
          <w:szCs w:val="24"/>
          <w:highlight w:val="none"/>
          <w:lang w:val="zh-CN"/>
        </w:rPr>
      </w:pPr>
      <w:r>
        <w:rPr>
          <w:rFonts w:hint="eastAsia" w:asciiTheme="minorEastAsia" w:hAnsiTheme="minorEastAsia" w:cstheme="minorEastAsia"/>
          <w:color w:val="auto"/>
          <w:sz w:val="24"/>
          <w:szCs w:val="24"/>
          <w:highlight w:val="none"/>
          <w:lang w:val="zh-CN"/>
        </w:rPr>
        <w:t>所有材料均应选用符合国标的产品，在投标文件中注明选用材料的品牌，所有由投标单位自主报价的材料，采购前中标单位均须提供样品，经招标人同意后方可使用；若中标单位提供的样品不符合招标文件的质量档次要求，招标人有权指定供应商，一切费用由中标单位承担。</w:t>
      </w:r>
    </w:p>
    <w:p w14:paraId="7ED72EFB">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textAlignment w:val="auto"/>
        <w:rPr>
          <w:rFonts w:asciiTheme="minorEastAsia" w:hAnsiTheme="minorEastAsia" w:cstheme="minorEastAsia"/>
          <w:color w:val="auto"/>
          <w:sz w:val="24"/>
          <w:szCs w:val="24"/>
          <w:highlight w:val="none"/>
          <w:lang w:val="zh-CN"/>
        </w:rPr>
      </w:pPr>
      <w:r>
        <w:rPr>
          <w:rFonts w:hint="eastAsia" w:asciiTheme="minorEastAsia" w:hAnsiTheme="minorEastAsia" w:cstheme="minorEastAsia"/>
          <w:color w:val="auto"/>
          <w:sz w:val="24"/>
          <w:szCs w:val="24"/>
          <w:highlight w:val="none"/>
          <w:lang w:val="zh-CN"/>
        </w:rPr>
        <w:t>工程量清单中的工作内容和项目特征描述，均为分部分项清单项目的主要内容。若有未列全的其他内容由投标单位按照招标文件、设计图纸、规范等资料要求综合考虑；设计及规范等资料未明确的由投标单位根据现场考察、施工经验和相关资料综合考虑；或于答疑前书面提出，在答疑时统一解决。所有分部分项工程量清单均以完成该清单项目的所有内容为准考虑到综合报价中，结算时不予调整。结算时对清单特征描述中未施工的部分予以相应的扣除。</w:t>
      </w:r>
    </w:p>
    <w:p w14:paraId="211CC3E1">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textAlignment w:val="auto"/>
        <w:rPr>
          <w:rFonts w:asciiTheme="minorEastAsia" w:hAnsiTheme="minorEastAsia" w:cstheme="minorEastAsia"/>
          <w:color w:val="auto"/>
          <w:sz w:val="24"/>
          <w:szCs w:val="24"/>
          <w:highlight w:val="none"/>
          <w:lang w:val="zh-CN"/>
        </w:rPr>
      </w:pPr>
      <w:r>
        <w:rPr>
          <w:rFonts w:hint="eastAsia" w:asciiTheme="minorEastAsia" w:hAnsiTheme="minorEastAsia" w:cstheme="minorEastAsia"/>
          <w:color w:val="auto"/>
          <w:sz w:val="24"/>
          <w:szCs w:val="24"/>
          <w:highlight w:val="none"/>
          <w:lang w:val="zh-CN"/>
        </w:rPr>
        <w:t>图纸与清单不符的以清单为准，清单未注明的以图纸为准。</w:t>
      </w:r>
    </w:p>
    <w:p w14:paraId="284A5D69">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textAlignment w:val="auto"/>
        <w:rPr>
          <w:rFonts w:asciiTheme="minorEastAsia" w:hAnsiTheme="minorEastAsia" w:cstheme="minorEastAsia"/>
          <w:color w:val="auto"/>
          <w:sz w:val="24"/>
          <w:szCs w:val="24"/>
          <w:highlight w:val="none"/>
        </w:rPr>
      </w:pPr>
      <w:r>
        <w:rPr>
          <w:rFonts w:hint="eastAsia" w:ascii="宋体" w:hAnsi="宋体"/>
          <w:color w:val="auto"/>
          <w:sz w:val="24"/>
          <w:szCs w:val="24"/>
          <w:highlight w:val="none"/>
          <w:lang w:val="zh-CN"/>
        </w:rPr>
        <w:t>本项目</w:t>
      </w:r>
      <w:r>
        <w:rPr>
          <w:rFonts w:hint="eastAsia" w:ascii="宋体" w:hAnsi="宋体"/>
          <w:color w:val="auto"/>
          <w:sz w:val="24"/>
          <w:szCs w:val="24"/>
          <w:highlight w:val="none"/>
        </w:rPr>
        <w:t>大型机械进出场及安拆</w:t>
      </w:r>
      <w:r>
        <w:rPr>
          <w:rFonts w:hint="eastAsia" w:ascii="宋体" w:hAnsi="宋体"/>
          <w:color w:val="auto"/>
          <w:sz w:val="24"/>
          <w:szCs w:val="24"/>
          <w:highlight w:val="none"/>
          <w:lang w:eastAsia="zh-CN"/>
        </w:rPr>
        <w:t>（塔吊除外）</w:t>
      </w:r>
      <w:r>
        <w:rPr>
          <w:rFonts w:hint="eastAsia" w:ascii="宋体" w:hAnsi="宋体"/>
          <w:color w:val="auto"/>
          <w:sz w:val="24"/>
          <w:szCs w:val="24"/>
          <w:highlight w:val="none"/>
        </w:rPr>
        <w:t>、</w:t>
      </w:r>
      <w:r>
        <w:rPr>
          <w:rFonts w:hint="eastAsia" w:ascii="宋体" w:hAnsi="宋体"/>
          <w:color w:val="auto"/>
          <w:sz w:val="24"/>
          <w:szCs w:val="24"/>
          <w:highlight w:val="none"/>
          <w:lang w:val="zh-CN"/>
        </w:rPr>
        <w:t>脚手架、垂直运输等费用应在报价中综合考虑，结算时不再增加。</w:t>
      </w:r>
    </w:p>
    <w:p w14:paraId="085D2D51">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jc w:val="left"/>
        <w:textAlignment w:val="auto"/>
        <w:rPr>
          <w:rFonts w:asciiTheme="minorEastAsia" w:hAnsiTheme="minorEastAsia" w:cstheme="minorEastAsia"/>
          <w:color w:val="auto"/>
          <w:sz w:val="24"/>
          <w:szCs w:val="24"/>
          <w:highlight w:val="none"/>
          <w:lang w:val="zh-CN"/>
        </w:rPr>
      </w:pPr>
      <w:r>
        <w:rPr>
          <w:rFonts w:hint="eastAsia" w:asciiTheme="minorEastAsia" w:hAnsiTheme="minorEastAsia" w:cstheme="minorEastAsia"/>
          <w:color w:val="auto"/>
          <w:sz w:val="24"/>
          <w:szCs w:val="24"/>
          <w:highlight w:val="none"/>
          <w:lang w:val="zh-CN"/>
        </w:rPr>
        <w:t>所有砂浆项均按成品砂浆考虑，结算时据实调整；</w:t>
      </w:r>
      <w:r>
        <w:rPr>
          <w:rFonts w:hint="eastAsia" w:asciiTheme="minorEastAsia" w:hAnsiTheme="minorEastAsia" w:cstheme="minorEastAsia"/>
          <w:color w:val="auto"/>
          <w:sz w:val="24"/>
          <w:szCs w:val="24"/>
          <w:highlight w:val="none"/>
        </w:rPr>
        <w:t>混凝土均采用商砼，各种添加剂已综合考虑。</w:t>
      </w:r>
    </w:p>
    <w:p w14:paraId="57D61DD6">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textAlignment w:val="auto"/>
        <w:rPr>
          <w:rFonts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所有</w:t>
      </w:r>
      <w:r>
        <w:rPr>
          <w:rFonts w:hint="eastAsia" w:asciiTheme="minorEastAsia" w:hAnsiTheme="minorEastAsia" w:cstheme="minorEastAsia"/>
          <w:color w:val="auto"/>
          <w:sz w:val="24"/>
          <w:szCs w:val="24"/>
          <w:highlight w:val="none"/>
          <w:lang w:val="en-US" w:eastAsia="zh-CN"/>
        </w:rPr>
        <w:t>供暖、采暖</w:t>
      </w:r>
      <w:r>
        <w:rPr>
          <w:rFonts w:hint="eastAsia" w:asciiTheme="minorEastAsia" w:hAnsiTheme="minorEastAsia" w:cstheme="minorEastAsia"/>
          <w:color w:val="auto"/>
          <w:sz w:val="24"/>
          <w:szCs w:val="24"/>
          <w:highlight w:val="none"/>
        </w:rPr>
        <w:t>管道安装、桥架的综合单价中都应包含管道、管件、穿墙套管</w:t>
      </w:r>
      <w:r>
        <w:rPr>
          <w:rFonts w:hint="eastAsia" w:asciiTheme="minorEastAsia" w:hAnsiTheme="minorEastAsia" w:cstheme="minorEastAsia"/>
          <w:color w:val="auto"/>
          <w:sz w:val="24"/>
          <w:szCs w:val="24"/>
          <w:highlight w:val="none"/>
          <w:lang w:eastAsia="zh-CN"/>
        </w:rPr>
        <w:t>，</w:t>
      </w:r>
      <w:r>
        <w:rPr>
          <w:rFonts w:hint="eastAsia" w:asciiTheme="minorEastAsia" w:hAnsiTheme="minorEastAsia" w:cstheme="minorEastAsia"/>
          <w:color w:val="auto"/>
          <w:sz w:val="24"/>
          <w:szCs w:val="24"/>
          <w:highlight w:val="none"/>
        </w:rPr>
        <w:t>及其刷油防腐、打堵洞眼剔槽及修复、防火堵漏、清理及与之相关的工作内容等。</w:t>
      </w:r>
    </w:p>
    <w:p w14:paraId="5F9375C5">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textAlignment w:val="auto"/>
        <w:rPr>
          <w:rFonts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lang w:val="en-US" w:eastAsia="zh-CN"/>
        </w:rPr>
        <w:t>管道</w:t>
      </w:r>
      <w:r>
        <w:rPr>
          <w:rFonts w:hint="eastAsia" w:asciiTheme="minorEastAsia" w:hAnsiTheme="minorEastAsia" w:cstheme="minorEastAsia"/>
          <w:color w:val="auto"/>
          <w:sz w:val="24"/>
          <w:szCs w:val="24"/>
          <w:highlight w:val="none"/>
        </w:rPr>
        <w:t>安装工程材料价格</w:t>
      </w:r>
      <w:r>
        <w:rPr>
          <w:rFonts w:hint="eastAsia" w:asciiTheme="minorEastAsia" w:hAnsiTheme="minorEastAsia" w:cstheme="minorEastAsia"/>
          <w:color w:val="auto"/>
          <w:sz w:val="24"/>
          <w:szCs w:val="24"/>
          <w:highlight w:val="none"/>
          <w:lang w:val="en-US" w:eastAsia="zh-CN"/>
        </w:rPr>
        <w:t>不在材料（工程设备）暂估单价及调整表内的部分</w:t>
      </w:r>
      <w:r>
        <w:rPr>
          <w:rFonts w:hint="eastAsia" w:asciiTheme="minorEastAsia" w:hAnsiTheme="minorEastAsia" w:cstheme="minorEastAsia"/>
          <w:color w:val="auto"/>
          <w:sz w:val="24"/>
          <w:szCs w:val="24"/>
          <w:highlight w:val="none"/>
        </w:rPr>
        <w:t>由投标单位自主报价，应严格符合国家质量标准。材料费计入综合单价内，并填入“主要材料汇总表”中；设备费不计入综合单价，列入设备费计入总造价，并填入“设备汇总表”中。</w:t>
      </w:r>
    </w:p>
    <w:p w14:paraId="60F6F9BD">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textAlignment w:val="auto"/>
        <w:rPr>
          <w:rFonts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安装过程中除单独列项的调试费外其他各种系统调试费用均分别包含在各个相应清单的综合单价中，结算时无论何种情况均不调整。</w:t>
      </w:r>
    </w:p>
    <w:p w14:paraId="230542D5">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textAlignment w:val="auto"/>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安装工程的超高增加费均分别包含在各个相应清单的综合单价中，结算时无论何种情况均不调整。</w:t>
      </w:r>
    </w:p>
    <w:p w14:paraId="643F0D38">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textAlignment w:val="auto"/>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若投标人有不平衡报价的单项产生了做法或材质变更，结算价格以清单控制价的单价为基准来调差。</w:t>
      </w:r>
    </w:p>
    <w:p w14:paraId="67685B76">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textAlignment w:val="auto"/>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本项目前期投入的临时设施、安全文明施工等费用，待中标人与招标人协商解决。</w:t>
      </w:r>
    </w:p>
    <w:p w14:paraId="6CB5349A">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textAlignment w:val="auto"/>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投标人报价需考虑管道穿楼板或墙体的开孔或封堵费用，结算时不予调整。</w:t>
      </w:r>
    </w:p>
    <w:p w14:paraId="535789C9">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textAlignment w:val="auto"/>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投标人须有优化各管线标高、位置等交叉布局的能力，施工前要优化设计图纸，各管线施工产生的返工费用，结算一概不予计算。</w:t>
      </w:r>
    </w:p>
    <w:p w14:paraId="2BFB420A">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textAlignment w:val="auto"/>
        <w:rPr>
          <w:rFonts w:hint="eastAsia" w:asciiTheme="minorEastAsia" w:hAnsiTheme="minorEastAsia" w:cstheme="minorEastAsia"/>
          <w:color w:val="auto"/>
          <w:sz w:val="24"/>
          <w:szCs w:val="24"/>
        </w:rPr>
      </w:pPr>
      <w:r>
        <w:rPr>
          <w:rFonts w:hint="eastAsia" w:asciiTheme="minorEastAsia" w:hAnsiTheme="minorEastAsia" w:cstheme="minorEastAsia"/>
          <w:color w:val="auto"/>
          <w:sz w:val="24"/>
          <w:szCs w:val="24"/>
        </w:rPr>
        <w:t>变更导致实际完成的工程量超过已标价工程量清单工程量15%的，招标人有权将实际完成的工程量超过已标价工程量清单工程量15%以外部分单价重新组价。</w:t>
      </w:r>
    </w:p>
    <w:p w14:paraId="5496D133">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textAlignment w:val="auto"/>
        <w:rPr>
          <w:rFonts w:hint="eastAsia" w:asciiTheme="minorEastAsia" w:hAnsiTheme="minorEastAsia" w:cstheme="minorEastAsia"/>
          <w:color w:val="FF0000"/>
          <w:sz w:val="24"/>
          <w:szCs w:val="24"/>
        </w:rPr>
      </w:pPr>
      <w:r>
        <w:rPr>
          <w:rFonts w:hint="eastAsia" w:asciiTheme="minorEastAsia" w:hAnsiTheme="minorEastAsia" w:cstheme="minorEastAsia"/>
          <w:color w:val="FF0000"/>
          <w:sz w:val="24"/>
          <w:szCs w:val="24"/>
          <w:lang w:eastAsia="zh-CN"/>
        </w:rPr>
        <w:t>本工程可调价材料表中只有</w:t>
      </w:r>
      <w:r>
        <w:rPr>
          <w:rFonts w:hint="eastAsia" w:asciiTheme="minorEastAsia" w:hAnsiTheme="minorEastAsia" w:cstheme="minorEastAsia"/>
          <w:color w:val="FF0000"/>
          <w:sz w:val="24"/>
          <w:szCs w:val="24"/>
          <w:lang w:val="en-US" w:eastAsia="zh-CN"/>
        </w:rPr>
        <w:t>角钢</w:t>
      </w:r>
      <w:r>
        <w:rPr>
          <w:rFonts w:hint="eastAsia" w:asciiTheme="minorEastAsia" w:hAnsiTheme="minorEastAsia" w:cstheme="minorEastAsia"/>
          <w:color w:val="FF0000"/>
          <w:sz w:val="24"/>
          <w:szCs w:val="24"/>
          <w:lang w:eastAsia="zh-CN"/>
        </w:rPr>
        <w:t>（综合）一种材料，在结算时只要符合调价原则的其它主要材料均视为可调价材料，调价基准单价以控制价中的单价为准。</w:t>
      </w:r>
    </w:p>
    <w:p w14:paraId="6C80E4F6">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Theme="minorEastAsia" w:hAnsiTheme="minorEastAsia" w:cstheme="minorEastAsia"/>
          <w:color w:val="auto"/>
          <w:sz w:val="24"/>
          <w:szCs w:val="24"/>
          <w:highlight w:val="none"/>
          <w:lang w:val="zh-CN"/>
        </w:rPr>
      </w:pPr>
      <w:r>
        <w:rPr>
          <w:rFonts w:hint="eastAsia" w:asciiTheme="minorEastAsia" w:hAnsiTheme="minorEastAsia" w:cstheme="minorEastAsia"/>
          <w:color w:val="FF0000"/>
          <w:sz w:val="24"/>
          <w:szCs w:val="24"/>
          <w:lang w:val="en-US" w:eastAsia="zh-CN"/>
        </w:rPr>
        <w:t>保温管道、阀门、铸铁井盖都为甲供，</w:t>
      </w:r>
      <w:r>
        <w:rPr>
          <w:rFonts w:hint="eastAsia" w:ascii="宋体" w:hAnsi="宋体" w:eastAsia="宋体" w:cs="宋体"/>
          <w:bCs/>
          <w:color w:val="auto"/>
          <w:sz w:val="24"/>
          <w:szCs w:val="24"/>
          <w:highlight w:val="none"/>
          <w:lang w:val="zh-CN"/>
        </w:rPr>
        <w:t>投标单位应按照给定的金额正常计入投标总价中；均不能随意改动。</w:t>
      </w:r>
    </w:p>
    <w:p w14:paraId="50B1961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cstheme="minorEastAsia"/>
          <w:color w:val="auto"/>
          <w:sz w:val="24"/>
          <w:szCs w:val="24"/>
          <w:highlight w:val="none"/>
          <w:lang w:val="zh-CN"/>
        </w:rPr>
      </w:pPr>
      <w:r>
        <w:rPr>
          <w:rFonts w:hint="eastAsia" w:asciiTheme="minorEastAsia" w:hAnsiTheme="minorEastAsia" w:cstheme="minorEastAsia"/>
          <w:color w:val="auto"/>
          <w:sz w:val="24"/>
          <w:szCs w:val="24"/>
          <w:highlight w:val="none"/>
          <w:lang w:val="en-US" w:eastAsia="zh-CN"/>
        </w:rPr>
        <w:t>24、</w:t>
      </w:r>
      <w:r>
        <w:rPr>
          <w:rFonts w:hint="eastAsia" w:asciiTheme="minorEastAsia" w:hAnsiTheme="minorEastAsia" w:cstheme="minorEastAsia"/>
          <w:color w:val="auto"/>
          <w:sz w:val="24"/>
          <w:szCs w:val="24"/>
          <w:highlight w:val="none"/>
          <w:lang w:val="zh-CN"/>
        </w:rPr>
        <w:t>本工程量清单按增值税一般计税模式编制。</w:t>
      </w:r>
    </w:p>
    <w:p w14:paraId="6F7736E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cstheme="minorEastAsia"/>
          <w:color w:val="auto"/>
          <w:sz w:val="24"/>
          <w:szCs w:val="24"/>
          <w:highlight w:val="none"/>
          <w:lang w:val="zh-CN"/>
        </w:rPr>
      </w:pPr>
      <w:r>
        <w:rPr>
          <w:rFonts w:hint="eastAsia" w:ascii="宋体" w:hAnsi="宋体" w:eastAsia="宋体" w:cs="宋体"/>
          <w:bCs/>
          <w:color w:val="auto"/>
          <w:sz w:val="24"/>
          <w:szCs w:val="24"/>
          <w:highlight w:val="none"/>
          <w:lang w:val="en-US" w:eastAsia="zh-CN"/>
        </w:rPr>
        <w:t>25、</w:t>
      </w:r>
      <w:r>
        <w:rPr>
          <w:rFonts w:hint="eastAsia" w:ascii="宋体" w:hAnsi="宋体" w:eastAsia="宋体" w:cs="宋体"/>
          <w:bCs/>
          <w:color w:val="auto"/>
          <w:sz w:val="24"/>
          <w:szCs w:val="24"/>
          <w:highlight w:val="none"/>
          <w:lang w:val="zh-CN"/>
        </w:rPr>
        <w:t>本次招标列有暂列金</w:t>
      </w:r>
      <w:r>
        <w:rPr>
          <w:rFonts w:hint="eastAsia" w:ascii="宋体" w:hAnsi="宋体" w:eastAsia="宋体" w:cs="宋体"/>
          <w:bCs/>
          <w:color w:val="auto"/>
          <w:sz w:val="24"/>
          <w:szCs w:val="24"/>
          <w:highlight w:val="none"/>
          <w:lang w:val="en-US" w:eastAsia="zh-CN"/>
        </w:rPr>
        <w:t>58950.43</w:t>
      </w:r>
      <w:r>
        <w:rPr>
          <w:rFonts w:hint="eastAsia" w:ascii="宋体" w:hAnsi="宋体" w:eastAsia="宋体" w:cs="宋体"/>
          <w:bCs/>
          <w:color w:val="auto"/>
          <w:sz w:val="24"/>
          <w:szCs w:val="24"/>
          <w:highlight w:val="none"/>
          <w:lang w:val="zh-CN"/>
        </w:rPr>
        <w:t>元</w:t>
      </w:r>
      <w:r>
        <w:rPr>
          <w:rFonts w:hint="eastAsia" w:ascii="宋体" w:hAnsi="宋体" w:eastAsia="宋体" w:cs="宋体"/>
          <w:bCs/>
          <w:color w:val="auto"/>
          <w:sz w:val="24"/>
          <w:szCs w:val="24"/>
          <w:highlight w:val="none"/>
          <w:lang w:val="en-US" w:eastAsia="zh-CN"/>
        </w:rPr>
        <w:t>，</w:t>
      </w:r>
      <w:r>
        <w:rPr>
          <w:rFonts w:hint="eastAsia" w:ascii="宋体" w:hAnsi="宋体" w:eastAsia="宋体" w:cs="宋体"/>
          <w:bCs/>
          <w:color w:val="auto"/>
          <w:sz w:val="24"/>
          <w:szCs w:val="24"/>
          <w:highlight w:val="none"/>
          <w:lang w:val="zh-CN"/>
        </w:rPr>
        <w:t>投标单位应按照给定的金额正常计取费用后计入投标总价中；均不能随意删除、改动。</w:t>
      </w:r>
    </w:p>
    <w:p w14:paraId="3E620EA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cstheme="minorEastAsia"/>
          <w:color w:val="auto"/>
          <w:sz w:val="24"/>
          <w:szCs w:val="24"/>
          <w:lang w:val="zh-CN"/>
        </w:rPr>
      </w:pPr>
      <w:r>
        <w:rPr>
          <w:rFonts w:hint="eastAsia" w:asciiTheme="minorEastAsia" w:hAnsiTheme="minorEastAsia" w:cstheme="minorEastAsia"/>
          <w:color w:val="auto"/>
          <w:sz w:val="24"/>
          <w:szCs w:val="24"/>
          <w:lang w:val="en-US" w:eastAsia="zh-CN"/>
        </w:rPr>
        <w:t>26、</w:t>
      </w:r>
      <w:r>
        <w:rPr>
          <w:rFonts w:hint="eastAsia" w:asciiTheme="minorEastAsia" w:hAnsiTheme="minorEastAsia" w:cstheme="minorEastAsia"/>
          <w:color w:val="auto"/>
          <w:sz w:val="24"/>
          <w:szCs w:val="24"/>
          <w:lang w:val="zh-CN"/>
        </w:rPr>
        <w:t>此次清单表格仅供参考，以投标系统自动生成的表格为准。若有疑问按规定提出答疑。</w:t>
      </w:r>
    </w:p>
    <w:p w14:paraId="21B1FB64">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left"/>
        <w:textAlignment w:val="auto"/>
        <w:rPr>
          <w:rFonts w:hint="eastAsia" w:asciiTheme="minorEastAsia" w:hAnsiTheme="minorEastAsia" w:cstheme="minorEastAsia"/>
          <w:color w:val="auto"/>
          <w:sz w:val="24"/>
          <w:szCs w:val="24"/>
          <w:highlight w:val="red"/>
          <w:lang w:val="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72C0F"/>
    <w:multiLevelType w:val="singleLevel"/>
    <w:tmpl w:val="82672C0F"/>
    <w:lvl w:ilvl="0" w:tentative="0">
      <w:start w:val="1"/>
      <w:numFmt w:val="decimal"/>
      <w:suff w:val="nothing"/>
      <w:lvlText w:val="%1、"/>
      <w:lvlJc w:val="left"/>
      <w:pPr>
        <w:ind w:left="0" w:firstLine="397"/>
      </w:pPr>
      <w:rPr>
        <w:rFonts w:hint="default"/>
      </w:rPr>
    </w:lvl>
  </w:abstractNum>
  <w:abstractNum w:abstractNumId="1">
    <w:nsid w:val="C5BC1D79"/>
    <w:multiLevelType w:val="singleLevel"/>
    <w:tmpl w:val="C5BC1D79"/>
    <w:lvl w:ilvl="0" w:tentative="0">
      <w:start w:val="1"/>
      <w:numFmt w:val="decimal"/>
      <w:suff w:val="nothing"/>
      <w:lvlText w:val="%1、"/>
      <w:lvlJc w:val="left"/>
      <w:pPr>
        <w:ind w:left="0" w:firstLine="397"/>
      </w:pPr>
      <w:rPr>
        <w:rFonts w:hint="default"/>
      </w:rPr>
    </w:lvl>
  </w:abstractNum>
  <w:abstractNum w:abstractNumId="2">
    <w:nsid w:val="0624DCAB"/>
    <w:multiLevelType w:val="singleLevel"/>
    <w:tmpl w:val="0624DCAB"/>
    <w:lvl w:ilvl="0" w:tentative="0">
      <w:start w:val="1"/>
      <w:numFmt w:val="decimal"/>
      <w:suff w:val="nothing"/>
      <w:lvlText w:val="%1、"/>
      <w:lvlJc w:val="left"/>
      <w:pPr>
        <w:ind w:left="0" w:firstLine="397"/>
      </w:pPr>
      <w:rPr>
        <w:rFont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IzZDE3YzI3Y2U5M2ZlZGJkODUxOTE1OGY3ZTRmYWIifQ=="/>
  </w:docVars>
  <w:rsids>
    <w:rsidRoot w:val="00172A27"/>
    <w:rsid w:val="000009C3"/>
    <w:rsid w:val="00044A45"/>
    <w:rsid w:val="00053565"/>
    <w:rsid w:val="00061E27"/>
    <w:rsid w:val="0006556D"/>
    <w:rsid w:val="00072C81"/>
    <w:rsid w:val="00083897"/>
    <w:rsid w:val="000D15B1"/>
    <w:rsid w:val="000E15E4"/>
    <w:rsid w:val="000E1887"/>
    <w:rsid w:val="00172A27"/>
    <w:rsid w:val="001A152F"/>
    <w:rsid w:val="001B3BA5"/>
    <w:rsid w:val="001C397E"/>
    <w:rsid w:val="001E3AD9"/>
    <w:rsid w:val="002731E9"/>
    <w:rsid w:val="002751A2"/>
    <w:rsid w:val="00276FAB"/>
    <w:rsid w:val="002A6614"/>
    <w:rsid w:val="00326CD7"/>
    <w:rsid w:val="00370525"/>
    <w:rsid w:val="003C1CC6"/>
    <w:rsid w:val="003C7170"/>
    <w:rsid w:val="003D2AF7"/>
    <w:rsid w:val="00453531"/>
    <w:rsid w:val="00460979"/>
    <w:rsid w:val="004E5D36"/>
    <w:rsid w:val="00512E67"/>
    <w:rsid w:val="00525982"/>
    <w:rsid w:val="00527214"/>
    <w:rsid w:val="0059692B"/>
    <w:rsid w:val="005A3F63"/>
    <w:rsid w:val="005B4C64"/>
    <w:rsid w:val="005D154E"/>
    <w:rsid w:val="005E1C63"/>
    <w:rsid w:val="006002DA"/>
    <w:rsid w:val="00603929"/>
    <w:rsid w:val="00604569"/>
    <w:rsid w:val="00631818"/>
    <w:rsid w:val="00671460"/>
    <w:rsid w:val="006B1527"/>
    <w:rsid w:val="006B650C"/>
    <w:rsid w:val="006D44E9"/>
    <w:rsid w:val="006D7F93"/>
    <w:rsid w:val="00703C20"/>
    <w:rsid w:val="007437F1"/>
    <w:rsid w:val="00785CE6"/>
    <w:rsid w:val="007A46FF"/>
    <w:rsid w:val="007B3196"/>
    <w:rsid w:val="007B4B6D"/>
    <w:rsid w:val="00803340"/>
    <w:rsid w:val="00854ADB"/>
    <w:rsid w:val="00865CFA"/>
    <w:rsid w:val="008C6BAD"/>
    <w:rsid w:val="008E73CC"/>
    <w:rsid w:val="00906ED0"/>
    <w:rsid w:val="009373F3"/>
    <w:rsid w:val="009C664A"/>
    <w:rsid w:val="009E1DB4"/>
    <w:rsid w:val="00A37E1B"/>
    <w:rsid w:val="00A92E48"/>
    <w:rsid w:val="00AA5090"/>
    <w:rsid w:val="00AA5535"/>
    <w:rsid w:val="00AB5D1B"/>
    <w:rsid w:val="00B061C1"/>
    <w:rsid w:val="00B51F2B"/>
    <w:rsid w:val="00B76C94"/>
    <w:rsid w:val="00BC614A"/>
    <w:rsid w:val="00BE0778"/>
    <w:rsid w:val="00C2705F"/>
    <w:rsid w:val="00C44FD9"/>
    <w:rsid w:val="00C656EB"/>
    <w:rsid w:val="00CA5E74"/>
    <w:rsid w:val="00CC4946"/>
    <w:rsid w:val="00CF0FE1"/>
    <w:rsid w:val="00CF1D64"/>
    <w:rsid w:val="00D2426B"/>
    <w:rsid w:val="00DE084F"/>
    <w:rsid w:val="00E37ED1"/>
    <w:rsid w:val="00E623D5"/>
    <w:rsid w:val="00E84D26"/>
    <w:rsid w:val="00EF4865"/>
    <w:rsid w:val="00F62201"/>
    <w:rsid w:val="00F96A77"/>
    <w:rsid w:val="0105499C"/>
    <w:rsid w:val="016039BE"/>
    <w:rsid w:val="019E6BE9"/>
    <w:rsid w:val="03844A49"/>
    <w:rsid w:val="04227123"/>
    <w:rsid w:val="05967617"/>
    <w:rsid w:val="05A87C52"/>
    <w:rsid w:val="07C70344"/>
    <w:rsid w:val="0C1D73D9"/>
    <w:rsid w:val="0CCE30F0"/>
    <w:rsid w:val="0F9E13E2"/>
    <w:rsid w:val="11AC5BAA"/>
    <w:rsid w:val="12F6033C"/>
    <w:rsid w:val="15962489"/>
    <w:rsid w:val="16022F3E"/>
    <w:rsid w:val="16445BF1"/>
    <w:rsid w:val="18C73B24"/>
    <w:rsid w:val="1911069A"/>
    <w:rsid w:val="192A2780"/>
    <w:rsid w:val="19FD63F8"/>
    <w:rsid w:val="1D570A82"/>
    <w:rsid w:val="1FB3609E"/>
    <w:rsid w:val="20307EEF"/>
    <w:rsid w:val="21CC572E"/>
    <w:rsid w:val="22271EFA"/>
    <w:rsid w:val="262B06FE"/>
    <w:rsid w:val="263848E2"/>
    <w:rsid w:val="280175EF"/>
    <w:rsid w:val="299F1400"/>
    <w:rsid w:val="2B145D66"/>
    <w:rsid w:val="2CA313CD"/>
    <w:rsid w:val="2CE978B3"/>
    <w:rsid w:val="2DAD1690"/>
    <w:rsid w:val="2DC0643E"/>
    <w:rsid w:val="2F68547D"/>
    <w:rsid w:val="30853541"/>
    <w:rsid w:val="308816AB"/>
    <w:rsid w:val="32BB0556"/>
    <w:rsid w:val="35C60A7D"/>
    <w:rsid w:val="35F00D29"/>
    <w:rsid w:val="36DA7D33"/>
    <w:rsid w:val="381043FC"/>
    <w:rsid w:val="38EE4366"/>
    <w:rsid w:val="39091941"/>
    <w:rsid w:val="3B9804E8"/>
    <w:rsid w:val="3F0E29A7"/>
    <w:rsid w:val="3F2841E5"/>
    <w:rsid w:val="40AE527C"/>
    <w:rsid w:val="40F10F52"/>
    <w:rsid w:val="42E303BC"/>
    <w:rsid w:val="44E36B62"/>
    <w:rsid w:val="45A63B34"/>
    <w:rsid w:val="47314659"/>
    <w:rsid w:val="47423398"/>
    <w:rsid w:val="49B17965"/>
    <w:rsid w:val="4AFA7D64"/>
    <w:rsid w:val="4C144C5B"/>
    <w:rsid w:val="4D6C7200"/>
    <w:rsid w:val="4EEB1436"/>
    <w:rsid w:val="4EEE7AED"/>
    <w:rsid w:val="4FF329C5"/>
    <w:rsid w:val="52EE0663"/>
    <w:rsid w:val="58D30CEA"/>
    <w:rsid w:val="59293815"/>
    <w:rsid w:val="597162CE"/>
    <w:rsid w:val="5A937D30"/>
    <w:rsid w:val="5A9629CA"/>
    <w:rsid w:val="5BDE751B"/>
    <w:rsid w:val="5FAF2865"/>
    <w:rsid w:val="5FF40153"/>
    <w:rsid w:val="619516E5"/>
    <w:rsid w:val="61C22FDF"/>
    <w:rsid w:val="62B41255"/>
    <w:rsid w:val="6639293E"/>
    <w:rsid w:val="68DF3641"/>
    <w:rsid w:val="6D6070DD"/>
    <w:rsid w:val="6DE90583"/>
    <w:rsid w:val="6FFD045F"/>
    <w:rsid w:val="704B7BC9"/>
    <w:rsid w:val="73B81647"/>
    <w:rsid w:val="74D358B3"/>
    <w:rsid w:val="75421554"/>
    <w:rsid w:val="760504C0"/>
    <w:rsid w:val="7701470A"/>
    <w:rsid w:val="79AD1598"/>
    <w:rsid w:val="7AE302C4"/>
    <w:rsid w:val="7B887EFF"/>
    <w:rsid w:val="7D6E6008"/>
    <w:rsid w:val="7EEE5CBE"/>
    <w:rsid w:val="7FC1762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link w:val="9"/>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qFormat/>
    <w:uiPriority w:val="99"/>
    <w:rPr>
      <w:sz w:val="18"/>
      <w:szCs w:val="18"/>
    </w:rPr>
  </w:style>
  <w:style w:type="character" w:customStyle="1" w:styleId="9">
    <w:name w:val="批注框文本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3</Pages>
  <Words>2075</Words>
  <Characters>2116</Characters>
  <Lines>16</Lines>
  <Paragraphs>4</Paragraphs>
  <TotalTime>9</TotalTime>
  <ScaleCrop>false</ScaleCrop>
  <LinksUpToDate>false</LinksUpToDate>
  <CharactersWithSpaces>2116</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2022-03-19T00:27:00Z</dcterms:created>
  <dc:creator>Administrator</dc:creator>
  <cp:lastModifiedBy>我是...</cp:lastModifiedBy>
  <cp:lastPrinted>2021-05-08T08:07:00Z</cp:lastPrinted>
  <dcterms:modified xsi:type="dcterms:W3CDTF">2026-09-08T03:00:57Z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1ABB1A3D966F473AA46983A25B142A72_13</vt:lpwstr>
  </property>
  <property fmtid="{D5CDD505-2E9C-101B-9397-08002B2CF9AE}" pid="4" name="KSOTemplateDocerSaveRecord">
    <vt:lpwstr>eyJoZGlkIjoiYmYwOGJiMGUxM2FiZTRiMGU3OWRlZTg3YzljOTRmYjIiLCJ1c2VySWQiOiI5MjExMzE4MTkifQ==</vt:lpwstr>
  </property>
</Properties>
</file>