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7EEB1">
      <w:pPr>
        <w:pageBreakBefore w:val="0"/>
        <w:kinsoku/>
        <w:wordWrap w:val="0"/>
        <w:overflowPunct/>
        <w:topLinePunct w:val="0"/>
        <w:bidi w:val="0"/>
        <w:adjustRightInd/>
        <w:snapToGrid/>
        <w:spacing w:line="360" w:lineRule="exact"/>
        <w:jc w:val="right"/>
        <w:rPr>
          <w:rFonts w:hint="eastAsia" w:ascii="宋体" w:hAnsi="宋体" w:eastAsia="宋体" w:cs="宋体"/>
          <w:b w:val="0"/>
          <w:bCs/>
          <w:color w:val="000000" w:themeColor="text1"/>
          <w:sz w:val="32"/>
          <w:szCs w:val="32"/>
          <w:highlight w:val="none"/>
          <w:lang w:eastAsia="zh-CN"/>
          <w14:textFill>
            <w14:solidFill>
              <w14:schemeClr w14:val="tx1"/>
            </w14:solidFill>
          </w14:textFill>
        </w:rPr>
      </w:pPr>
      <w:r>
        <w:rPr>
          <w:rFonts w:hint="eastAsia" w:ascii="宋体" w:hAnsi="宋体" w:eastAsia="宋体" w:cs="宋体"/>
          <w:b w:val="0"/>
          <w:bCs/>
          <w:color w:val="000000" w:themeColor="text1"/>
          <w:sz w:val="32"/>
          <w:szCs w:val="32"/>
          <w:highlight w:val="none"/>
          <w14:textFill>
            <w14:solidFill>
              <w14:schemeClr w14:val="tx1"/>
            </w14:solidFill>
          </w14:textFill>
        </w:rPr>
        <w:t>招标编号：</w:t>
      </w:r>
      <w:r>
        <w:rPr>
          <w:rFonts w:hint="eastAsia" w:ascii="宋体" w:hAnsi="宋体" w:eastAsia="宋体" w:cs="宋体"/>
          <w:b w:val="0"/>
          <w:bCs/>
          <w:color w:val="000000" w:themeColor="text1"/>
          <w:sz w:val="32"/>
          <w:szCs w:val="32"/>
          <w:highlight w:val="none"/>
          <w:lang w:eastAsia="zh-CN"/>
          <w14:textFill>
            <w14:solidFill>
              <w14:schemeClr w14:val="tx1"/>
            </w14:solidFill>
          </w14:textFill>
        </w:rPr>
        <w:t>PURM202604070001</w:t>
      </w:r>
    </w:p>
    <w:p w14:paraId="0E1E0CDB">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4B3FC5D7">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6EA4444A">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275597F8">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1A58D2FE">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0539FFEE">
      <w:pPr>
        <w:pStyle w:val="51"/>
        <w:pageBreakBefore w:val="0"/>
        <w:kinsoku/>
        <w:overflowPunct/>
        <w:topLinePunct w:val="0"/>
        <w:bidi w:val="0"/>
        <w:adjustRightInd/>
        <w:snapToGrid/>
        <w:ind w:left="0" w:leftChars="0" w:firstLine="0" w:firstLineChars="0"/>
        <w:jc w:val="center"/>
        <w:rPr>
          <w:rFonts w:hint="eastAsia" w:ascii="宋体" w:hAnsi="宋体" w:eastAsia="宋体" w:cs="宋体"/>
          <w:b w:val="0"/>
          <w:bCs/>
          <w:color w:val="000000" w:themeColor="text1"/>
          <w:highlight w:val="none"/>
          <w:lang w:eastAsia="zh-CN"/>
          <w14:textFill>
            <w14:solidFill>
              <w14:schemeClr w14:val="tx1"/>
            </w14:solidFill>
          </w14:textFill>
        </w:rPr>
      </w:pPr>
      <w:r>
        <w:rPr>
          <w:rFonts w:hint="eastAsia" w:ascii="宋体" w:hAnsi="宋体" w:eastAsia="宋体" w:cs="宋体"/>
          <w:b w:val="0"/>
          <w:bCs/>
          <w:color w:val="000000" w:themeColor="text1"/>
          <w:sz w:val="52"/>
          <w:szCs w:val="52"/>
          <w:highlight w:val="none"/>
          <w:lang w:val="en-US" w:eastAsia="zh-CN"/>
          <w14:textFill>
            <w14:solidFill>
              <w14:schemeClr w14:val="tx1"/>
            </w14:solidFill>
          </w14:textFill>
        </w:rPr>
        <w:t>选定劳务服务供应商</w:t>
      </w:r>
    </w:p>
    <w:p w14:paraId="4D2A7E3B">
      <w:pPr>
        <w:pageBreakBefore w:val="0"/>
        <w:kinsoku/>
        <w:overflowPunct/>
        <w:topLinePunct w:val="0"/>
        <w:bidi w:val="0"/>
        <w:adjustRightInd/>
        <w:snapToGrid/>
        <w:jc w:val="center"/>
        <w:rPr>
          <w:rFonts w:hint="eastAsia" w:ascii="宋体" w:hAnsi="宋体" w:eastAsia="宋体" w:cs="宋体"/>
          <w:b w:val="0"/>
          <w:bCs/>
          <w:color w:val="000000" w:themeColor="text1"/>
          <w:highlight w:val="none"/>
          <w:lang w:eastAsia="zh-CN"/>
          <w14:textFill>
            <w14:solidFill>
              <w14:schemeClr w14:val="tx1"/>
            </w14:solidFill>
          </w14:textFill>
        </w:rPr>
      </w:pPr>
      <w:r>
        <w:rPr>
          <w:rFonts w:hint="eastAsia" w:ascii="宋体" w:hAnsi="宋体" w:eastAsia="宋体" w:cs="宋体"/>
          <w:b w:val="0"/>
          <w:bCs/>
          <w:color w:val="000000" w:themeColor="text1"/>
          <w:sz w:val="36"/>
          <w:szCs w:val="36"/>
          <w:highlight w:val="none"/>
          <w:lang w:eastAsia="zh-CN"/>
          <w14:textFill>
            <w14:solidFill>
              <w14:schemeClr w14:val="tx1"/>
            </w14:solidFill>
          </w14:textFill>
        </w:rPr>
        <w:t>（</w:t>
      </w:r>
      <w:r>
        <w:rPr>
          <w:rFonts w:hint="eastAsia" w:ascii="宋体" w:hAnsi="宋体" w:eastAsia="宋体" w:cs="宋体"/>
          <w:b w:val="0"/>
          <w:bCs/>
          <w:color w:val="000000" w:themeColor="text1"/>
          <w:sz w:val="36"/>
          <w:szCs w:val="36"/>
          <w:highlight w:val="none"/>
          <w:lang w:val="en-US" w:eastAsia="zh-CN"/>
          <w14:textFill>
            <w14:solidFill>
              <w14:schemeClr w14:val="tx1"/>
            </w14:solidFill>
          </w14:textFill>
        </w:rPr>
        <w:t>第2轮</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w:t>
      </w:r>
    </w:p>
    <w:p w14:paraId="3F6B6E79">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06420AEA">
      <w:pPr>
        <w:pageBreakBefore w:val="0"/>
        <w:kinsoku/>
        <w:overflowPunct/>
        <w:topLinePunct w:val="0"/>
        <w:bidi w:val="0"/>
        <w:adjustRightInd/>
        <w:snapToGrid/>
        <w:spacing w:before="156" w:beforeLines="50" w:line="360" w:lineRule="auto"/>
        <w:ind w:firstLine="3905" w:firstLineChars="751"/>
        <w:rPr>
          <w:rFonts w:hint="eastAsia" w:ascii="宋体" w:hAnsi="宋体" w:eastAsia="宋体" w:cs="宋体"/>
          <w:b w:val="0"/>
          <w:bCs/>
          <w:color w:val="000000" w:themeColor="text1"/>
          <w:sz w:val="52"/>
          <w:szCs w:val="52"/>
          <w:highlight w:val="none"/>
          <w14:textFill>
            <w14:solidFill>
              <w14:schemeClr w14:val="tx1"/>
            </w14:solidFill>
          </w14:textFill>
        </w:rPr>
      </w:pPr>
      <w:r>
        <w:rPr>
          <w:rFonts w:hint="eastAsia" w:ascii="宋体" w:hAnsi="宋体" w:eastAsia="宋体" w:cs="宋体"/>
          <w:b w:val="0"/>
          <w:bCs/>
          <w:color w:val="000000" w:themeColor="text1"/>
          <w:sz w:val="52"/>
          <w:szCs w:val="52"/>
          <w:highlight w:val="none"/>
          <w14:textFill>
            <w14:solidFill>
              <w14:schemeClr w14:val="tx1"/>
            </w14:solidFill>
          </w14:textFill>
        </w:rPr>
        <w:t>招标文件</w:t>
      </w:r>
    </w:p>
    <w:p w14:paraId="1F0B93D1">
      <w:pPr>
        <w:pageBreakBefore w:val="0"/>
        <w:kinsoku/>
        <w:overflowPunct/>
        <w:topLinePunct w:val="0"/>
        <w:bidi w:val="0"/>
        <w:adjustRightInd/>
        <w:snapToGrid/>
        <w:spacing w:before="156" w:beforeLines="50" w:line="360" w:lineRule="auto"/>
        <w:ind w:firstLine="1351" w:firstLineChars="751"/>
        <w:rPr>
          <w:rFonts w:hint="eastAsia" w:ascii="宋体" w:hAnsi="宋体" w:eastAsia="宋体" w:cs="宋体"/>
          <w:b w:val="0"/>
          <w:bCs/>
          <w:color w:val="000000" w:themeColor="text1"/>
          <w:sz w:val="18"/>
          <w:szCs w:val="18"/>
          <w:highlight w:val="none"/>
          <w14:textFill>
            <w14:solidFill>
              <w14:schemeClr w14:val="tx1"/>
            </w14:solidFill>
          </w14:textFill>
        </w:rPr>
      </w:pPr>
    </w:p>
    <w:p w14:paraId="1A39B2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themeColor="text1"/>
          <w:sz w:val="52"/>
          <w:szCs w:val="52"/>
          <w:highlight w:val="none"/>
          <w:lang w:eastAsia="zh-CN"/>
          <w14:textFill>
            <w14:solidFill>
              <w14:schemeClr w14:val="tx1"/>
            </w14:solidFill>
          </w14:textFill>
        </w:rPr>
      </w:pPr>
      <w:r>
        <w:rPr>
          <w:rFonts w:hint="eastAsia" w:ascii="宋体" w:hAnsi="宋体" w:eastAsia="宋体" w:cs="宋体"/>
          <w:b w:val="0"/>
          <w:bCs/>
          <w:color w:val="000000" w:themeColor="text1"/>
          <w:sz w:val="52"/>
          <w:szCs w:val="52"/>
          <w:highlight w:val="none"/>
          <w:lang w:eastAsia="zh-CN"/>
          <w14:textFill>
            <w14:solidFill>
              <w14:schemeClr w14:val="tx1"/>
            </w14:solidFill>
          </w14:textFill>
        </w:rPr>
        <w:drawing>
          <wp:inline distT="0" distB="0" distL="114300" distR="114300">
            <wp:extent cx="2470150" cy="2391410"/>
            <wp:effectExtent l="0" t="0" r="6350" b="889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2470150" cy="2391410"/>
                    </a:xfrm>
                    <a:prstGeom prst="rect">
                      <a:avLst/>
                    </a:prstGeom>
                  </pic:spPr>
                </pic:pic>
              </a:graphicData>
            </a:graphic>
          </wp:inline>
        </w:drawing>
      </w:r>
    </w:p>
    <w:p w14:paraId="68047E60">
      <w:pPr>
        <w:pageBreakBefore w:val="0"/>
        <w:kinsoku/>
        <w:overflowPunct/>
        <w:topLinePunct w:val="0"/>
        <w:bidi w:val="0"/>
        <w:adjustRightInd/>
        <w:snapToGrid/>
        <w:spacing w:line="360" w:lineRule="auto"/>
        <w:rPr>
          <w:rFonts w:hint="eastAsia" w:ascii="宋体" w:hAnsi="宋体" w:eastAsia="宋体" w:cs="宋体"/>
          <w:b w:val="0"/>
          <w:bCs/>
          <w:color w:val="000000" w:themeColor="text1"/>
          <w:sz w:val="16"/>
          <w:szCs w:val="36"/>
          <w:highlight w:val="none"/>
          <w14:textFill>
            <w14:solidFill>
              <w14:schemeClr w14:val="tx1"/>
            </w14:solidFill>
          </w14:textFill>
        </w:rPr>
      </w:pPr>
    </w:p>
    <w:p w14:paraId="2D368F73">
      <w:pPr>
        <w:pageBreakBefore w:val="0"/>
        <w:kinsoku/>
        <w:overflowPunct/>
        <w:topLinePunct w:val="0"/>
        <w:bidi w:val="0"/>
        <w:adjustRightInd/>
        <w:snapToGrid/>
        <w:spacing w:line="360" w:lineRule="auto"/>
        <w:rPr>
          <w:rFonts w:hint="eastAsia" w:ascii="宋体" w:hAnsi="宋体" w:eastAsia="宋体" w:cs="宋体"/>
          <w:b w:val="0"/>
          <w:bCs/>
          <w:color w:val="000000" w:themeColor="text1"/>
          <w:sz w:val="16"/>
          <w:szCs w:val="36"/>
          <w:highlight w:val="none"/>
          <w14:textFill>
            <w14:solidFill>
              <w14:schemeClr w14:val="tx1"/>
            </w14:solidFill>
          </w14:textFill>
        </w:rPr>
      </w:pPr>
    </w:p>
    <w:p w14:paraId="19F8D578">
      <w:pPr>
        <w:pStyle w:val="204"/>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58539D85">
      <w:pPr>
        <w:pStyle w:val="205"/>
        <w:rPr>
          <w:rFonts w:hint="eastAsia" w:ascii="宋体" w:hAnsi="宋体" w:eastAsia="宋体" w:cs="宋体"/>
          <w:b w:val="0"/>
          <w:bCs/>
          <w:color w:val="000000" w:themeColor="text1"/>
          <w:highlight w:val="none"/>
          <w14:textFill>
            <w14:solidFill>
              <w14:schemeClr w14:val="tx1"/>
            </w14:solidFill>
          </w14:textFill>
        </w:rPr>
      </w:pPr>
    </w:p>
    <w:p w14:paraId="7AF50C39">
      <w:pPr>
        <w:pStyle w:val="51"/>
        <w:rPr>
          <w:rFonts w:hint="eastAsia"/>
          <w:highlight w:val="none"/>
        </w:rPr>
      </w:pPr>
    </w:p>
    <w:p w14:paraId="20336076">
      <w:pPr>
        <w:pageBreakBefore w:val="0"/>
        <w:kinsoku/>
        <w:overflowPunct/>
        <w:topLinePunct w:val="0"/>
        <w:bidi w:val="0"/>
        <w:adjustRightInd/>
        <w:snapToGrid/>
        <w:spacing w:before="156" w:beforeLines="50" w:line="360" w:lineRule="auto"/>
        <w:ind w:firstLine="723" w:firstLineChars="201"/>
        <w:jc w:val="center"/>
        <w:rPr>
          <w:rFonts w:hint="eastAsia" w:ascii="宋体" w:hAnsi="宋体" w:eastAsia="宋体" w:cs="宋体"/>
          <w:b w:val="0"/>
          <w:bCs/>
          <w:color w:val="000000" w:themeColor="text1"/>
          <w:kern w:val="0"/>
          <w:sz w:val="36"/>
          <w:szCs w:val="36"/>
          <w:highlight w:val="none"/>
          <w:lang w:eastAsia="zh-CN"/>
          <w14:textFill>
            <w14:solidFill>
              <w14:schemeClr w14:val="tx1"/>
            </w14:solidFill>
          </w14:textFill>
        </w:rPr>
      </w:pPr>
      <w:bookmarkStart w:id="0" w:name="_Hlk154665901"/>
      <w:r>
        <w:rPr>
          <w:rFonts w:hint="eastAsia" w:ascii="宋体" w:hAnsi="宋体" w:eastAsia="宋体" w:cs="宋体"/>
          <w:b w:val="0"/>
          <w:bCs/>
          <w:color w:val="000000" w:themeColor="text1"/>
          <w:sz w:val="36"/>
          <w:szCs w:val="36"/>
          <w:highlight w:val="none"/>
          <w14:textFill>
            <w14:solidFill>
              <w14:schemeClr w14:val="tx1"/>
            </w14:solidFill>
          </w14:textFill>
        </w:rPr>
        <w:t>代理机构：</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山东同力建设项目管理有限公司</w:t>
      </w:r>
    </w:p>
    <w:p w14:paraId="3FF10162">
      <w:pPr>
        <w:pageBreakBefore w:val="0"/>
        <w:kinsoku/>
        <w:overflowPunct/>
        <w:topLinePunct w:val="0"/>
        <w:bidi w:val="0"/>
        <w:adjustRightInd/>
        <w:snapToGrid/>
        <w:spacing w:line="360" w:lineRule="auto"/>
        <w:jc w:val="center"/>
        <w:rPr>
          <w:rFonts w:hint="eastAsia" w:ascii="宋体" w:hAnsi="宋体" w:eastAsia="宋体" w:cs="宋体"/>
          <w:b w:val="0"/>
          <w:bCs/>
          <w:color w:val="000000" w:themeColor="text1"/>
          <w:sz w:val="36"/>
          <w:szCs w:val="36"/>
          <w:highlight w:val="none"/>
          <w:lang w:eastAsia="zh-CN"/>
          <w14:textFill>
            <w14:solidFill>
              <w14:schemeClr w14:val="tx1"/>
            </w14:solidFill>
          </w14:textFill>
        </w:rPr>
      </w:pPr>
      <w:r>
        <w:rPr>
          <w:rFonts w:hint="eastAsia" w:ascii="宋体" w:hAnsi="宋体" w:eastAsia="宋体" w:cs="宋体"/>
          <w:b w:val="0"/>
          <w:bCs/>
          <w:color w:val="000000" w:themeColor="text1"/>
          <w:sz w:val="36"/>
          <w:szCs w:val="36"/>
          <w:highlight w:val="none"/>
          <w14:textFill>
            <w14:solidFill>
              <w14:schemeClr w14:val="tx1"/>
            </w14:solidFill>
          </w14:textFill>
        </w:rPr>
        <w:t>编制时间：</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2026年</w:t>
      </w:r>
      <w:r>
        <w:rPr>
          <w:rFonts w:hint="eastAsia" w:ascii="宋体" w:hAnsi="宋体" w:eastAsia="宋体" w:cs="宋体"/>
          <w:b w:val="0"/>
          <w:bCs/>
          <w:color w:val="000000" w:themeColor="text1"/>
          <w:sz w:val="36"/>
          <w:szCs w:val="36"/>
          <w:highlight w:val="none"/>
          <w:lang w:val="en-US" w:eastAsia="zh-CN"/>
          <w14:textFill>
            <w14:solidFill>
              <w14:schemeClr w14:val="tx1"/>
            </w14:solidFill>
          </w14:textFill>
        </w:rPr>
        <w:t>5</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月</w:t>
      </w:r>
    </w:p>
    <w:bookmarkEnd w:id="0"/>
    <w:p w14:paraId="43D86B19">
      <w:pPr>
        <w:pageBreakBefore w:val="0"/>
        <w:kinsoku/>
        <w:overflowPunct/>
        <w:topLinePunct w:val="0"/>
        <w:bidi w:val="0"/>
        <w:adjustRightInd/>
        <w:snapToGrid/>
        <w:spacing w:line="360" w:lineRule="exact"/>
        <w:rPr>
          <w:rFonts w:hint="eastAsia" w:ascii="宋体" w:hAnsi="宋体" w:eastAsia="宋体" w:cs="宋体"/>
          <w:color w:val="000000" w:themeColor="text1"/>
          <w:szCs w:val="21"/>
          <w:highlight w:val="none"/>
          <w14:textFill>
            <w14:solidFill>
              <w14:schemeClr w14:val="tx1"/>
            </w14:solidFill>
          </w14:textFill>
        </w:rPr>
      </w:pPr>
    </w:p>
    <w:p w14:paraId="23B67836">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sdt>
      <w:sdtPr>
        <w:rPr>
          <w:rFonts w:hint="eastAsia" w:ascii="宋体" w:hAnsi="宋体" w:eastAsia="宋体" w:cs="宋体"/>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hint="eastAsia" w:ascii="宋体" w:hAnsi="宋体" w:eastAsia="宋体" w:cs="宋体"/>
          <w:b/>
          <w:bCs/>
          <w:caps/>
          <w:color w:val="000000" w:themeColor="text1"/>
          <w:kern w:val="2"/>
          <w:sz w:val="28"/>
          <w:szCs w:val="28"/>
          <w:highlight w:val="none"/>
          <w:lang w:val="zh-CN"/>
          <w14:textFill>
            <w14:solidFill>
              <w14:schemeClr w14:val="tx1"/>
            </w14:solidFill>
          </w14:textFill>
        </w:rPr>
      </w:sdtEndPr>
      <w:sdtContent>
        <w:p w14:paraId="4D3D4200">
          <w:pPr>
            <w:pStyle w:val="388"/>
            <w:pageBreakBefore w:val="0"/>
            <w:kinsoku/>
            <w:overflowPunct/>
            <w:topLinePunct w:val="0"/>
            <w:bidi w:val="0"/>
            <w:adjustRightInd/>
            <w:snapToGrid/>
            <w:jc w:val="center"/>
            <w:rPr>
              <w:rFonts w:hint="eastAsia" w:ascii="宋体" w:hAnsi="宋体" w:eastAsia="宋体" w:cs="宋体"/>
              <w:color w:val="000000" w:themeColor="text1"/>
              <w:sz w:val="44"/>
              <w:szCs w:val="44"/>
              <w:highlight w:val="none"/>
              <w14:textFill>
                <w14:solidFill>
                  <w14:schemeClr w14:val="tx1"/>
                </w14:solidFill>
              </w14:textFill>
            </w:rPr>
          </w:pPr>
          <w:bookmarkStart w:id="1" w:name="_Hlk130651888"/>
          <w:bookmarkStart w:id="2" w:name="_Toc413596380"/>
          <w:bookmarkStart w:id="3" w:name="_Toc382129898"/>
          <w:r>
            <w:rPr>
              <w:rFonts w:hint="eastAsia" w:ascii="宋体" w:hAnsi="宋体" w:eastAsia="宋体" w:cs="宋体"/>
              <w:color w:val="000000" w:themeColor="text1"/>
              <w:sz w:val="44"/>
              <w:szCs w:val="44"/>
              <w:highlight w:val="none"/>
              <w:lang w:val="zh-CN"/>
              <w14:textFill>
                <w14:solidFill>
                  <w14:schemeClr w14:val="tx1"/>
                </w14:solidFill>
              </w14:textFill>
            </w:rPr>
            <w:t>目录</w:t>
          </w:r>
        </w:p>
        <w:p w14:paraId="7E468AB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Style w:val="59"/>
              <w:rFonts w:hint="eastAsia" w:ascii="宋体" w:hAnsi="宋体" w:eastAsia="宋体" w:cs="宋体"/>
              <w:color w:val="000000" w:themeColor="text1"/>
              <w:sz w:val="24"/>
              <w:szCs w:val="24"/>
              <w:highlight w:val="none"/>
              <w14:textFill>
                <w14:solidFill>
                  <w14:schemeClr w14:val="tx1"/>
                </w14:solidFill>
              </w14:textFill>
            </w:rPr>
            <w:fldChar w:fldCharType="begin"/>
          </w:r>
          <w:r>
            <w:rPr>
              <w:rStyle w:val="59"/>
              <w:rFonts w:hint="eastAsia" w:ascii="宋体" w:hAnsi="宋体" w:eastAsia="宋体" w:cs="宋体"/>
              <w:color w:val="000000" w:themeColor="text1"/>
              <w:sz w:val="24"/>
              <w:szCs w:val="24"/>
              <w:highlight w:val="none"/>
              <w14:textFill>
                <w14:solidFill>
                  <w14:schemeClr w14:val="tx1"/>
                </w14:solidFill>
              </w14:textFill>
            </w:rPr>
            <w:instrText xml:space="preserve"> TOC \o "1-3" \h \z \u </w:instrText>
          </w:r>
          <w:r>
            <w:rPr>
              <w:rStyle w:val="59"/>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_Toc12451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第一章  招标公告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_Toc12451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09CD00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_Toc20341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第二章  投标须知</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_Toc20341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1B2B0FF">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_Toc17106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一、说明</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_Toc17106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14</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2862B9A">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_Toc2675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二、招标文件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_Toc2675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15</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4F2DEE0">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_Toc23254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三、投标文件的编制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_Toc23254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17</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4850FCC">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_Toc3721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四、投标文件的提交</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_Toc3721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27</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36CA9C79">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_Toc29901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五、开标与评审</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_Toc29901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4C4AA77D">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_Toc11797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六、定标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_Toc11797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40</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5B20F95">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_Toc11630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七、结果公</w:t>
          </w:r>
          <w:r>
            <w:rPr>
              <w:rFonts w:hint="eastAsia" w:ascii="宋体" w:hAnsi="宋体" w:eastAsia="宋体" w:cs="宋体"/>
              <w:bCs/>
              <w:kern w:val="2"/>
              <w:sz w:val="24"/>
              <w:szCs w:val="24"/>
              <w:highlight w:val="none"/>
              <w:lang w:val="en-US" w:eastAsia="zh-CN"/>
            </w:rPr>
            <w:t>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_Toc11630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41</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7AFB89A8">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_Toc8065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八、质疑</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_Toc8065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41</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E4939CE">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_Toc25567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九、签订合同</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_Toc25567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43</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AD6F89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_Toc17971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第三章  开标、评标、定标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_Toc17971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44</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E30292E">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_Toc21341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一、开标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_Toc21341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44</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DB02196">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_Toc2076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二、评标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_Toc2076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45</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099D8C0">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_Toc11034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三、编写评标报告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_Toc11034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48</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4E0816B">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_Toc15522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四、定标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_Toc15522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48</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A6A124C">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_Toc7666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五、结果公</w:t>
          </w:r>
          <w:r>
            <w:rPr>
              <w:rFonts w:hint="eastAsia" w:ascii="宋体" w:hAnsi="宋体" w:eastAsia="宋体" w:cs="宋体"/>
              <w:bCs/>
              <w:kern w:val="2"/>
              <w:sz w:val="24"/>
              <w:szCs w:val="24"/>
              <w:highlight w:val="none"/>
              <w:lang w:val="en-US" w:eastAsia="zh-CN"/>
            </w:rPr>
            <w:t>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_Toc7666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08F44EE">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_Toc26618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六、签发中标通知书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_Toc26618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3A9EFB63">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_Toc28907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七、签订合同</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_Toc28907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3CF774C">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_Toc20012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第四章  采购项目说明</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_Toc20012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50</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027A1D07">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_Toc1695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第五章  投标文件格式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_Toc1695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53</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4B2C94E0">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_Toc851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第六章  合同（范本）</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_Toc851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70</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588F6E0">
          <w:pPr>
            <w:pStyle w:val="33"/>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end"/>
          </w:r>
        </w:p>
      </w:sdtContent>
    </w:sdt>
    <w:bookmarkEnd w:id="1"/>
    <w:p w14:paraId="0051B708">
      <w:pPr>
        <w:pageBreakBefore w:val="0"/>
        <w:kinsoku/>
        <w:overflowPunct/>
        <w:topLinePunct w:val="0"/>
        <w:bidi w:val="0"/>
        <w:adjustRightInd/>
        <w:snapToGrid/>
        <w:rPr>
          <w:rFonts w:hint="eastAsia" w:ascii="宋体" w:hAnsi="宋体" w:eastAsia="宋体" w:cs="宋体"/>
          <w:color w:val="000000" w:themeColor="text1"/>
          <w:kern w:val="0"/>
          <w:highlight w:val="none"/>
          <w14:textFill>
            <w14:solidFill>
              <w14:schemeClr w14:val="tx1"/>
            </w14:solidFill>
          </w14:textFill>
        </w:rPr>
      </w:pPr>
    </w:p>
    <w:p w14:paraId="0CCE2E49">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759C3E47">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docGrid w:type="lines" w:linePitch="312" w:charSpace="0"/>
        </w:sectPr>
      </w:pPr>
    </w:p>
    <w:bookmarkEnd w:id="2"/>
    <w:bookmarkEnd w:id="3"/>
    <w:p w14:paraId="172C63F2">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4" w:name="_Toc66864040"/>
      <w:bookmarkStart w:id="5" w:name="_Toc12451"/>
      <w:bookmarkStart w:id="6" w:name="_Toc266431116"/>
      <w:bookmarkStart w:id="7" w:name="_Toc253045125"/>
      <w:r>
        <w:rPr>
          <w:rFonts w:hint="eastAsia" w:ascii="宋体" w:hAnsi="宋体" w:eastAsia="宋体" w:cs="宋体"/>
          <w:color w:val="000000" w:themeColor="text1"/>
          <w:highlight w:val="none"/>
          <w14:textFill>
            <w14:solidFill>
              <w14:schemeClr w14:val="tx1"/>
            </w14:solidFill>
          </w14:textFill>
        </w:rPr>
        <w:t>第一章  招标公告</w:t>
      </w:r>
      <w:bookmarkEnd w:id="4"/>
      <w:bookmarkEnd w:id="5"/>
    </w:p>
    <w:p w14:paraId="404A630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000000" w:themeColor="text1"/>
          <w:spacing w:val="8"/>
          <w:kern w:val="0"/>
          <w:sz w:val="32"/>
          <w:szCs w:val="32"/>
          <w:highlight w:val="none"/>
          <w14:textFill>
            <w14:solidFill>
              <w14:schemeClr w14:val="tx1"/>
            </w14:solidFill>
          </w14:textFill>
        </w:rPr>
      </w:pPr>
      <w:r>
        <w:rPr>
          <w:rFonts w:hint="eastAsia" w:ascii="宋体" w:hAnsi="宋体" w:eastAsia="宋体" w:cs="宋体"/>
          <w:b/>
          <w:bCs/>
          <w:color w:val="000000" w:themeColor="text1"/>
          <w:spacing w:val="8"/>
          <w:kern w:val="0"/>
          <w:sz w:val="32"/>
          <w:szCs w:val="32"/>
          <w:highlight w:val="none"/>
          <w14:textFill>
            <w14:solidFill>
              <w14:schemeClr w14:val="tx1"/>
            </w14:solidFill>
          </w14:textFill>
        </w:rPr>
        <w:t>（招标编号：</w:t>
      </w:r>
      <w:r>
        <w:rPr>
          <w:rFonts w:hint="eastAsia" w:ascii="宋体" w:hAnsi="宋体" w:eastAsia="宋体" w:cs="宋体"/>
          <w:b/>
          <w:color w:val="000000" w:themeColor="text1"/>
          <w:sz w:val="32"/>
          <w:szCs w:val="32"/>
          <w:highlight w:val="none"/>
          <w:lang w:eastAsia="zh-CN"/>
          <w14:textFill>
            <w14:solidFill>
              <w14:schemeClr w14:val="tx1"/>
            </w14:solidFill>
          </w14:textFill>
        </w:rPr>
        <w:t>PURM202604070001</w:t>
      </w:r>
      <w:r>
        <w:rPr>
          <w:rFonts w:hint="eastAsia" w:ascii="宋体" w:hAnsi="宋体" w:eastAsia="宋体" w:cs="宋体"/>
          <w:b/>
          <w:bCs/>
          <w:color w:val="000000" w:themeColor="text1"/>
          <w:spacing w:val="8"/>
          <w:kern w:val="0"/>
          <w:sz w:val="32"/>
          <w:szCs w:val="32"/>
          <w:highlight w:val="none"/>
          <w14:textFill>
            <w14:solidFill>
              <w14:schemeClr w14:val="tx1"/>
            </w14:solidFill>
          </w14:textFill>
        </w:rPr>
        <w:t>）</w:t>
      </w:r>
    </w:p>
    <w:p w14:paraId="0FCA15B4">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 xml:space="preserve">一、招标条件 </w:t>
      </w:r>
    </w:p>
    <w:p w14:paraId="0E571432">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14:textFill>
            <w14:solidFill>
              <w14:schemeClr w14:val="tx1"/>
            </w14:solidFill>
          </w14:textFill>
        </w:rPr>
      </w:pPr>
      <w:r>
        <w:rPr>
          <w:rFonts w:hint="eastAsia" w:ascii="宋体" w:hAnsi="宋体" w:eastAsia="宋体" w:cs="宋体"/>
          <w:bCs/>
          <w:color w:val="000000" w:themeColor="text1"/>
          <w:spacing w:val="8"/>
          <w:kern w:val="0"/>
          <w:sz w:val="28"/>
          <w:szCs w:val="28"/>
          <w:highlight w:val="none"/>
          <w14:textFill>
            <w14:solidFill>
              <w14:schemeClr w14:val="tx1"/>
            </w14:solidFill>
          </w14:textFill>
        </w:rPr>
        <w:t>本招标项目</w:t>
      </w:r>
      <w:r>
        <w:rPr>
          <w:rFonts w:hint="eastAsia" w:ascii="宋体" w:hAnsi="宋体" w:eastAsia="宋体" w:cs="宋体"/>
          <w:bCs/>
          <w:color w:val="000000" w:themeColor="text1"/>
          <w:spacing w:val="8"/>
          <w:kern w:val="0"/>
          <w:sz w:val="28"/>
          <w:szCs w:val="28"/>
          <w:highlight w:val="none"/>
          <w:lang w:eastAsia="zh-CN"/>
          <w14:textFill>
            <w14:solidFill>
              <w14:schemeClr w14:val="tx1"/>
            </w14:solidFill>
          </w14:textFill>
        </w:rPr>
        <w:t>选定劳务服务供应商</w:t>
      </w:r>
      <w:r>
        <w:rPr>
          <w:rFonts w:hint="eastAsia" w:ascii="宋体" w:hAnsi="宋体" w:eastAsia="宋体" w:cs="宋体"/>
          <w:bCs/>
          <w:color w:val="000000" w:themeColor="text1"/>
          <w:spacing w:val="8"/>
          <w:kern w:val="0"/>
          <w:sz w:val="28"/>
          <w:szCs w:val="28"/>
          <w:highlight w:val="none"/>
          <w14:textFill>
            <w14:solidFill>
              <w14:schemeClr w14:val="tx1"/>
            </w14:solidFill>
          </w14:textFill>
        </w:rPr>
        <w:t>，招标申请已经相关部门批准，招标人为</w:t>
      </w:r>
      <w:r>
        <w:rPr>
          <w:rFonts w:hint="eastAsia" w:ascii="宋体" w:hAnsi="宋体" w:eastAsia="宋体" w:cs="宋体"/>
          <w:bCs/>
          <w:color w:val="000000" w:themeColor="text1"/>
          <w:spacing w:val="8"/>
          <w:kern w:val="0"/>
          <w:sz w:val="28"/>
          <w:szCs w:val="28"/>
          <w:highlight w:val="none"/>
          <w:lang w:eastAsia="zh-CN"/>
          <w14:textFill>
            <w14:solidFill>
              <w14:schemeClr w14:val="tx1"/>
            </w14:solidFill>
          </w14:textFill>
        </w:rPr>
        <w:t>威海市环翠区环晟建材科技有限公司</w:t>
      </w:r>
      <w:r>
        <w:rPr>
          <w:rFonts w:hint="eastAsia" w:ascii="宋体" w:hAnsi="宋体" w:eastAsia="宋体" w:cs="宋体"/>
          <w:bCs/>
          <w:color w:val="000000" w:themeColor="text1"/>
          <w:spacing w:val="8"/>
          <w:kern w:val="0"/>
          <w:sz w:val="28"/>
          <w:szCs w:val="28"/>
          <w:highlight w:val="none"/>
          <w14:textFill>
            <w14:solidFill>
              <w14:schemeClr w14:val="tx1"/>
            </w14:solidFill>
          </w14:textFill>
        </w:rPr>
        <w:t>，项目资金来源为自筹，出资比例为100%。项目已具备招标条件，现对该项目进行公开招标。</w:t>
      </w:r>
    </w:p>
    <w:p w14:paraId="790A13CD">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二、招标内容</w:t>
      </w:r>
    </w:p>
    <w:p w14:paraId="11A449D9">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1、项目概况：选定劳务服务供应商1家，用于厂区生产所需劳务辅助工，混凝土站、砂浆站、水稳站、沥青站辅助工共计不超过18人。因工作性质所需辅助工均为男性，年龄为40-60岁之间。</w:t>
      </w:r>
    </w:p>
    <w:p w14:paraId="45707E0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2、服务期限：自合同签订之日起一年，合同期满后，根据服务情况考虑是否续签。</w:t>
      </w:r>
    </w:p>
    <w:p w14:paraId="1BAA634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3、实施地点：招标人指定地点。</w:t>
      </w:r>
    </w:p>
    <w:p w14:paraId="540833FB">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三、投标人资格要求</w:t>
      </w:r>
    </w:p>
    <w:p w14:paraId="30BB359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1.具有独立承担民事责任的能力。</w:t>
      </w:r>
    </w:p>
    <w:p w14:paraId="5882E44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2.具有履行合同所必须的专业技术能力，并能提供优质的服务。</w:t>
      </w:r>
    </w:p>
    <w:p w14:paraId="28B565AD">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3.投标人参加本次采购活动前三年内，在经营活动中没有重大违法记录。近三年没有发生过与用工单位有关的劳务纠纷、农民工上访、较大及以上安全生产事故等。</w:t>
      </w:r>
    </w:p>
    <w:p w14:paraId="34642273">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4.投标人及其法定代表人、委托代理人未被最高法院列入失信被执行人；</w:t>
      </w:r>
    </w:p>
    <w:p w14:paraId="7D2FAED9">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5.投标人近一年在“信用中国”或“信用中国（山东）”无严重失信记录；</w:t>
      </w:r>
    </w:p>
    <w:p w14:paraId="6A48F38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6.投标人及其法定代表人、委托代理人近三年内无行贿犯罪行为记录（若投标人成立时间不足三年，则承诺自成立时间至今，无行贿犯罪行为记录）；</w:t>
      </w:r>
    </w:p>
    <w:p w14:paraId="5481641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7.本项目不接受联合体投标。</w:t>
      </w:r>
    </w:p>
    <w:p w14:paraId="15E0B66D">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四、获取文件时间及地点</w:t>
      </w:r>
    </w:p>
    <w:p w14:paraId="3BA283C3">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1.获取时间：</w:t>
      </w:r>
      <w:r>
        <w:rPr>
          <w:rFonts w:hint="eastAsia" w:ascii="宋体" w:hAnsi="宋体" w:eastAsia="宋体" w:cs="宋体"/>
          <w:sz w:val="28"/>
          <w:szCs w:val="28"/>
          <w:highlight w:val="none"/>
          <w:lang w:eastAsia="zh-CN"/>
        </w:rPr>
        <w:t>2026年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27</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17</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分至</w:t>
      </w:r>
      <w:r>
        <w:rPr>
          <w:rFonts w:hint="eastAsia" w:ascii="宋体" w:hAnsi="宋体" w:eastAsia="宋体" w:cs="宋体"/>
          <w:sz w:val="28"/>
          <w:szCs w:val="28"/>
          <w:highlight w:val="none"/>
          <w:lang w:eastAsia="zh-CN"/>
        </w:rPr>
        <w:t>2026年</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17</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分（北京时间）</w:t>
      </w:r>
      <w:r>
        <w:rPr>
          <w:rFonts w:hint="eastAsia" w:ascii="宋体" w:hAnsi="宋体" w:eastAsia="宋体" w:cs="宋体"/>
          <w:sz w:val="28"/>
          <w:szCs w:val="28"/>
          <w:highlight w:val="none"/>
          <w:lang w:eastAsia="zh-CN"/>
        </w:rPr>
        <w:t>。</w:t>
      </w:r>
    </w:p>
    <w:p w14:paraId="7A451D1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2.</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获取地点：</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登录“威海市公共资源交易网”首页右侧“交易服务</w:t>
      </w:r>
      <w:bookmarkStart w:id="8" w:name="OLE_LINK9"/>
      <w:bookmarkStart w:id="9" w:name="OLE_LINK10"/>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一网通办系统</w:t>
      </w:r>
      <w:bookmarkEnd w:id="8"/>
      <w:bookmarkEnd w:id="9"/>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-（新版）一网通办系统”进行“平台切换”，点击“国企采购”进入国企阳光采购平台获取文件(网址：http://ggzyjy.weihai.cn/)。逾期无法从威海市国有企业阳光采购服务平台中获取文件，</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1CB452B2">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95795CA">
      <w:pPr>
        <w:pageBreakBefore w:val="0"/>
        <w:widowControl/>
        <w:shd w:val="clear" w:color="auto" w:fill="FFFFFF"/>
        <w:kinsoku/>
        <w:overflowPunct/>
        <w:topLinePunct w:val="0"/>
        <w:bidi w:val="0"/>
        <w:adjustRightInd/>
        <w:snapToGrid/>
        <w:spacing w:line="360" w:lineRule="auto"/>
        <w:ind w:firstLine="539"/>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五、投标文件提交</w:t>
      </w:r>
    </w:p>
    <w:p w14:paraId="099D1965">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提交投标文件截止时间：</w:t>
      </w:r>
      <w:r>
        <w:rPr>
          <w:rFonts w:hint="eastAsia" w:ascii="宋体" w:hAnsi="宋体" w:eastAsia="宋体" w:cs="宋体"/>
          <w:sz w:val="28"/>
          <w:szCs w:val="28"/>
          <w:highlight w:val="none"/>
        </w:rPr>
        <w:t>202</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12</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00</w:t>
      </w:r>
      <w:r>
        <w:rPr>
          <w:rFonts w:hint="eastAsia" w:ascii="宋体" w:hAnsi="宋体" w:eastAsia="宋体" w:cs="宋体"/>
          <w:sz w:val="28"/>
          <w:szCs w:val="28"/>
          <w:highlight w:val="none"/>
        </w:rPr>
        <w:t>分；</w:t>
      </w:r>
    </w:p>
    <w:p w14:paraId="01B920B5">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地点：</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登录“威海市公共资源交易网”首页右侧“交易服务一网通办系统-（新版）一网通办系统”进行“平台切换”点击“国企采购”进入国企阳光采购平台进行提交。</w:t>
      </w:r>
      <w:r>
        <w:rPr>
          <w:rFonts w:hint="eastAsia" w:ascii="宋体" w:hAnsi="宋体" w:eastAsia="宋体" w:cs="宋体"/>
          <w:color w:val="000000" w:themeColor="text1"/>
          <w:spacing w:val="8"/>
          <w:kern w:val="0"/>
          <w:sz w:val="28"/>
          <w:szCs w:val="28"/>
          <w:highlight w:val="none"/>
          <w14:textFill>
            <w14:solidFill>
              <w14:schemeClr w14:val="tx1"/>
            </w14:solidFill>
          </w14:textFill>
        </w:rPr>
        <w:t>已在威海市国有企业阳光采购电子化服务平台获取文件的投标人在规定时间内提交电子投标文件。</w:t>
      </w:r>
    </w:p>
    <w:p w14:paraId="4F0C00F0">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六、开启时间及地点</w:t>
      </w:r>
    </w:p>
    <w:p w14:paraId="4075F39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时间：</w:t>
      </w:r>
      <w:r>
        <w:rPr>
          <w:rFonts w:hint="eastAsia" w:ascii="宋体" w:hAnsi="宋体" w:eastAsia="宋体" w:cs="宋体"/>
          <w:sz w:val="28"/>
          <w:szCs w:val="28"/>
          <w:highlight w:val="none"/>
        </w:rPr>
        <w:t>202</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12</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00</w:t>
      </w:r>
      <w:r>
        <w:rPr>
          <w:rFonts w:hint="eastAsia" w:ascii="宋体" w:hAnsi="宋体" w:eastAsia="宋体" w:cs="宋体"/>
          <w:sz w:val="28"/>
          <w:szCs w:val="28"/>
          <w:highlight w:val="none"/>
        </w:rPr>
        <w:t>分</w:t>
      </w:r>
      <w:r>
        <w:rPr>
          <w:rFonts w:hint="eastAsia" w:ascii="宋体" w:hAnsi="宋体" w:eastAsia="宋体" w:cs="宋体"/>
          <w:color w:val="000000" w:themeColor="text1"/>
          <w:spacing w:val="8"/>
          <w:kern w:val="0"/>
          <w:sz w:val="28"/>
          <w:szCs w:val="28"/>
          <w:highlight w:val="none"/>
          <w14:textFill>
            <w14:solidFill>
              <w14:schemeClr w14:val="tx1"/>
            </w14:solidFill>
          </w14:textFill>
        </w:rPr>
        <w:t>（北京时间）；</w:t>
      </w:r>
    </w:p>
    <w:p w14:paraId="604E527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地点：</w:t>
      </w:r>
      <w:bookmarkStart w:id="10" w:name="OLE_LINK3"/>
      <w:r>
        <w:rPr>
          <w:rFonts w:hint="eastAsia" w:ascii="宋体" w:hAnsi="宋体" w:eastAsia="宋体" w:cs="宋体"/>
          <w:color w:val="000000" w:themeColor="text1"/>
          <w:spacing w:val="8"/>
          <w:kern w:val="0"/>
          <w:sz w:val="28"/>
          <w:szCs w:val="28"/>
          <w:highlight w:val="none"/>
          <w14:textFill>
            <w14:solidFill>
              <w14:schemeClr w14:val="tx1"/>
            </w14:solidFill>
          </w14:textFill>
        </w:rPr>
        <w:t>威海市公共资源交易中心交易</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七</w:t>
      </w:r>
      <w:r>
        <w:rPr>
          <w:rFonts w:hint="eastAsia" w:ascii="宋体" w:hAnsi="宋体" w:eastAsia="宋体" w:cs="宋体"/>
          <w:color w:val="000000" w:themeColor="text1"/>
          <w:spacing w:val="8"/>
          <w:kern w:val="0"/>
          <w:sz w:val="28"/>
          <w:szCs w:val="28"/>
          <w:highlight w:val="none"/>
          <w14:textFill>
            <w14:solidFill>
              <w14:schemeClr w14:val="tx1"/>
            </w14:solidFill>
          </w14:textFill>
        </w:rPr>
        <w:t>厅（威海市环翠区塔山中路317号四楼）</w:t>
      </w:r>
      <w:bookmarkEnd w:id="10"/>
      <w:r>
        <w:rPr>
          <w:rFonts w:hint="eastAsia" w:ascii="宋体" w:hAnsi="宋体" w:eastAsia="宋体" w:cs="宋体"/>
          <w:color w:val="000000" w:themeColor="text1"/>
          <w:spacing w:val="8"/>
          <w:kern w:val="0"/>
          <w:sz w:val="28"/>
          <w:szCs w:val="28"/>
          <w:highlight w:val="none"/>
          <w14:textFill>
            <w14:solidFill>
              <w14:schemeClr w14:val="tx1"/>
            </w14:solidFill>
          </w14:textFill>
        </w:rPr>
        <w:t>。</w:t>
      </w:r>
    </w:p>
    <w:p w14:paraId="5C4A8A10">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 xml:space="preserve">七、发布公告的媒介 </w:t>
      </w:r>
    </w:p>
    <w:p w14:paraId="6B2C504D">
      <w:pPr>
        <w:keepNext w:val="0"/>
        <w:keepLines w:val="0"/>
        <w:pageBreakBefore w:val="0"/>
        <w:widowControl/>
        <w:kinsoku/>
        <w:wordWrap w:val="0"/>
        <w:overflowPunct/>
        <w:topLinePunct w:val="0"/>
        <w:autoSpaceDE/>
        <w:autoSpaceDN/>
        <w:bidi w:val="0"/>
        <w:adjustRightInd/>
        <w:snapToGrid/>
        <w:spacing w:line="360" w:lineRule="auto"/>
        <w:ind w:firstLine="592" w:firstLineChars="200"/>
        <w:jc w:val="left"/>
        <w:textAlignment w:val="auto"/>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本次公告在威海市公共资源交易网（http</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8"/>
          <w:kern w:val="0"/>
          <w:sz w:val="28"/>
          <w:szCs w:val="28"/>
          <w:highlight w:val="none"/>
          <w14:textFill>
            <w14:solidFill>
              <w14:schemeClr w14:val="tx1"/>
            </w14:solidFill>
          </w14:textFill>
        </w:rPr>
        <w:t>//ggzyjy.weihai.cn/）、中国招标投标公共服务平台（http</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8"/>
          <w:kern w:val="0"/>
          <w:sz w:val="28"/>
          <w:szCs w:val="28"/>
          <w:highlight w:val="none"/>
          <w14:textFill>
            <w14:solidFill>
              <w14:schemeClr w14:val="tx1"/>
            </w14:solidFill>
          </w14:textFill>
        </w:rPr>
        <w:t>//www.cebpubservice.com/）、</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威海市环通产业投资集团有限公司</w:t>
      </w:r>
      <w:r>
        <w:rPr>
          <w:rFonts w:hint="eastAsia" w:ascii="宋体" w:hAnsi="宋体" w:eastAsia="宋体" w:cs="宋体"/>
          <w:color w:val="000000" w:themeColor="text1"/>
          <w:spacing w:val="8"/>
          <w:kern w:val="0"/>
          <w:sz w:val="28"/>
          <w:szCs w:val="28"/>
          <w:highlight w:val="none"/>
          <w14:textFill>
            <w14:solidFill>
              <w14:schemeClr w14:val="tx1"/>
            </w14:solidFill>
          </w14:textFill>
        </w:rPr>
        <w:t>官网（http</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8"/>
          <w:kern w:val="0"/>
          <w:sz w:val="28"/>
          <w:szCs w:val="28"/>
          <w:highlight w:val="none"/>
          <w14:textFill>
            <w14:solidFill>
              <w14:schemeClr w14:val="tx1"/>
            </w14:solidFill>
          </w14:textFill>
        </w:rPr>
        <w:t>//hcct.weihaihuancui.cn/Index.html）上发布。</w:t>
      </w:r>
    </w:p>
    <w:p w14:paraId="5429F0AF">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八、其它补充事宜</w:t>
      </w:r>
    </w:p>
    <w:p w14:paraId="31365199">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63AEA656">
      <w:pPr>
        <w:pageBreakBefore w:val="0"/>
        <w:widowControl/>
        <w:shd w:val="clear" w:color="auto" w:fill="FFFFFF"/>
        <w:kinsoku/>
        <w:overflowPunct/>
        <w:topLinePunct w:val="0"/>
        <w:bidi w:val="0"/>
        <w:adjustRightInd/>
        <w:snapToGrid/>
        <w:spacing w:line="360" w:lineRule="auto"/>
        <w:ind w:firstLine="592" w:firstLineChars="200"/>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2.投标人自行准备电脑，提前在个人电脑上进行测试确保音频、视频功能、CA签章功能可正常使用。远程开标，不接受投标人到现场参加开标活动；投标人提前熟悉交易系统（国企采购供货商</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用户</w:t>
      </w:r>
      <w:r>
        <w:rPr>
          <w:rFonts w:hint="eastAsia" w:ascii="宋体" w:hAnsi="宋体" w:eastAsia="宋体" w:cs="宋体"/>
          <w:color w:val="000000" w:themeColor="text1"/>
          <w:spacing w:val="8"/>
          <w:kern w:val="0"/>
          <w:sz w:val="28"/>
          <w:szCs w:val="28"/>
          <w:highlight w:val="none"/>
          <w14:textFill>
            <w14:solidFill>
              <w14:schemeClr w14:val="tx1"/>
            </w14:solidFill>
          </w14:textFill>
        </w:rPr>
        <w:t>手册网址：</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https://ggzyjy.weihai.cn/bszn/005005/20260109/eb4ba418-4b35-4f05-aa69-44fd7d8a7ffb.html</w:t>
      </w:r>
      <w:r>
        <w:rPr>
          <w:rFonts w:hint="eastAsia" w:ascii="宋体" w:hAnsi="宋体" w:eastAsia="宋体" w:cs="宋体"/>
          <w:color w:val="000000" w:themeColor="text1"/>
          <w:spacing w:val="8"/>
          <w:kern w:val="0"/>
          <w:sz w:val="28"/>
          <w:szCs w:val="28"/>
          <w:highlight w:val="none"/>
          <w14:textFill>
            <w14:solidFill>
              <w14:schemeClr w14:val="tx1"/>
            </w14:solidFill>
          </w14:textFill>
        </w:rPr>
        <w:t>），通过交易系统线上参加开标活动，不熟悉系统操作产生的风险由投标人承担。</w:t>
      </w:r>
    </w:p>
    <w:p w14:paraId="10EDEAF1">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九、</w:t>
      </w:r>
      <w:r>
        <w:rPr>
          <w:rFonts w:hint="eastAsia" w:ascii="宋体" w:hAnsi="宋体" w:eastAsia="宋体" w:cs="宋体"/>
          <w:b/>
          <w:color w:val="000000" w:themeColor="text1"/>
          <w:spacing w:val="8"/>
          <w:kern w:val="0"/>
          <w:sz w:val="28"/>
          <w:szCs w:val="28"/>
          <w:highlight w:val="none"/>
          <w:lang w:val="en-US" w:eastAsia="zh-CN"/>
          <w14:textFill>
            <w14:solidFill>
              <w14:schemeClr w14:val="tx1"/>
            </w14:solidFill>
          </w14:textFill>
        </w:rPr>
        <w:t>对本次招标提出询问，按以下方式联系</w:t>
      </w:r>
    </w:p>
    <w:p w14:paraId="31FC4D2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1.招标人：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威海市环翠区环晟建材科技有限公司</w:t>
      </w:r>
    </w:p>
    <w:p w14:paraId="113A852C">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地址：</w:t>
      </w:r>
      <w:r>
        <w:rPr>
          <w:rFonts w:hint="eastAsia" w:ascii="宋体" w:hAnsi="宋体" w:eastAsia="宋体" w:cs="宋体"/>
          <w:color w:val="333333"/>
          <w:sz w:val="28"/>
          <w:szCs w:val="28"/>
          <w:highlight w:val="none"/>
          <w:shd w:val="clear" w:color="auto" w:fill="FFFFFF"/>
          <w:lang w:eastAsia="zh-CN"/>
        </w:rPr>
        <w:t>威海市环翠区羊亭镇鹿道口村南</w:t>
      </w:r>
    </w:p>
    <w:p w14:paraId="4BDF0272">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程翔</w:t>
      </w:r>
    </w:p>
    <w:p w14:paraId="47EBFE85">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联系电话：</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0631-5767028</w:t>
      </w:r>
    </w:p>
    <w:p w14:paraId="6F5F756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2.招标代理机构：</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山东同力建设项目管理有限公司</w:t>
      </w:r>
    </w:p>
    <w:p w14:paraId="19D5676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地址：</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威海市奈古山路古山五巷16号鼎顺商务五楼</w:t>
      </w:r>
    </w:p>
    <w:p w14:paraId="233820B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周敬伟   王 敏</w:t>
      </w:r>
    </w:p>
    <w:p w14:paraId="29FA116E">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联系电话：</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0631-5812098</w:t>
      </w:r>
    </w:p>
    <w:p w14:paraId="6908AC9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电子邮箱：</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tljs2018@126.com</w:t>
      </w:r>
    </w:p>
    <w:p w14:paraId="213F73A6">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1EDE5540">
      <w:pPr>
        <w:pageBreakBefore w:val="0"/>
        <w:widowControl/>
        <w:kinsoku/>
        <w:overflowPunct/>
        <w:topLinePunct w:val="0"/>
        <w:bidi w:val="0"/>
        <w:adjustRightInd/>
        <w:snapToGrid/>
        <w:spacing w:line="360" w:lineRule="auto"/>
        <w:ind w:firstLine="592" w:firstLineChars="200"/>
        <w:jc w:val="righ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发布人：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山东同力建设项目管理有限公司</w:t>
      </w:r>
    </w:p>
    <w:p w14:paraId="7CEE5DEC">
      <w:pPr>
        <w:pageBreakBefore w:val="0"/>
        <w:widowControl/>
        <w:kinsoku/>
        <w:wordWrap w:val="0"/>
        <w:overflowPunct/>
        <w:topLinePunct w:val="0"/>
        <w:bidi w:val="0"/>
        <w:adjustRightInd/>
        <w:snapToGrid/>
        <w:spacing w:line="360" w:lineRule="auto"/>
        <w:ind w:firstLine="592" w:firstLineChars="200"/>
        <w:jc w:val="righ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发布时间：</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2026年</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5</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月</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27</w:t>
      </w:r>
      <w:r>
        <w:rPr>
          <w:rFonts w:hint="eastAsia" w:ascii="宋体" w:hAnsi="宋体" w:eastAsia="宋体" w:cs="宋体"/>
          <w:color w:val="000000" w:themeColor="text1"/>
          <w:spacing w:val="8"/>
          <w:kern w:val="0"/>
          <w:sz w:val="28"/>
          <w:szCs w:val="28"/>
          <w:highlight w:val="none"/>
          <w14:textFill>
            <w14:solidFill>
              <w14:schemeClr w14:val="tx1"/>
            </w14:solidFill>
          </w14:textFill>
        </w:rPr>
        <w:t>日</w:t>
      </w:r>
    </w:p>
    <w:p w14:paraId="5A78BA7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sectPr>
          <w:headerReference r:id="rId6" w:type="first"/>
          <w:headerReference r:id="rId4" w:type="default"/>
          <w:footerReference r:id="rId7" w:type="default"/>
          <w:headerReference r:id="rId5" w:type="even"/>
          <w:pgSz w:w="11906" w:h="16838"/>
          <w:pgMar w:top="1440" w:right="1077" w:bottom="1440" w:left="1077" w:header="851" w:footer="992" w:gutter="0"/>
          <w:pgNumType w:start="1"/>
          <w:cols w:space="720" w:num="1"/>
          <w:docGrid w:type="lines" w:linePitch="312" w:charSpace="0"/>
        </w:sectPr>
      </w:pPr>
    </w:p>
    <w:bookmarkEnd w:id="6"/>
    <w:bookmarkEnd w:id="7"/>
    <w:p w14:paraId="3C0A51B8">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11" w:name="_Toc20341"/>
      <w:bookmarkStart w:id="12" w:name="_Toc66864041"/>
      <w:bookmarkStart w:id="13" w:name="_Toc382129913"/>
      <w:bookmarkStart w:id="14" w:name="_Toc413596395"/>
      <w:bookmarkStart w:id="15" w:name="_Toc266431126"/>
      <w:r>
        <w:rPr>
          <w:rFonts w:hint="eastAsia" w:ascii="宋体" w:hAnsi="宋体" w:eastAsia="宋体" w:cs="宋体"/>
          <w:color w:val="000000" w:themeColor="text1"/>
          <w:highlight w:val="none"/>
          <w14:textFill>
            <w14:solidFill>
              <w14:schemeClr w14:val="tx1"/>
            </w14:solidFill>
          </w14:textFill>
        </w:rPr>
        <w:t>第二章  投标须知</w:t>
      </w:r>
      <w:bookmarkEnd w:id="11"/>
      <w:bookmarkEnd w:id="12"/>
    </w:p>
    <w:p w14:paraId="3D80C05B">
      <w:pPr>
        <w:pageBreakBefore w:val="0"/>
        <w:kinsoku/>
        <w:overflowPunct/>
        <w:topLinePunct w:val="0"/>
        <w:bidi w:val="0"/>
        <w:adjustRightInd/>
        <w:snapToGrid/>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投标须知前附表</w:t>
      </w:r>
    </w:p>
    <w:tbl>
      <w:tblPr>
        <w:tblStyle w:val="52"/>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3ED4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2F73469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9DBB4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    目</w:t>
            </w:r>
          </w:p>
        </w:tc>
        <w:tc>
          <w:tcPr>
            <w:tcW w:w="6881" w:type="dxa"/>
            <w:tcBorders>
              <w:top w:val="single" w:color="auto" w:sz="4" w:space="0"/>
              <w:left w:val="single" w:color="auto" w:sz="4" w:space="0"/>
              <w:bottom w:val="single" w:color="auto" w:sz="4" w:space="0"/>
            </w:tcBorders>
            <w:vAlign w:val="center"/>
          </w:tcPr>
          <w:p w14:paraId="09F6280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内    容</w:t>
            </w:r>
          </w:p>
        </w:tc>
      </w:tr>
      <w:tr w14:paraId="5B9E2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8ED24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7CC27D5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p>
        </w:tc>
        <w:tc>
          <w:tcPr>
            <w:tcW w:w="6881" w:type="dxa"/>
            <w:tcBorders>
              <w:top w:val="single" w:color="auto" w:sz="4" w:space="0"/>
              <w:left w:val="single" w:color="auto" w:sz="4" w:space="0"/>
              <w:bottom w:val="single" w:color="auto" w:sz="4" w:space="0"/>
            </w:tcBorders>
            <w:vAlign w:val="center"/>
          </w:tcPr>
          <w:p w14:paraId="562B3D20">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选定劳务服务供应商</w:t>
            </w:r>
          </w:p>
        </w:tc>
      </w:tr>
      <w:tr w14:paraId="266E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05B061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62AFB9C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招标编号</w:t>
            </w:r>
          </w:p>
        </w:tc>
        <w:tc>
          <w:tcPr>
            <w:tcW w:w="6881" w:type="dxa"/>
            <w:tcBorders>
              <w:top w:val="single" w:color="auto" w:sz="4" w:space="0"/>
              <w:left w:val="single" w:color="auto" w:sz="4" w:space="0"/>
              <w:bottom w:val="single" w:color="auto" w:sz="4" w:space="0"/>
            </w:tcBorders>
            <w:vAlign w:val="center"/>
          </w:tcPr>
          <w:p w14:paraId="7018DAF4">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PURM202604070001</w:t>
            </w:r>
          </w:p>
        </w:tc>
      </w:tr>
      <w:tr w14:paraId="002BA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E90FF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227F027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w:t>
            </w:r>
          </w:p>
        </w:tc>
        <w:tc>
          <w:tcPr>
            <w:tcW w:w="6881" w:type="dxa"/>
            <w:tcBorders>
              <w:top w:val="single" w:color="auto" w:sz="4" w:space="0"/>
              <w:left w:val="single" w:color="auto" w:sz="4" w:space="0"/>
              <w:bottom w:val="single" w:color="auto" w:sz="4" w:space="0"/>
            </w:tcBorders>
            <w:vAlign w:val="center"/>
          </w:tcPr>
          <w:p w14:paraId="4EFFAED4">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w:t>
            </w:r>
            <w:r>
              <w:rPr>
                <w:rFonts w:hint="eastAsia" w:ascii="宋体" w:hAnsi="宋体" w:eastAsia="宋体" w:cs="宋体"/>
                <w:color w:val="333333"/>
                <w:sz w:val="28"/>
                <w:szCs w:val="28"/>
                <w:highlight w:val="none"/>
                <w:shd w:val="clear" w:color="auto" w:fill="FFFFFF"/>
                <w:lang w:eastAsia="zh-CN"/>
              </w:rPr>
              <w:t>威海市环翠区环晟建材科技有限公司</w:t>
            </w:r>
          </w:p>
          <w:p w14:paraId="2253A13D">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r>
              <w:rPr>
                <w:rFonts w:hint="eastAsia" w:ascii="宋体" w:hAnsi="宋体" w:eastAsia="宋体" w:cs="宋体"/>
                <w:color w:val="333333"/>
                <w:sz w:val="28"/>
                <w:szCs w:val="28"/>
                <w:highlight w:val="none"/>
                <w:shd w:val="clear" w:color="auto" w:fill="FFFFFF"/>
                <w:lang w:eastAsia="zh-CN"/>
              </w:rPr>
              <w:t>威海市环翠区羊亭镇鹿道口村南</w:t>
            </w:r>
          </w:p>
          <w:p w14:paraId="44D2F2CE">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r>
              <w:rPr>
                <w:rFonts w:hint="eastAsia" w:ascii="宋体" w:hAnsi="宋体" w:eastAsia="宋体" w:cs="宋体"/>
                <w:color w:val="000000" w:themeColor="text1"/>
                <w:sz w:val="28"/>
                <w:szCs w:val="28"/>
                <w:highlight w:val="none"/>
                <w:lang w:eastAsia="zh-CN"/>
                <w14:textFill>
                  <w14:solidFill>
                    <w14:schemeClr w14:val="tx1"/>
                  </w14:solidFill>
                </w14:textFill>
              </w:rPr>
              <w:t>程翔</w:t>
            </w:r>
          </w:p>
          <w:p w14:paraId="37EB6718">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联系电话：</w:t>
            </w:r>
            <w:r>
              <w:rPr>
                <w:rFonts w:hint="eastAsia" w:ascii="宋体" w:hAnsi="宋体" w:eastAsia="宋体" w:cs="宋体"/>
                <w:color w:val="000000" w:themeColor="text1"/>
                <w:sz w:val="28"/>
                <w:szCs w:val="28"/>
                <w:highlight w:val="none"/>
                <w:lang w:eastAsia="zh-CN"/>
                <w14:textFill>
                  <w14:solidFill>
                    <w14:schemeClr w14:val="tx1"/>
                  </w14:solidFill>
                </w14:textFill>
              </w:rPr>
              <w:t>0631-5767028</w:t>
            </w:r>
          </w:p>
        </w:tc>
      </w:tr>
      <w:tr w14:paraId="1AF6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4E8B7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0D60D2B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招标代理机构</w:t>
            </w:r>
          </w:p>
        </w:tc>
        <w:tc>
          <w:tcPr>
            <w:tcW w:w="6881" w:type="dxa"/>
            <w:tcBorders>
              <w:top w:val="single" w:color="auto" w:sz="4" w:space="0"/>
              <w:left w:val="single" w:color="auto" w:sz="4" w:space="0"/>
              <w:bottom w:val="single" w:color="auto" w:sz="4" w:space="0"/>
            </w:tcBorders>
            <w:vAlign w:val="center"/>
          </w:tcPr>
          <w:p w14:paraId="091723B9">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代理机构：</w:t>
            </w:r>
            <w:r>
              <w:rPr>
                <w:rFonts w:hint="eastAsia" w:ascii="宋体" w:hAnsi="宋体" w:eastAsia="宋体" w:cs="宋体"/>
                <w:color w:val="000000" w:themeColor="text1"/>
                <w:sz w:val="28"/>
                <w:szCs w:val="28"/>
                <w:highlight w:val="none"/>
                <w:lang w:eastAsia="zh-CN"/>
                <w14:textFill>
                  <w14:solidFill>
                    <w14:schemeClr w14:val="tx1"/>
                  </w14:solidFill>
                </w14:textFill>
              </w:rPr>
              <w:t>山东同力建设项目管理有限公司</w:t>
            </w:r>
          </w:p>
          <w:p w14:paraId="615013E9">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r>
              <w:rPr>
                <w:rFonts w:hint="eastAsia" w:ascii="宋体" w:hAnsi="宋体" w:eastAsia="宋体" w:cs="宋体"/>
                <w:color w:val="000000" w:themeColor="text1"/>
                <w:sz w:val="28"/>
                <w:szCs w:val="28"/>
                <w:highlight w:val="none"/>
                <w:lang w:eastAsia="zh-CN"/>
                <w14:textFill>
                  <w14:solidFill>
                    <w14:schemeClr w14:val="tx1"/>
                  </w14:solidFill>
                </w14:textFill>
              </w:rPr>
              <w:t>威海市奈古山路古山五巷16号鼎顺商务五楼</w:t>
            </w:r>
          </w:p>
          <w:p w14:paraId="77B4AB7C">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r>
              <w:rPr>
                <w:rFonts w:hint="eastAsia" w:ascii="宋体" w:hAnsi="宋体" w:eastAsia="宋体" w:cs="宋体"/>
                <w:color w:val="000000" w:themeColor="text1"/>
                <w:sz w:val="28"/>
                <w:szCs w:val="28"/>
                <w:highlight w:val="none"/>
                <w:lang w:eastAsia="zh-CN"/>
                <w14:textFill>
                  <w14:solidFill>
                    <w14:schemeClr w14:val="tx1"/>
                  </w14:solidFill>
                </w14:textFill>
              </w:rPr>
              <w:t>周敬伟   王 敏</w:t>
            </w:r>
          </w:p>
          <w:p w14:paraId="7CCA40B1">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联系电话：</w:t>
            </w:r>
            <w:r>
              <w:rPr>
                <w:rFonts w:hint="eastAsia" w:ascii="宋体" w:hAnsi="宋体" w:eastAsia="宋体" w:cs="宋体"/>
                <w:color w:val="000000" w:themeColor="text1"/>
                <w:sz w:val="28"/>
                <w:szCs w:val="28"/>
                <w:highlight w:val="none"/>
                <w:lang w:eastAsia="zh-CN"/>
                <w14:textFill>
                  <w14:solidFill>
                    <w14:schemeClr w14:val="tx1"/>
                  </w14:solidFill>
                </w14:textFill>
              </w:rPr>
              <w:t>0631-5812098</w:t>
            </w:r>
          </w:p>
        </w:tc>
      </w:tr>
      <w:tr w14:paraId="4AB68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4819809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76C59D9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项目情况</w:t>
            </w:r>
          </w:p>
        </w:tc>
        <w:tc>
          <w:tcPr>
            <w:tcW w:w="6881" w:type="dxa"/>
            <w:tcBorders>
              <w:top w:val="single" w:color="auto" w:sz="4" w:space="0"/>
              <w:left w:val="single" w:color="auto" w:sz="4" w:space="0"/>
              <w:bottom w:val="single" w:color="auto" w:sz="4" w:space="0"/>
            </w:tcBorders>
            <w:vAlign w:val="center"/>
          </w:tcPr>
          <w:p w14:paraId="7BE004EE">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详见“第一章招标公告”</w:t>
            </w:r>
          </w:p>
        </w:tc>
      </w:tr>
      <w:tr w14:paraId="50E1E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BE57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1E3537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资金来源及比例</w:t>
            </w:r>
          </w:p>
        </w:tc>
        <w:tc>
          <w:tcPr>
            <w:tcW w:w="6881" w:type="dxa"/>
            <w:tcBorders>
              <w:top w:val="single" w:color="auto" w:sz="4" w:space="0"/>
              <w:left w:val="single" w:color="auto" w:sz="4" w:space="0"/>
              <w:bottom w:val="single" w:color="auto" w:sz="4" w:space="0"/>
            </w:tcBorders>
            <w:vAlign w:val="center"/>
          </w:tcPr>
          <w:p w14:paraId="7619124B">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自筹资金100%</w:t>
            </w:r>
          </w:p>
        </w:tc>
      </w:tr>
      <w:tr w14:paraId="0087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2E75DA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17BA9B2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落实情况</w:t>
            </w:r>
          </w:p>
        </w:tc>
        <w:tc>
          <w:tcPr>
            <w:tcW w:w="6881" w:type="dxa"/>
            <w:tcBorders>
              <w:top w:val="single" w:color="auto" w:sz="4" w:space="0"/>
              <w:left w:val="single" w:color="auto" w:sz="4" w:space="0"/>
              <w:bottom w:val="single" w:color="auto" w:sz="4" w:space="0"/>
            </w:tcBorders>
            <w:vAlign w:val="center"/>
          </w:tcPr>
          <w:p w14:paraId="2754FFF0">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已落实</w:t>
            </w:r>
          </w:p>
        </w:tc>
      </w:tr>
      <w:tr w14:paraId="022EC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1E0BC6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3569E3A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电子投标</w:t>
            </w:r>
          </w:p>
          <w:p w14:paraId="4EEE46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特别提示</w:t>
            </w:r>
          </w:p>
        </w:tc>
        <w:tc>
          <w:tcPr>
            <w:tcW w:w="6881" w:type="dxa"/>
            <w:tcBorders>
              <w:top w:val="single" w:color="auto" w:sz="4" w:space="0"/>
              <w:left w:val="single" w:color="auto" w:sz="4" w:space="0"/>
              <w:bottom w:val="single" w:color="auto" w:sz="4" w:space="0"/>
            </w:tcBorders>
            <w:vAlign w:val="center"/>
          </w:tcPr>
          <w:p w14:paraId="1889D593">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登录“威海市公共资源交易网”首页右侧“交易服务一网通办系统”进行平台切换点击“国企采购”进入国有企业阳光采购电子化服务平台进行注册，取得用户名和密码（已经完成注册的投标人无须重复注册）；首次注册的投标人应及时办理安全证书（CA锁）及电子签章。</w:t>
            </w:r>
          </w:p>
          <w:p w14:paraId="4993A32C">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本项目必须网上提交投标文件</w:t>
            </w:r>
            <w:r>
              <w:rPr>
                <w:rFonts w:hint="eastAsia" w:ascii="宋体" w:hAnsi="宋体" w:eastAsia="宋体" w:cs="宋体"/>
                <w:color w:val="000000" w:themeColor="text1"/>
                <w:sz w:val="28"/>
                <w:szCs w:val="28"/>
                <w:highlight w:val="none"/>
                <w14:textFill>
                  <w14:solidFill>
                    <w14:schemeClr w14:val="tx1"/>
                  </w14:solidFill>
                </w14:textFill>
              </w:rPr>
              <w:t>，参与本项目投标人应利用办理好的CA锁登录威海市国有企业阳光采购电子化服务平台进行招标文件的获取、文件下载和网上提交投标文件，且安全证书（CA锁）在有效期内。</w:t>
            </w:r>
          </w:p>
          <w:p w14:paraId="64FCB61C">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电子响应文件的制作及提交等有关操作见本文件及威海市公共资源交易网）办事指南栏目-国企采购专区-《新版威海市国有企业阳光采购服务平台操作演示视频（供应商）》，网址: </w:t>
            </w:r>
            <w:r>
              <w:rPr>
                <w:rFonts w:hint="eastAsia" w:ascii="宋体" w:hAnsi="宋体" w:eastAsia="宋体" w:cs="宋体"/>
                <w:color w:val="000000" w:themeColor="text1"/>
                <w:sz w:val="28"/>
                <w:szCs w:val="28"/>
                <w:highlight w:val="none"/>
                <w:lang w:val="en-US" w:eastAsia="zh-CN"/>
                <w14:textFill>
                  <w14:solidFill>
                    <w14:schemeClr w14:val="tx1"/>
                  </w14:solidFill>
                </w14:textFill>
              </w:rPr>
              <w:fldChar w:fldCharType="begin"/>
            </w:r>
            <w:r>
              <w:rPr>
                <w:rFonts w:hint="eastAsia" w:ascii="宋体" w:hAnsi="宋体" w:eastAsia="宋体" w:cs="宋体"/>
                <w:color w:val="000000" w:themeColor="text1"/>
                <w:sz w:val="28"/>
                <w:szCs w:val="28"/>
                <w:highlight w:val="none"/>
                <w:lang w:val="en-US" w:eastAsia="zh-CN"/>
                <w14:textFill>
                  <w14:solidFill>
                    <w14:schemeClr w14:val="tx1"/>
                  </w14:solidFill>
                </w14:textFill>
              </w:rPr>
              <w:instrText xml:space="preserve"> HYPERLINK "https://ggzyjy.weihai.cn/bszn/005005/20260109/315a049e-0d75-4f85-8634-00d90a843936.html" </w:instrText>
            </w:r>
            <w:r>
              <w:rPr>
                <w:rFonts w:hint="eastAsia" w:ascii="宋体" w:hAnsi="宋体" w:eastAsia="宋体" w:cs="宋体"/>
                <w:color w:val="000000" w:themeColor="text1"/>
                <w:sz w:val="28"/>
                <w:szCs w:val="28"/>
                <w:highlight w:val="none"/>
                <w:lang w:val="en-US" w:eastAsia="zh-CN"/>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https://ggzyjy.weihai.cn/bszn/005005/20260109/315a049e-0d75-4f85-8634-00d90a843936.html</w:t>
            </w:r>
            <w:r>
              <w:rPr>
                <w:rFonts w:hint="eastAsia" w:ascii="宋体" w:hAnsi="宋体" w:eastAsia="宋体" w:cs="宋体"/>
                <w:color w:val="000000" w:themeColor="text1"/>
                <w:sz w:val="28"/>
                <w:szCs w:val="28"/>
                <w:highlight w:val="none"/>
                <w:lang w:val="en-US" w:eastAsia="zh-CN"/>
                <w14:textFill>
                  <w14:solidFill>
                    <w14:schemeClr w14:val="tx1"/>
                  </w14:solidFill>
                </w14:textFill>
              </w:rPr>
              <w:fldChar w:fldCharType="end"/>
            </w:r>
            <w:r>
              <w:rPr>
                <w:rFonts w:hint="eastAsia" w:ascii="宋体" w:hAnsi="宋体" w:eastAsia="宋体" w:cs="宋体"/>
                <w:color w:val="000000" w:themeColor="text1"/>
                <w:sz w:val="28"/>
                <w:szCs w:val="28"/>
                <w:highlight w:val="none"/>
                <w:lang w:val="en-US" w:eastAsia="zh-CN"/>
                <w14:textFill>
                  <w14:solidFill>
                    <w14:schemeClr w14:val="tx1"/>
                  </w14:solidFill>
                </w14:textFill>
              </w:rPr>
              <w:t>。响应文件制作及系统使用咨询电话：17863029936；QQ服务群：1046971257。</w:t>
            </w:r>
            <w:r>
              <w:rPr>
                <w:rFonts w:hint="eastAsia" w:ascii="宋体" w:hAnsi="宋体" w:eastAsia="宋体" w:cs="宋体"/>
                <w:color w:val="000000" w:themeColor="text1"/>
                <w:sz w:val="28"/>
                <w:szCs w:val="28"/>
                <w:highlight w:val="none"/>
                <w14:textFill>
                  <w14:solidFill>
                    <w14:schemeClr w14:val="tx1"/>
                  </w14:solidFill>
                </w14:textFill>
              </w:rPr>
              <w:t>交易服务一网通办系统技术支持电话：4009980000（系统登录、CA锁绑定、平台切换），一网通办技术支持QQ群：1143439694；CA锁办理咨询电话：0631-5170227；</w:t>
            </w:r>
          </w:p>
          <w:p w14:paraId="7CA01FF6">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r>
              <w:rPr>
                <w:rFonts w:hint="eastAsia" w:ascii="宋体" w:hAnsi="宋体" w:eastAsia="宋体" w:cs="宋体"/>
                <w:color w:val="000000" w:themeColor="text1"/>
                <w:sz w:val="28"/>
                <w:szCs w:val="28"/>
                <w:highlight w:val="none"/>
                <w:lang w:val="en-US" w:eastAsia="zh-CN"/>
                <w14:textFill>
                  <w14:solidFill>
                    <w14:schemeClr w14:val="tx1"/>
                  </w14:solidFill>
                </w14:textFill>
              </w:rPr>
              <w:t>网上提交响应文件时，登录交易平台的电脑须满足环境要求（详见新版威海市国有企业阳光采购服务平台供应商用户手册https://ggzyjy.weihai.cn/bszn/005005/20260109/eb4ba418-4b35-4f05-aa69-44fd7d8a7ffb.html）。</w:t>
            </w:r>
          </w:p>
          <w:p w14:paraId="500C9BBA">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1BFC493">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9BDA7F1">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282C06D0">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39536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C4C63F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5FE9404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资质证明文件</w:t>
            </w:r>
          </w:p>
          <w:p w14:paraId="27EB29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原件</w:t>
            </w:r>
          </w:p>
        </w:tc>
        <w:tc>
          <w:tcPr>
            <w:tcW w:w="6881" w:type="dxa"/>
            <w:tcBorders>
              <w:top w:val="single" w:color="auto" w:sz="4" w:space="0"/>
              <w:left w:val="single" w:color="auto" w:sz="4" w:space="0"/>
              <w:bottom w:val="single" w:color="auto" w:sz="4" w:space="0"/>
            </w:tcBorders>
            <w:vAlign w:val="center"/>
          </w:tcPr>
          <w:p w14:paraId="48C4BA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无需提供资质证明文件原件</w:t>
            </w:r>
          </w:p>
        </w:tc>
      </w:tr>
      <w:tr w14:paraId="0A713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41B7BE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BCDBB6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投标文件份数</w:t>
            </w:r>
          </w:p>
        </w:tc>
        <w:tc>
          <w:tcPr>
            <w:tcW w:w="6881" w:type="dxa"/>
            <w:tcBorders>
              <w:top w:val="single" w:color="auto" w:sz="4" w:space="0"/>
              <w:left w:val="single" w:color="auto" w:sz="4" w:space="0"/>
              <w:bottom w:val="single" w:color="auto" w:sz="4" w:space="0"/>
            </w:tcBorders>
            <w:vAlign w:val="center"/>
          </w:tcPr>
          <w:p w14:paraId="4E406F4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网上按时提交电子投标文件</w:t>
            </w:r>
          </w:p>
        </w:tc>
      </w:tr>
      <w:tr w14:paraId="3A6CD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D6EC4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DF3859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实物样品</w:t>
            </w:r>
          </w:p>
        </w:tc>
        <w:tc>
          <w:tcPr>
            <w:tcW w:w="6881" w:type="dxa"/>
            <w:tcBorders>
              <w:top w:val="single" w:color="auto" w:sz="4" w:space="0"/>
              <w:left w:val="single" w:color="auto" w:sz="4" w:space="0"/>
              <w:bottom w:val="single" w:color="auto" w:sz="4" w:space="0"/>
            </w:tcBorders>
            <w:vAlign w:val="center"/>
          </w:tcPr>
          <w:p w14:paraId="66AD364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w:t>
            </w:r>
          </w:p>
        </w:tc>
      </w:tr>
      <w:tr w14:paraId="3CCE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4762DE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EBA1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现场踏勘</w:t>
            </w:r>
          </w:p>
        </w:tc>
        <w:tc>
          <w:tcPr>
            <w:tcW w:w="6881" w:type="dxa"/>
            <w:tcBorders>
              <w:top w:val="single" w:color="auto" w:sz="4" w:space="0"/>
              <w:left w:val="single" w:color="auto" w:sz="4" w:space="0"/>
              <w:bottom w:val="single" w:color="auto" w:sz="4" w:space="0"/>
            </w:tcBorders>
            <w:vAlign w:val="center"/>
          </w:tcPr>
          <w:p w14:paraId="607208A6">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不组织</w:t>
            </w:r>
          </w:p>
        </w:tc>
      </w:tr>
      <w:tr w14:paraId="30B381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BC386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7975DC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投标预备会</w:t>
            </w:r>
          </w:p>
        </w:tc>
        <w:tc>
          <w:tcPr>
            <w:tcW w:w="6881" w:type="dxa"/>
            <w:tcBorders>
              <w:top w:val="single" w:color="auto" w:sz="4" w:space="0"/>
              <w:left w:val="single" w:color="auto" w:sz="4" w:space="0"/>
              <w:bottom w:val="single" w:color="auto" w:sz="4" w:space="0"/>
            </w:tcBorders>
            <w:vAlign w:val="center"/>
          </w:tcPr>
          <w:p w14:paraId="45D86EF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不召开</w:t>
            </w:r>
          </w:p>
        </w:tc>
      </w:tr>
      <w:tr w14:paraId="5C5B0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3A491A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CC0C2B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投标有效期</w:t>
            </w:r>
          </w:p>
        </w:tc>
        <w:tc>
          <w:tcPr>
            <w:tcW w:w="6881" w:type="dxa"/>
            <w:tcBorders>
              <w:top w:val="single" w:color="auto" w:sz="4" w:space="0"/>
              <w:left w:val="single" w:color="auto" w:sz="4" w:space="0"/>
              <w:bottom w:val="single" w:color="auto" w:sz="4" w:space="0"/>
            </w:tcBorders>
            <w:vAlign w:val="center"/>
          </w:tcPr>
          <w:p w14:paraId="5712D25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开标之日起90天</w:t>
            </w:r>
          </w:p>
        </w:tc>
      </w:tr>
      <w:tr w14:paraId="481D1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621C04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47F65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投标文件提交时间及地点</w:t>
            </w:r>
          </w:p>
        </w:tc>
        <w:tc>
          <w:tcPr>
            <w:tcW w:w="6881" w:type="dxa"/>
            <w:tcBorders>
              <w:top w:val="single" w:color="auto" w:sz="4" w:space="0"/>
              <w:left w:val="single" w:color="auto" w:sz="4" w:space="0"/>
              <w:bottom w:val="single" w:color="auto" w:sz="4" w:space="0"/>
            </w:tcBorders>
            <w:vAlign w:val="center"/>
          </w:tcPr>
          <w:p w14:paraId="105EFF8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电子投标文件提交时间：</w:t>
            </w:r>
            <w:r>
              <w:rPr>
                <w:rFonts w:hint="eastAsia" w:ascii="宋体" w:hAnsi="宋体" w:eastAsia="宋体" w:cs="宋体"/>
                <w:color w:val="000000" w:themeColor="text1"/>
                <w:sz w:val="28"/>
                <w:szCs w:val="28"/>
                <w:highlight w:val="none"/>
                <w:lang w:val="en-US" w:eastAsia="zh-CN"/>
                <w14:textFill>
                  <w14:solidFill>
                    <w14:schemeClr w14:val="tx1"/>
                  </w14:solidFill>
                </w14:textFill>
              </w:rPr>
              <w:t>详见招标公告。</w:t>
            </w:r>
          </w:p>
          <w:p w14:paraId="01B8680F">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纸质投标文件递交：</w:t>
            </w:r>
          </w:p>
          <w:p w14:paraId="02966196">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1.投标人送达或邮递方式递交，请于投标截止时间前邮寄至山东省威海市奈古山路古山五巷16号鼎顺商务508室，投标文件需按照本项要求进行密封。</w:t>
            </w:r>
          </w:p>
          <w:p w14:paraId="3D478162">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纸质投标文件份数：</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份胶装成册。</w:t>
            </w:r>
          </w:p>
          <w:p w14:paraId="5CC3D3A1">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2.投标文件正本、副本、电子文档放在一起密封，并在封口处粘贴封条、加盖投标单位印章。</w:t>
            </w:r>
          </w:p>
          <w:p w14:paraId="1AB1403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rPr>
              <w:t>3.封套内容：</w:t>
            </w:r>
          </w:p>
          <w:p w14:paraId="72C2451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（1）代理机构：</w:t>
            </w:r>
          </w:p>
          <w:p w14:paraId="3B0E702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（2）项目名称：</w:t>
            </w:r>
          </w:p>
          <w:p w14:paraId="55A9613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（3）招标编号：</w:t>
            </w:r>
          </w:p>
          <w:p w14:paraId="46DCF4E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w:t>
            </w:r>
          </w:p>
          <w:p w14:paraId="69F219AC">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（5）注明“公开开标前不得启封”字样。</w:t>
            </w:r>
          </w:p>
        </w:tc>
      </w:tr>
      <w:tr w14:paraId="713BC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300C3CE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1C527D6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开标时间</w:t>
            </w:r>
          </w:p>
        </w:tc>
        <w:tc>
          <w:tcPr>
            <w:tcW w:w="6881" w:type="dxa"/>
            <w:tcBorders>
              <w:top w:val="single" w:color="auto" w:sz="4" w:space="0"/>
              <w:left w:val="single" w:color="auto" w:sz="4" w:space="0"/>
              <w:bottom w:val="single" w:color="auto" w:sz="4" w:space="0"/>
            </w:tcBorders>
            <w:vAlign w:val="center"/>
          </w:tcPr>
          <w:p w14:paraId="32B2E24A">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详见招标公告；</w:t>
            </w:r>
          </w:p>
        </w:tc>
      </w:tr>
      <w:tr w14:paraId="61CF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230527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B990C8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开标地点</w:t>
            </w:r>
          </w:p>
        </w:tc>
        <w:tc>
          <w:tcPr>
            <w:tcW w:w="6881" w:type="dxa"/>
            <w:tcBorders>
              <w:top w:val="single" w:color="auto" w:sz="4" w:space="0"/>
              <w:left w:val="single" w:color="auto" w:sz="4" w:space="0"/>
              <w:bottom w:val="single" w:color="auto" w:sz="4" w:space="0"/>
            </w:tcBorders>
            <w:vAlign w:val="center"/>
          </w:tcPr>
          <w:p w14:paraId="25B3554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详见招标公告；</w:t>
            </w:r>
          </w:p>
        </w:tc>
      </w:tr>
      <w:tr w14:paraId="1A7C3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941BAE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E4588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开标方式</w:t>
            </w:r>
          </w:p>
        </w:tc>
        <w:tc>
          <w:tcPr>
            <w:tcW w:w="6881" w:type="dxa"/>
            <w:tcBorders>
              <w:top w:val="single" w:color="auto" w:sz="4" w:space="0"/>
              <w:left w:val="single" w:color="auto" w:sz="4" w:space="0"/>
              <w:bottom w:val="single" w:color="auto" w:sz="4" w:space="0"/>
            </w:tcBorders>
            <w:vAlign w:val="center"/>
          </w:tcPr>
          <w:p w14:paraId="29DAED4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投标人无需到现场参与开标，但开、评标期间需实时关注交易系统相关通知，且被授权人的联络方式应保持畅通。</w:t>
            </w:r>
          </w:p>
        </w:tc>
      </w:tr>
      <w:tr w14:paraId="497A5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18A2F3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7C7A189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开标程序</w:t>
            </w:r>
          </w:p>
        </w:tc>
        <w:tc>
          <w:tcPr>
            <w:tcW w:w="6881" w:type="dxa"/>
            <w:tcBorders>
              <w:top w:val="single" w:color="auto" w:sz="4" w:space="0"/>
              <w:left w:val="single" w:color="auto" w:sz="4" w:space="0"/>
              <w:bottom w:val="single" w:color="auto" w:sz="4" w:space="0"/>
            </w:tcBorders>
            <w:vAlign w:val="center"/>
          </w:tcPr>
          <w:p w14:paraId="73FAFA99">
            <w:pPr>
              <w:shd w:val="clear" w:color="auto" w:fill="auto"/>
              <w:wordWrap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签到时间：递交投标文件截止时间前完成</w:t>
            </w:r>
          </w:p>
          <w:p w14:paraId="72A1E4E4">
            <w:pPr>
              <w:shd w:val="clear" w:color="auto" w:fill="auto"/>
              <w:wordWrap w:val="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rPr>
              <w:t>解密时间：开始解密后15分钟内完成</w:t>
            </w:r>
          </w:p>
        </w:tc>
      </w:tr>
      <w:tr w14:paraId="11326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24075A5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68AF73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资格审查方式</w:t>
            </w:r>
          </w:p>
        </w:tc>
        <w:tc>
          <w:tcPr>
            <w:tcW w:w="6881" w:type="dxa"/>
            <w:tcBorders>
              <w:top w:val="single" w:color="auto" w:sz="4" w:space="0"/>
              <w:left w:val="single" w:color="auto" w:sz="4" w:space="0"/>
              <w:bottom w:val="single" w:color="auto" w:sz="4" w:space="0"/>
            </w:tcBorders>
            <w:vAlign w:val="center"/>
          </w:tcPr>
          <w:p w14:paraId="41BFF84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资格后审</w:t>
            </w:r>
          </w:p>
        </w:tc>
      </w:tr>
      <w:tr w14:paraId="0C345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36B82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014962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评审办法</w:t>
            </w:r>
          </w:p>
        </w:tc>
        <w:tc>
          <w:tcPr>
            <w:tcW w:w="6881" w:type="dxa"/>
            <w:tcBorders>
              <w:top w:val="single" w:color="auto" w:sz="4" w:space="0"/>
              <w:left w:val="single" w:color="auto" w:sz="4" w:space="0"/>
              <w:bottom w:val="single" w:color="auto" w:sz="4" w:space="0"/>
            </w:tcBorders>
            <w:vAlign w:val="center"/>
          </w:tcPr>
          <w:p w14:paraId="0AAEF07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综合评分法</w:t>
            </w:r>
          </w:p>
        </w:tc>
      </w:tr>
      <w:tr w14:paraId="59890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4BF806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546AD6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联合体报价</w:t>
            </w:r>
          </w:p>
        </w:tc>
        <w:tc>
          <w:tcPr>
            <w:tcW w:w="6881" w:type="dxa"/>
            <w:tcBorders>
              <w:top w:val="single" w:color="auto" w:sz="4" w:space="0"/>
              <w:left w:val="single" w:color="auto" w:sz="4" w:space="0"/>
              <w:bottom w:val="single" w:color="auto" w:sz="4" w:space="0"/>
            </w:tcBorders>
            <w:vAlign w:val="center"/>
          </w:tcPr>
          <w:p w14:paraId="67F419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不允许</w:t>
            </w:r>
          </w:p>
        </w:tc>
      </w:tr>
      <w:tr w14:paraId="51CFF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4755D9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7985C99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分（转）包</w:t>
            </w:r>
          </w:p>
        </w:tc>
        <w:tc>
          <w:tcPr>
            <w:tcW w:w="6881" w:type="dxa"/>
            <w:tcBorders>
              <w:top w:val="single" w:color="auto" w:sz="4" w:space="0"/>
              <w:left w:val="single" w:color="auto" w:sz="4" w:space="0"/>
              <w:bottom w:val="single" w:color="auto" w:sz="4" w:space="0"/>
            </w:tcBorders>
            <w:vAlign w:val="center"/>
          </w:tcPr>
          <w:p w14:paraId="798EDF8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不允许</w:t>
            </w:r>
          </w:p>
        </w:tc>
      </w:tr>
      <w:tr w14:paraId="35C7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92C61F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95C49A4">
            <w:pPr>
              <w:snapToGrid w:val="0"/>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590901E0">
            <w:pPr>
              <w:numPr>
                <w:ilvl w:val="0"/>
                <w:numId w:val="0"/>
              </w:num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投标保证金的金额：人民币</w:t>
            </w:r>
            <w:r>
              <w:rPr>
                <w:rFonts w:hint="eastAsia" w:ascii="宋体" w:hAnsi="宋体" w:eastAsia="宋体" w:cs="宋体"/>
                <w:b/>
                <w:bCs/>
                <w:color w:val="auto"/>
                <w:sz w:val="28"/>
                <w:szCs w:val="28"/>
                <w:highlight w:val="none"/>
                <w:u w:val="single"/>
                <w:lang w:val="en-US" w:eastAsia="zh-CN"/>
              </w:rPr>
              <w:t>叁仟</w:t>
            </w:r>
            <w:r>
              <w:rPr>
                <w:rFonts w:hint="eastAsia" w:ascii="宋体" w:hAnsi="宋体" w:eastAsia="宋体" w:cs="宋体"/>
                <w:b/>
                <w:bCs/>
                <w:color w:val="auto"/>
                <w:sz w:val="28"/>
                <w:szCs w:val="28"/>
                <w:highlight w:val="none"/>
                <w:u w:val="single"/>
              </w:rPr>
              <w:t>元</w:t>
            </w:r>
            <w:r>
              <w:rPr>
                <w:rFonts w:hint="eastAsia" w:ascii="宋体" w:hAnsi="宋体" w:eastAsia="宋体" w:cs="宋体"/>
                <w:color w:val="auto"/>
                <w:sz w:val="28"/>
                <w:szCs w:val="28"/>
                <w:highlight w:val="none"/>
              </w:rPr>
              <w:t>整</w:t>
            </w:r>
            <w:r>
              <w:rPr>
                <w:rFonts w:hint="eastAsia" w:ascii="宋体" w:hAnsi="宋体" w:eastAsia="宋体" w:cs="宋体"/>
                <w:color w:val="auto"/>
                <w:sz w:val="28"/>
                <w:szCs w:val="28"/>
                <w:highlight w:val="none"/>
                <w:lang w:eastAsia="zh-CN"/>
              </w:rPr>
              <w:t>；</w:t>
            </w:r>
          </w:p>
          <w:p w14:paraId="70E7667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1.1本项目的</w:t>
            </w:r>
            <w:r>
              <w:rPr>
                <w:rFonts w:hint="eastAsia" w:ascii="宋体" w:hAnsi="宋体" w:eastAsia="宋体" w:cs="宋体"/>
                <w:color w:val="auto"/>
                <w:sz w:val="28"/>
                <w:szCs w:val="28"/>
                <w:highlight w:val="none"/>
                <w:lang w:val="en-US" w:eastAsia="zh-CN"/>
              </w:rPr>
              <w:t>投标保证金</w:t>
            </w:r>
            <w:r>
              <w:rPr>
                <w:rFonts w:hint="eastAsia" w:ascii="宋体" w:hAnsi="宋体" w:eastAsia="宋体" w:cs="宋体"/>
                <w:color w:val="auto"/>
                <w:sz w:val="28"/>
                <w:szCs w:val="28"/>
                <w:highlight w:val="none"/>
              </w:rPr>
              <w:t>必须通过</w:t>
            </w:r>
            <w:r>
              <w:rPr>
                <w:rFonts w:hint="eastAsia" w:ascii="宋体" w:hAnsi="宋体" w:eastAsia="宋体" w:cs="宋体"/>
                <w:color w:val="auto"/>
                <w:sz w:val="28"/>
                <w:szCs w:val="28"/>
                <w:highlight w:val="none"/>
                <w:lang w:eastAsia="zh-CN"/>
              </w:rPr>
              <w:t>威海市国有企业阳光采购服务平台</w:t>
            </w:r>
            <w:r>
              <w:rPr>
                <w:rFonts w:hint="eastAsia" w:ascii="宋体" w:hAnsi="宋体" w:eastAsia="宋体" w:cs="宋体"/>
                <w:color w:val="auto"/>
                <w:sz w:val="28"/>
                <w:szCs w:val="28"/>
                <w:highlight w:val="none"/>
              </w:rPr>
              <w:t>交纳，使用说明参见威海市公共资源交易网（http://ggzyjy.weihai.cn）的“办事指南—国企采购专区”中</w:t>
            </w:r>
            <w:r>
              <w:rPr>
                <w:rFonts w:hint="eastAsia" w:ascii="宋体" w:hAnsi="宋体" w:eastAsia="宋体" w:cs="宋体"/>
                <w:color w:val="auto"/>
                <w:sz w:val="28"/>
                <w:szCs w:val="28"/>
                <w:highlight w:val="none"/>
                <w:lang w:val="en-US" w:eastAsia="zh-CN"/>
              </w:rPr>
              <w:t>《新版威海市国有企业阳光采购服务平台供应商线上投标保证金操作手册》。</w:t>
            </w:r>
          </w:p>
          <w:p w14:paraId="21498B2E">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1.2为确保投标工作有序进行，保证金应当在开标（提交投标文件截止）时间前（以到账时间为准）到达威海公共资源交易服务有限公司账户，以网银、电汇等方式一次性足额交纳保证金，不接受支付宝等第三方平台转账。禁止第三方代交。保证金交纳单位应与提交投标文件的投标人名称一致。</w:t>
            </w:r>
          </w:p>
          <w:p w14:paraId="2CAA1ED0">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1.3为确保投标人保证金及时足额到账，请尽量提前交纳保证金，由于银行系统原因，请至少在提交投标文件截止时间前12小时将保证金汇出。如不按招标文件和系统使用指南操作，导致开标过程中威海市国有企业阳光采购服务平台未出现投标人名称或者显示保证金未按时到账，视为其未按照招标文件的规定提交投标保证金，投标人对此应有明确的认识，自行承担后果。投标人可以使用威海市国有企业阳光采购服务平台查询并及时更新交纳情况。</w:t>
            </w:r>
          </w:p>
          <w:p w14:paraId="379E9685">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注意：每个标段（若分多个标段）都应申请收款人虚拟账号，一个收款人虚拟账号仅限定一个投标人在本项目上使用。各投标人应严格按照招标文件的要求进行保证金的缴纳工作，在汇款时认真核对</w:t>
            </w:r>
            <w:r>
              <w:rPr>
                <w:rFonts w:hint="eastAsia" w:ascii="宋体" w:hAnsi="宋体" w:eastAsia="宋体" w:cs="宋体"/>
                <w:color w:val="auto"/>
                <w:sz w:val="28"/>
                <w:szCs w:val="28"/>
                <w:highlight w:val="none"/>
                <w:lang w:val="en-US" w:eastAsia="zh-CN"/>
              </w:rPr>
              <w:t>国企阳光采购平台</w:t>
            </w:r>
            <w:r>
              <w:rPr>
                <w:rFonts w:hint="eastAsia" w:ascii="宋体" w:hAnsi="宋体" w:eastAsia="宋体" w:cs="宋体"/>
                <w:color w:val="auto"/>
                <w:sz w:val="28"/>
                <w:szCs w:val="28"/>
                <w:highlight w:val="none"/>
                <w:lang w:eastAsia="zh-CN"/>
              </w:rPr>
              <w:t>的收款人名称和开户银行等信息是否与招标文件提供的信息一致，如有出入请及时联系</w:t>
            </w:r>
            <w:r>
              <w:rPr>
                <w:rFonts w:hint="eastAsia" w:ascii="宋体" w:hAnsi="宋体" w:eastAsia="宋体" w:cs="宋体"/>
                <w:color w:val="auto"/>
                <w:sz w:val="28"/>
                <w:szCs w:val="28"/>
                <w:highlight w:val="none"/>
                <w:lang w:val="en-US" w:eastAsia="zh-CN"/>
              </w:rPr>
              <w:t>招标人</w:t>
            </w:r>
            <w:r>
              <w:rPr>
                <w:rFonts w:hint="eastAsia" w:ascii="宋体" w:hAnsi="宋体" w:eastAsia="宋体" w:cs="宋体"/>
                <w:color w:val="auto"/>
                <w:sz w:val="28"/>
                <w:szCs w:val="28"/>
                <w:highlight w:val="none"/>
                <w:lang w:eastAsia="zh-CN"/>
              </w:rPr>
              <w:t>或采购代理机构，未按招标文件要求操作的，可能导致保证金无法确认，进而影响投标资格，由此引发的后果由投标人自行承担。</w:t>
            </w:r>
          </w:p>
          <w:p w14:paraId="7FEBDDBE">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2.要求：</w:t>
            </w:r>
          </w:p>
          <w:p w14:paraId="546E99BC">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2.1保证金必须从投标人基本账户转出。</w:t>
            </w:r>
          </w:p>
          <w:p w14:paraId="7CD8A26E">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2.2提供基本账户汇款证明，且保证金转出账户需与基本账户相同。</w:t>
            </w:r>
          </w:p>
          <w:p w14:paraId="31976149">
            <w:pPr>
              <w:snapToGrid w:val="0"/>
              <w:spacing w:line="360" w:lineRule="auto"/>
              <w:ind w:right="-105" w:rightChars="-5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lang w:eastAsia="zh-CN"/>
              </w:rPr>
              <w:t>未按规定交纳保证金否决其投标（报价）。</w:t>
            </w:r>
          </w:p>
        </w:tc>
      </w:tr>
      <w:tr w14:paraId="17940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AE3B67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DACA9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履约保证金</w:t>
            </w:r>
          </w:p>
        </w:tc>
        <w:tc>
          <w:tcPr>
            <w:tcW w:w="6881" w:type="dxa"/>
            <w:tcBorders>
              <w:top w:val="single" w:color="auto" w:sz="4" w:space="0"/>
              <w:left w:val="single" w:color="auto" w:sz="4" w:space="0"/>
              <w:bottom w:val="single" w:color="auto" w:sz="4" w:space="0"/>
            </w:tcBorders>
            <w:vAlign w:val="center"/>
          </w:tcPr>
          <w:p w14:paraId="3917DA2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本项目不收取履约保证金</w:t>
            </w:r>
          </w:p>
        </w:tc>
      </w:tr>
      <w:tr w14:paraId="0C3BA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323793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6B96A4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付款方式</w:t>
            </w:r>
          </w:p>
        </w:tc>
        <w:tc>
          <w:tcPr>
            <w:tcW w:w="6881" w:type="dxa"/>
            <w:tcBorders>
              <w:top w:val="single" w:color="auto" w:sz="4" w:space="0"/>
              <w:left w:val="single" w:color="auto" w:sz="4" w:space="0"/>
              <w:bottom w:val="single" w:color="auto" w:sz="4" w:space="0"/>
            </w:tcBorders>
            <w:vAlign w:val="center"/>
          </w:tcPr>
          <w:p w14:paraId="0E76B9E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详见合同范本</w:t>
            </w:r>
          </w:p>
        </w:tc>
      </w:tr>
      <w:tr w14:paraId="070D8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93DFBF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22A314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控制价</w:t>
            </w:r>
          </w:p>
        </w:tc>
        <w:tc>
          <w:tcPr>
            <w:tcW w:w="6881" w:type="dxa"/>
            <w:tcBorders>
              <w:top w:val="single" w:color="auto" w:sz="4" w:space="0"/>
              <w:left w:val="single" w:color="auto" w:sz="4" w:space="0"/>
              <w:bottom w:val="single" w:color="auto" w:sz="4" w:space="0"/>
            </w:tcBorders>
            <w:vAlign w:val="center"/>
          </w:tcPr>
          <w:p w14:paraId="5411555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见采购项目说明</w:t>
            </w:r>
          </w:p>
        </w:tc>
      </w:tr>
      <w:tr w14:paraId="5FA2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B449769">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38A40C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代理服务费</w:t>
            </w:r>
          </w:p>
        </w:tc>
        <w:tc>
          <w:tcPr>
            <w:tcW w:w="6881" w:type="dxa"/>
            <w:tcBorders>
              <w:top w:val="single" w:color="auto" w:sz="4" w:space="0"/>
              <w:left w:val="single" w:color="auto" w:sz="4" w:space="0"/>
              <w:bottom w:val="single" w:color="auto" w:sz="4" w:space="0"/>
            </w:tcBorders>
            <w:vAlign w:val="center"/>
          </w:tcPr>
          <w:p w14:paraId="078EEDE0">
            <w:pPr>
              <w:keepNext w:val="0"/>
              <w:keepLines w:val="0"/>
              <w:pageBreakBefore w:val="0"/>
              <w:widowControl w:val="0"/>
              <w:kinsoku/>
              <w:wordWrap w:val="0"/>
              <w:overflowPunct/>
              <w:topLinePunct w:val="0"/>
              <w:autoSpaceDE/>
              <w:autoSpaceDN/>
              <w:bidi w:val="0"/>
              <w:adjustRightInd/>
              <w:snapToGrid/>
              <w:spacing w:line="24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pacing w:val="8"/>
                <w:kern w:val="0"/>
                <w:sz w:val="28"/>
                <w:szCs w:val="28"/>
                <w:highlight w:val="none"/>
                <w14:textFill>
                  <w14:solidFill>
                    <w14:schemeClr w14:val="tx1"/>
                  </w14:solidFill>
                </w14:textFill>
              </w:rPr>
              <w:t>招标代理服务费</w:t>
            </w: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3</w:t>
            </w:r>
            <w:r>
              <w:rPr>
                <w:rFonts w:hint="eastAsia" w:ascii="宋体" w:hAnsi="宋体" w:eastAsia="宋体" w:cs="宋体"/>
                <w:bCs/>
                <w:color w:val="000000" w:themeColor="text1"/>
                <w:spacing w:val="8"/>
                <w:kern w:val="0"/>
                <w:sz w:val="28"/>
                <w:szCs w:val="28"/>
                <w:highlight w:val="none"/>
                <w:lang w:eastAsia="zh-CN"/>
                <w14:textFill>
                  <w14:solidFill>
                    <w14:schemeClr w14:val="tx1"/>
                  </w14:solidFill>
                </w14:textFill>
              </w:rPr>
              <w:t>000元，</w:t>
            </w:r>
            <w:r>
              <w:rPr>
                <w:rFonts w:hint="eastAsia" w:ascii="宋体" w:hAnsi="宋体" w:eastAsia="宋体" w:cs="宋体"/>
                <w:bCs/>
                <w:color w:val="000000" w:themeColor="text1"/>
                <w:spacing w:val="8"/>
                <w:kern w:val="0"/>
                <w:sz w:val="28"/>
                <w:szCs w:val="28"/>
                <w:highlight w:val="none"/>
                <w14:textFill>
                  <w14:solidFill>
                    <w14:schemeClr w14:val="tx1"/>
                  </w14:solidFill>
                </w14:textFill>
              </w:rPr>
              <w:t>由中标人支付，此费用包含在投标报价中，招标人不再另行考虑。</w:t>
            </w:r>
          </w:p>
        </w:tc>
      </w:tr>
      <w:tr w14:paraId="71039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60B99E4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36BAC0D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专家评审费</w:t>
            </w:r>
          </w:p>
        </w:tc>
        <w:tc>
          <w:tcPr>
            <w:tcW w:w="6881" w:type="dxa"/>
            <w:tcBorders>
              <w:top w:val="single" w:color="auto" w:sz="4" w:space="0"/>
              <w:left w:val="single" w:color="auto" w:sz="4" w:space="0"/>
              <w:bottom w:val="single" w:color="auto" w:sz="4" w:space="0"/>
            </w:tcBorders>
            <w:vAlign w:val="center"/>
          </w:tcPr>
          <w:p w14:paraId="704149B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专家评审费由中标人交纳，按实收取</w:t>
            </w:r>
            <w:r>
              <w:rPr>
                <w:rFonts w:hint="eastAsia" w:ascii="宋体" w:hAnsi="宋体" w:eastAsia="宋体" w:cs="宋体"/>
                <w:color w:val="000000" w:themeColor="text1"/>
                <w:sz w:val="28"/>
                <w:szCs w:val="28"/>
                <w:highlight w:val="none"/>
                <w:lang w:eastAsia="zh-CN"/>
                <w14:textFill>
                  <w14:solidFill>
                    <w14:schemeClr w14:val="tx1"/>
                  </w14:solidFill>
                </w14:textFill>
              </w:rPr>
              <w:t>。</w:t>
            </w:r>
          </w:p>
        </w:tc>
      </w:tr>
      <w:tr w14:paraId="05933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A6D76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3857D2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是否委托定标</w:t>
            </w:r>
          </w:p>
        </w:tc>
        <w:tc>
          <w:tcPr>
            <w:tcW w:w="6881" w:type="dxa"/>
            <w:tcBorders>
              <w:top w:val="single" w:color="auto" w:sz="4" w:space="0"/>
              <w:left w:val="single" w:color="auto" w:sz="4" w:space="0"/>
              <w:bottom w:val="single" w:color="auto" w:sz="4" w:space="0"/>
            </w:tcBorders>
            <w:vAlign w:val="center"/>
          </w:tcPr>
          <w:p w14:paraId="5B3FC26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是</w:t>
            </w:r>
          </w:p>
        </w:tc>
      </w:tr>
      <w:tr w14:paraId="57174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1DF1D0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386AF2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其他</w:t>
            </w:r>
          </w:p>
        </w:tc>
        <w:tc>
          <w:tcPr>
            <w:tcW w:w="6881" w:type="dxa"/>
            <w:tcBorders>
              <w:top w:val="single" w:color="auto" w:sz="4" w:space="0"/>
              <w:left w:val="single" w:color="auto" w:sz="4" w:space="0"/>
              <w:bottom w:val="single" w:color="auto" w:sz="4" w:space="0"/>
            </w:tcBorders>
            <w:vAlign w:val="center"/>
          </w:tcPr>
          <w:p w14:paraId="2086CE5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1.本项目按服务类以公开招标方式实施采购。</w:t>
            </w:r>
          </w:p>
          <w:p w14:paraId="584C6225">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2.如投标人在本次项目中弄虚作假成为中标人的，后期一经发现将取消其已中标资格，且今后不再录用，给招标人造成损失的，招标人有权索要赔偿。</w:t>
            </w:r>
          </w:p>
          <w:p w14:paraId="5D4E417E">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3.投标人在本次招标成功中标后，拒绝或不能按照招标人的要求完成任务等，招标人有权撤销其已中标资格，给招标人造成损失的，招标人有权索要赔偿。</w:t>
            </w:r>
          </w:p>
          <w:p w14:paraId="4F150464">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4.投标人不得对本项目进行分包或转包。如投标人在中标后出现上述情况，一经招标人发现立即取消其中标资格。</w:t>
            </w:r>
          </w:p>
        </w:tc>
      </w:tr>
    </w:tbl>
    <w:p w14:paraId="040E9632">
      <w:pPr>
        <w:pageBreakBefore w:val="0"/>
        <w:kinsoku/>
        <w:overflowPunct/>
        <w:topLinePunct w:val="0"/>
        <w:bidi w:val="0"/>
        <w:adjustRightInd/>
        <w:snapToGrid/>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75A36C83">
      <w:pPr>
        <w:pageBreakBefore w:val="0"/>
        <w:kinsoku/>
        <w:overflowPunct/>
        <w:topLinePunct w:val="0"/>
        <w:bidi w:val="0"/>
        <w:adjustRightInd/>
        <w:snapToGrid/>
        <w:spacing w:line="560" w:lineRule="exact"/>
        <w:ind w:firstLine="643" w:firstLineChars="201"/>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《实质性条款一览表》</w:t>
      </w:r>
    </w:p>
    <w:p w14:paraId="672ADB38">
      <w:pPr>
        <w:pageBreakBefore w:val="0"/>
        <w:kinsoku/>
        <w:overflowPunct/>
        <w:topLinePunct w:val="0"/>
        <w:bidi w:val="0"/>
        <w:adjustRightInd/>
        <w:snapToGrid/>
        <w:spacing w:line="360" w:lineRule="auto"/>
        <w:ind w:firstLine="561"/>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52"/>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1C87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5CF6D7F">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407DD13A">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p>
        </w:tc>
        <w:tc>
          <w:tcPr>
            <w:tcW w:w="6884" w:type="dxa"/>
            <w:tcBorders>
              <w:top w:val="single" w:color="auto" w:sz="4" w:space="0"/>
              <w:left w:val="single" w:color="auto" w:sz="4" w:space="0"/>
              <w:bottom w:val="single" w:color="auto" w:sz="4" w:space="0"/>
            </w:tcBorders>
            <w:vAlign w:val="center"/>
          </w:tcPr>
          <w:p w14:paraId="78BE405C">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内       容</w:t>
            </w:r>
          </w:p>
        </w:tc>
      </w:tr>
      <w:tr w14:paraId="230C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B810E09">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bookmarkStart w:id="16" w:name="_Hlk165107186"/>
            <w:r>
              <w:rPr>
                <w:rFonts w:hint="eastAsia" w:ascii="宋体" w:hAnsi="宋体" w:eastAsia="宋体" w:cs="宋体"/>
                <w:color w:val="000000" w:themeColor="text1"/>
                <w:sz w:val="28"/>
                <w:szCs w:val="28"/>
                <w:highlight w:val="none"/>
                <w14:textFill>
                  <w14:solidFill>
                    <w14:schemeClr w14:val="tx1"/>
                  </w14:solidFill>
                </w14:textFill>
              </w:rPr>
              <w:t>1</w:t>
            </w:r>
          </w:p>
        </w:tc>
        <w:tc>
          <w:tcPr>
            <w:tcW w:w="2087" w:type="dxa"/>
            <w:tcBorders>
              <w:top w:val="single" w:color="auto" w:sz="4" w:space="0"/>
              <w:left w:val="single" w:color="auto" w:sz="4" w:space="0"/>
              <w:bottom w:val="single" w:color="auto" w:sz="4" w:space="0"/>
              <w:right w:val="single" w:color="auto" w:sz="4" w:space="0"/>
            </w:tcBorders>
            <w:vAlign w:val="center"/>
          </w:tcPr>
          <w:p w14:paraId="095A2283">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资格性审查</w:t>
            </w:r>
          </w:p>
        </w:tc>
        <w:tc>
          <w:tcPr>
            <w:tcW w:w="6884" w:type="dxa"/>
            <w:tcBorders>
              <w:top w:val="single" w:color="auto" w:sz="4" w:space="0"/>
              <w:left w:val="single" w:color="auto" w:sz="4" w:space="0"/>
              <w:bottom w:val="single" w:color="auto" w:sz="4" w:space="0"/>
            </w:tcBorders>
          </w:tcPr>
          <w:p w14:paraId="7460BA9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bookmarkStart w:id="17" w:name="_Hlk58066797"/>
            <w:r>
              <w:rPr>
                <w:rFonts w:hint="eastAsia" w:ascii="宋体" w:hAnsi="宋体" w:eastAsia="宋体" w:cs="宋体"/>
                <w:color w:val="000000" w:themeColor="text1"/>
                <w:sz w:val="28"/>
                <w:szCs w:val="28"/>
                <w:highlight w:val="none"/>
                <w14:textFill>
                  <w14:solidFill>
                    <w14:schemeClr w14:val="tx1"/>
                  </w14:solidFill>
                </w14:textFill>
              </w:rPr>
              <w:t>1.投标人有效的营业执照扫描件；</w:t>
            </w:r>
          </w:p>
          <w:p w14:paraId="0572188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w:t>
            </w:r>
            <w:r>
              <w:rPr>
                <w:rFonts w:hint="eastAsia" w:ascii="宋体" w:hAnsi="宋体" w:eastAsia="宋体" w:cs="宋体"/>
                <w:color w:val="000000" w:themeColor="text1"/>
                <w:sz w:val="28"/>
                <w:szCs w:val="28"/>
                <w:highlight w:val="none"/>
                <w:lang w:val="en-US" w:eastAsia="zh-CN"/>
                <w14:textFill>
                  <w14:solidFill>
                    <w14:schemeClr w14:val="tx1"/>
                  </w14:solidFill>
                </w14:textFill>
              </w:rPr>
              <w:t>具有履行合同所必须的专业技术能力，并能提供优质的服务</w:t>
            </w:r>
            <w:r>
              <w:rPr>
                <w:rFonts w:hint="eastAsia" w:ascii="宋体" w:hAnsi="宋体" w:eastAsia="宋体" w:cs="宋体"/>
                <w:color w:val="000000" w:themeColor="text1"/>
                <w:sz w:val="28"/>
                <w:szCs w:val="28"/>
                <w:highlight w:val="none"/>
                <w14:textFill>
                  <w14:solidFill>
                    <w14:schemeClr w14:val="tx1"/>
                  </w14:solidFill>
                </w14:textFill>
              </w:rPr>
              <w:t>；</w:t>
            </w:r>
          </w:p>
          <w:p w14:paraId="33B35C5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投标人参加本次采购活动前三年内，在经营活动中没有重大违法记录。近三年没有发生过与用工单位有关的劳务纠纷、农民工上访、较大及以上安全生产事故等</w:t>
            </w:r>
            <w:r>
              <w:rPr>
                <w:rFonts w:hint="eastAsia" w:ascii="宋体" w:hAnsi="宋体" w:eastAsia="宋体" w:cs="宋体"/>
                <w:color w:val="000000" w:themeColor="text1"/>
                <w:sz w:val="28"/>
                <w:szCs w:val="28"/>
                <w:highlight w:val="none"/>
                <w14:textFill>
                  <w14:solidFill>
                    <w14:schemeClr w14:val="tx1"/>
                  </w14:solidFill>
                </w14:textFill>
              </w:rPr>
              <w:t>；</w:t>
            </w:r>
          </w:p>
          <w:p w14:paraId="5AAE975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投标人及其法定代表人、委托代理人未被最高法院列入失信被执行人</w:t>
            </w:r>
            <w:r>
              <w:rPr>
                <w:rFonts w:hint="eastAsia" w:ascii="宋体" w:hAnsi="宋体" w:eastAsia="宋体" w:cs="宋体"/>
                <w:color w:val="000000" w:themeColor="text1"/>
                <w:sz w:val="28"/>
                <w:szCs w:val="28"/>
                <w:highlight w:val="none"/>
                <w14:textFill>
                  <w14:solidFill>
                    <w14:schemeClr w14:val="tx1"/>
                  </w14:solidFill>
                </w14:textFill>
              </w:rPr>
              <w:t>；</w:t>
            </w:r>
          </w:p>
          <w:p w14:paraId="5CB77BA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5.投标人近一年在“信用中国”或“信用中国（山东）”无严重失信记录；（近一年指从开标日向前推算一年，查询日期不早于招标文件开始获取时间。）</w:t>
            </w:r>
          </w:p>
          <w:p w14:paraId="606A918C">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投标人及其法定代表人、委托代理人近三年内无行贿犯罪行为记录（若投标人成立时间不足三年，则承诺自成立时间至今，无行贿犯罪行为记录）</w:t>
            </w:r>
            <w:r>
              <w:rPr>
                <w:rFonts w:hint="eastAsia" w:ascii="宋体" w:hAnsi="宋体" w:eastAsia="宋体" w:cs="宋体"/>
                <w:color w:val="000000" w:themeColor="text1"/>
                <w:sz w:val="28"/>
                <w:szCs w:val="28"/>
                <w:highlight w:val="none"/>
                <w14:textFill>
                  <w14:solidFill>
                    <w14:schemeClr w14:val="tx1"/>
                  </w14:solidFill>
                </w14:textFill>
              </w:rPr>
              <w:t>；</w:t>
            </w:r>
          </w:p>
          <w:bookmarkEnd w:id="17"/>
          <w:p w14:paraId="2D1A887D">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本项目不接受联合体投标。</w:t>
            </w:r>
          </w:p>
        </w:tc>
      </w:tr>
      <w:bookmarkEnd w:id="16"/>
      <w:tr w14:paraId="28F40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12A86785">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p>
        </w:tc>
        <w:tc>
          <w:tcPr>
            <w:tcW w:w="2087" w:type="dxa"/>
            <w:tcBorders>
              <w:top w:val="single" w:color="auto" w:sz="4" w:space="0"/>
              <w:left w:val="single" w:color="auto" w:sz="4" w:space="0"/>
              <w:bottom w:val="single" w:color="auto" w:sz="4" w:space="0"/>
              <w:right w:val="single" w:color="auto" w:sz="4" w:space="0"/>
            </w:tcBorders>
            <w:vAlign w:val="center"/>
          </w:tcPr>
          <w:p w14:paraId="747E7528">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符合性审查</w:t>
            </w:r>
          </w:p>
        </w:tc>
        <w:tc>
          <w:tcPr>
            <w:tcW w:w="6884" w:type="dxa"/>
            <w:tcBorders>
              <w:top w:val="single" w:color="auto" w:sz="4" w:space="0"/>
              <w:left w:val="single" w:color="auto" w:sz="4" w:space="0"/>
              <w:bottom w:val="single" w:color="auto" w:sz="4" w:space="0"/>
            </w:tcBorders>
            <w:vAlign w:val="center"/>
          </w:tcPr>
          <w:p w14:paraId="53FE57F4">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1.报价</w:t>
            </w:r>
            <w:r>
              <w:rPr>
                <w:rFonts w:hint="eastAsia" w:ascii="宋体" w:hAnsi="宋体" w:eastAsia="宋体" w:cs="宋体"/>
                <w:color w:val="000000" w:themeColor="text1"/>
                <w:sz w:val="28"/>
                <w:szCs w:val="28"/>
                <w:highlight w:val="none"/>
                <w:lang w:val="en-US" w:eastAsia="zh-CN"/>
                <w14:textFill>
                  <w14:solidFill>
                    <w14:schemeClr w14:val="tx1"/>
                  </w14:solidFill>
                </w14:textFill>
              </w:rPr>
              <w:t>低于</w:t>
            </w:r>
            <w:r>
              <w:rPr>
                <w:rFonts w:hint="eastAsia" w:ascii="宋体" w:hAnsi="宋体" w:eastAsia="宋体" w:cs="宋体"/>
                <w:color w:val="000000" w:themeColor="text1"/>
                <w:sz w:val="28"/>
                <w:szCs w:val="28"/>
                <w:highlight w:val="none"/>
                <w14:textFill>
                  <w14:solidFill>
                    <w14:schemeClr w14:val="tx1"/>
                  </w14:solidFill>
                </w14:textFill>
              </w:rPr>
              <w:t>（或等于）</w:t>
            </w:r>
            <w:r>
              <w:rPr>
                <w:rFonts w:hint="eastAsia" w:ascii="宋体" w:hAnsi="宋体" w:eastAsia="宋体" w:cs="宋体"/>
                <w:color w:val="000000" w:themeColor="text1"/>
                <w:sz w:val="28"/>
                <w:szCs w:val="28"/>
                <w:highlight w:val="none"/>
                <w:lang w:eastAsia="zh-CN"/>
                <w14:textFill>
                  <w14:solidFill>
                    <w14:schemeClr w14:val="tx1"/>
                  </w14:solidFill>
                </w14:textFill>
              </w:rPr>
              <w:t>控制价</w:t>
            </w:r>
            <w:r>
              <w:rPr>
                <w:rFonts w:hint="eastAsia" w:ascii="宋体" w:hAnsi="宋体" w:eastAsia="宋体" w:cs="宋体"/>
                <w:color w:val="000000" w:themeColor="text1"/>
                <w:sz w:val="28"/>
                <w:szCs w:val="28"/>
                <w:highlight w:val="none"/>
                <w14:textFill>
                  <w14:solidFill>
                    <w14:schemeClr w14:val="tx1"/>
                  </w14:solidFill>
                </w14:textFill>
              </w:rPr>
              <w:t>；</w:t>
            </w:r>
          </w:p>
          <w:p w14:paraId="5C72376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2.投标保证金：按招标文件要求交纳；</w:t>
            </w:r>
          </w:p>
          <w:p w14:paraId="040D8D4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3.投标文件按规定签署及盖章；</w:t>
            </w:r>
          </w:p>
          <w:p w14:paraId="08A9C5F6">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4.服务期限满足招标文件要求；</w:t>
            </w:r>
          </w:p>
          <w:p w14:paraId="265336F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5.不存在招标文件规定的关于投标人串通投标的情形及其他投标无效的情形。</w:t>
            </w:r>
          </w:p>
        </w:tc>
      </w:tr>
    </w:tbl>
    <w:p w14:paraId="3D160608">
      <w:pPr>
        <w:pageBreakBefore w:val="0"/>
        <w:kinsoku/>
        <w:overflowPunct/>
        <w:topLinePunct w:val="0"/>
        <w:bidi w:val="0"/>
        <w:adjustRightInd/>
        <w:snapToGrid/>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18" w:name="_Toc66864042"/>
      <w:r>
        <w:rPr>
          <w:rStyle w:val="431"/>
          <w:rFonts w:hint="eastAsia" w:ascii="宋体" w:hAnsi="宋体" w:eastAsia="宋体" w:cs="宋体"/>
          <w:b/>
          <w:bCs/>
          <w:color w:val="000000" w:themeColor="text1"/>
          <w:kern w:val="2"/>
          <w:sz w:val="28"/>
          <w:szCs w:val="32"/>
          <w:highlight w:val="none"/>
          <w14:textFill>
            <w14:solidFill>
              <w14:schemeClr w14:val="tx1"/>
            </w14:solidFill>
          </w14:textFill>
        </w:rPr>
        <w:br w:type="page"/>
      </w:r>
    </w:p>
    <w:p w14:paraId="533636AB">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19" w:name="_Toc17106"/>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一、说明</w:t>
      </w:r>
      <w:bookmarkEnd w:id="18"/>
      <w:bookmarkEnd w:id="19"/>
    </w:p>
    <w:p w14:paraId="662EDD7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5D8D3FC0">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0" w:name="_Hlk154667578"/>
      <w:r>
        <w:rPr>
          <w:rFonts w:hint="eastAsia" w:ascii="宋体" w:hAnsi="宋体" w:eastAsia="宋体" w:cs="宋体"/>
          <w:b/>
          <w:color w:val="000000" w:themeColor="text1"/>
          <w:sz w:val="28"/>
          <w:szCs w:val="28"/>
          <w:highlight w:val="none"/>
          <w14:textFill>
            <w14:solidFill>
              <w14:schemeClr w14:val="tx1"/>
            </w14:solidFill>
          </w14:textFill>
        </w:rPr>
        <w:t>1.适用范围</w:t>
      </w:r>
    </w:p>
    <w:p w14:paraId="62F2C30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1.1本招标文件仅适用于本次招标公告中所涉及的项目和内容。</w:t>
      </w:r>
    </w:p>
    <w:p w14:paraId="001C861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1.2本招标文件的解释权为招标代理机构，以书面解释为准。</w:t>
      </w:r>
    </w:p>
    <w:p w14:paraId="15542ED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1.3本招标文件未做须知明示，而又有相关法律、法规规定的，从其规定。</w:t>
      </w:r>
    </w:p>
    <w:p w14:paraId="6C33ACD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2.相关要求</w:t>
      </w:r>
    </w:p>
    <w:p w14:paraId="2FC9F4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2.1投标人应承担所有与准备和参加报价的全部费用。不论电子投标结果如何，招标代理机构和招标人均无义务和责任承担这些费用。</w:t>
      </w:r>
    </w:p>
    <w:p w14:paraId="7F5048B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2.2本项目若涉及招标货物，则合格的货物及相应服务应满足以下要求：</w:t>
      </w:r>
    </w:p>
    <w:p w14:paraId="1090CF8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1A6BD5E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59A4EFA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AD9039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6C6FC1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bookmarkEnd w:id="20"/>
    <w:p w14:paraId="3260FB55">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21" w:name="_Toc2675"/>
      <w:bookmarkStart w:id="22" w:name="_Toc66864043"/>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二、招标文件</w:t>
      </w:r>
      <w:bookmarkEnd w:id="21"/>
      <w:bookmarkEnd w:id="22"/>
    </w:p>
    <w:p w14:paraId="1E971D6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3" w:name="_Hlk154667588"/>
      <w:r>
        <w:rPr>
          <w:rFonts w:hint="eastAsia" w:ascii="宋体" w:hAnsi="宋体" w:eastAsia="宋体" w:cs="宋体"/>
          <w:b/>
          <w:color w:val="000000" w:themeColor="text1"/>
          <w:sz w:val="28"/>
          <w:szCs w:val="28"/>
          <w:highlight w:val="none"/>
          <w14:textFill>
            <w14:solidFill>
              <w14:schemeClr w14:val="tx1"/>
            </w14:solidFill>
          </w14:textFill>
        </w:rPr>
        <w:t>3.招标文件的构成</w:t>
      </w:r>
    </w:p>
    <w:p w14:paraId="6EBE87B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2792C4B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3.1本文件（word格式）由下列文件组成：</w:t>
      </w:r>
    </w:p>
    <w:p w14:paraId="6A1BB36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（1）招标公告</w:t>
      </w:r>
    </w:p>
    <w:p w14:paraId="14D69E3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（2）投标须知</w:t>
      </w:r>
    </w:p>
    <w:p w14:paraId="4344826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（3）开标、评标、定标</w:t>
      </w:r>
    </w:p>
    <w:p w14:paraId="4C63E58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（4）采购项目说明</w:t>
      </w:r>
    </w:p>
    <w:p w14:paraId="7C3614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（5）投标文件格式</w:t>
      </w:r>
    </w:p>
    <w:p w14:paraId="4908ABE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（6）合同（范本）</w:t>
      </w:r>
    </w:p>
    <w:p w14:paraId="772D33C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（7）在招标过程中由招标人或招标代理机构发出的修正和补充文件等（如有）</w:t>
      </w:r>
    </w:p>
    <w:p w14:paraId="49FC4A2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3.2数据文件（excel格式）由下列文件组成：</w:t>
      </w:r>
    </w:p>
    <w:p w14:paraId="47C0955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（1）封面</w:t>
      </w:r>
    </w:p>
    <w:p w14:paraId="3B09BF6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（2）投标报价表（含明细）</w:t>
      </w:r>
    </w:p>
    <w:p w14:paraId="03D63C2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（3）需求响应表（如有）</w:t>
      </w:r>
    </w:p>
    <w:p w14:paraId="636CFB5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（4）评审对照表</w:t>
      </w:r>
    </w:p>
    <w:p w14:paraId="3966526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（5）评分对照表（如有）</w:t>
      </w:r>
    </w:p>
    <w:p w14:paraId="4FBFC7C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3"/>
    <w:p w14:paraId="1BA8CD17">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4.招标文件的澄清</w:t>
      </w:r>
    </w:p>
    <w:p w14:paraId="010AC7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24" w:name="_Hlk154667598"/>
      <w:r>
        <w:rPr>
          <w:rFonts w:hint="eastAsia" w:ascii="宋体" w:hAnsi="宋体" w:eastAsia="宋体" w:cs="宋体"/>
          <w:color w:val="000000" w:themeColor="text1"/>
          <w:sz w:val="28"/>
          <w:szCs w:val="28"/>
          <w:highlight w:val="none"/>
          <w14:textFill>
            <w14:solidFill>
              <w14:schemeClr w14:val="tx1"/>
            </w14:solidFill>
          </w14:textFill>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87944F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24"/>
    <w:p w14:paraId="757C2C8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5.招标文件的修改</w:t>
      </w:r>
    </w:p>
    <w:p w14:paraId="025D0FF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2CE1887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w:t>
      </w:r>
    </w:p>
    <w:p w14:paraId="3AAC6CC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9FD81FC">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25" w:name="_Toc23254"/>
      <w:bookmarkStart w:id="26" w:name="_Toc66864044"/>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三、投标文件的编制</w:t>
      </w:r>
      <w:bookmarkEnd w:id="25"/>
      <w:bookmarkEnd w:id="26"/>
    </w:p>
    <w:p w14:paraId="19B43AFE">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7" w:name="_Hlk154667644"/>
      <w:r>
        <w:rPr>
          <w:rFonts w:hint="eastAsia" w:ascii="宋体" w:hAnsi="宋体" w:eastAsia="宋体" w:cs="宋体"/>
          <w:b/>
          <w:color w:val="000000" w:themeColor="text1"/>
          <w:sz w:val="28"/>
          <w:szCs w:val="28"/>
          <w:highlight w:val="none"/>
          <w14:textFill>
            <w14:solidFill>
              <w14:schemeClr w14:val="tx1"/>
            </w14:solidFill>
          </w14:textFill>
        </w:rPr>
        <w:t>6.投标文件编制要求</w:t>
      </w:r>
    </w:p>
    <w:p w14:paraId="3F71813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00EB093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6.2投标文件中使用的计量单位应使用中华人民共和国法定计量单位。</w:t>
      </w:r>
    </w:p>
    <w:p w14:paraId="4F1B895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50757D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0C1775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6E7211D6">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227311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11A529B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2B6D05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27"/>
    <w:p w14:paraId="5EC98868">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8" w:name="_Hlk154667652"/>
      <w:r>
        <w:rPr>
          <w:rFonts w:hint="eastAsia" w:ascii="宋体" w:hAnsi="宋体" w:eastAsia="宋体" w:cs="宋体"/>
          <w:b/>
          <w:color w:val="000000" w:themeColor="text1"/>
          <w:sz w:val="28"/>
          <w:szCs w:val="28"/>
          <w:highlight w:val="none"/>
          <w14:textFill>
            <w14:solidFill>
              <w14:schemeClr w14:val="tx1"/>
            </w14:solidFill>
          </w14:textFill>
        </w:rPr>
        <w:t>7.数据文件编制要求</w:t>
      </w:r>
    </w:p>
    <w:p w14:paraId="67CB58E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12A8799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831F8E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28"/>
    <w:p w14:paraId="3280BA4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9" w:name="_Hlk154667662"/>
      <w:r>
        <w:rPr>
          <w:rFonts w:hint="eastAsia" w:ascii="宋体" w:hAnsi="宋体" w:eastAsia="宋体" w:cs="宋体"/>
          <w:b/>
          <w:color w:val="000000" w:themeColor="text1"/>
          <w:sz w:val="28"/>
          <w:szCs w:val="28"/>
          <w:highlight w:val="none"/>
          <w14:textFill>
            <w14:solidFill>
              <w14:schemeClr w14:val="tx1"/>
            </w14:solidFill>
          </w14:textFill>
        </w:rPr>
        <w:t>8.文件构成</w:t>
      </w:r>
    </w:p>
    <w:p w14:paraId="6AEF8D5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投标人应按不同包段分别编制投标文件，每个包段的投标文件分两册必须包括：投标文件（pdf格式）（第一册）、数据文件（PDF格式）（第二册），以上内容缺一不可，否则为无效投标。</w:t>
      </w:r>
    </w:p>
    <w:p w14:paraId="1956DCF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8.1投标人编制的投标文件（pdf格式）（第一册）应包括但不少于下列内容：</w:t>
      </w:r>
    </w:p>
    <w:bookmarkEnd w:id="29"/>
    <w:p w14:paraId="69F6633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（1）投标文件封面</w:t>
      </w:r>
    </w:p>
    <w:p w14:paraId="6FDD41A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（2）投标文件目录</w:t>
      </w:r>
    </w:p>
    <w:p w14:paraId="10B6394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（3）投标承诺函</w:t>
      </w:r>
    </w:p>
    <w:p w14:paraId="40CC282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（4）投标（报价）一览表</w:t>
      </w:r>
    </w:p>
    <w:p w14:paraId="30D42D1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（5）投标偏离表</w:t>
      </w:r>
    </w:p>
    <w:p w14:paraId="3309807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（6）投标人信用承诺书</w:t>
      </w:r>
    </w:p>
    <w:p w14:paraId="4D5140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（7）投标人资格证明文件</w:t>
      </w:r>
    </w:p>
    <w:p w14:paraId="121DA558">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1）投标人有效的营业执照扫描件；</w:t>
      </w:r>
    </w:p>
    <w:p w14:paraId="7E3FF60D">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z w:val="28"/>
          <w:szCs w:val="28"/>
          <w:highlight w:val="none"/>
          <w14:textFill>
            <w14:solidFill>
              <w14:schemeClr w14:val="tx1"/>
            </w14:solidFill>
          </w14:textFill>
        </w:rPr>
        <w:t>）法定代表人身份证明、法定代表人身份证扫描件；</w:t>
      </w:r>
    </w:p>
    <w:p w14:paraId="7E083448">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z w:val="28"/>
          <w:szCs w:val="28"/>
          <w:highlight w:val="none"/>
          <w14:textFill>
            <w14:solidFill>
              <w14:schemeClr w14:val="tx1"/>
            </w14:solidFill>
          </w14:textFill>
        </w:rPr>
        <w:t>）法定代表人授权委托书、被授权人身份证扫描件；</w:t>
      </w:r>
    </w:p>
    <w:p w14:paraId="22562162">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p>
    <w:p w14:paraId="26D9BE15">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5</w:t>
      </w:r>
      <w:r>
        <w:rPr>
          <w:rFonts w:hint="eastAsia" w:ascii="宋体" w:hAnsi="宋体" w:eastAsia="宋体" w:cs="宋体"/>
          <w:color w:val="000000" w:themeColor="text1"/>
          <w:sz w:val="28"/>
          <w:szCs w:val="28"/>
          <w:highlight w:val="none"/>
          <w14:textFill>
            <w14:solidFill>
              <w14:schemeClr w14:val="tx1"/>
            </w14:solidFill>
          </w14:textFill>
        </w:rPr>
        <w:t>）投标人及其法定代表人、委托代理人未被最高法院（查询网址为：http://zxgk.court.gov.cn/shixin/）列入失信被执行人。</w:t>
      </w:r>
      <w:r>
        <w:rPr>
          <w:rFonts w:hint="eastAsia" w:ascii="宋体" w:hAnsi="宋体" w:eastAsia="宋体" w:cs="宋体"/>
          <w:b/>
          <w:bCs/>
          <w:color w:val="000000" w:themeColor="text1"/>
          <w:sz w:val="28"/>
          <w:szCs w:val="28"/>
          <w:highlight w:val="none"/>
          <w14:textFill>
            <w14:solidFill>
              <w14:schemeClr w14:val="tx1"/>
            </w14:solidFill>
          </w14:textFill>
        </w:rPr>
        <w:t>投标文件附通过网站查询信息记录，包含投标人及其法定代表人、委托代理人失信被执行人情况网页截图（省份</w:t>
      </w:r>
      <w:r>
        <w:rPr>
          <w:rFonts w:hint="eastAsia" w:ascii="宋体" w:hAnsi="宋体" w:eastAsia="宋体" w:cs="宋体"/>
          <w:b/>
          <w:bCs/>
          <w:color w:val="000000" w:themeColor="text1"/>
          <w:sz w:val="28"/>
          <w:szCs w:val="28"/>
          <w:highlight w:val="none"/>
          <w:lang w:eastAsia="zh-CN"/>
          <w14:textFill>
            <w14:solidFill>
              <w14:schemeClr w14:val="tx1"/>
            </w14:solidFill>
          </w14:textFill>
        </w:rPr>
        <w:t>：</w:t>
      </w:r>
      <w:r>
        <w:rPr>
          <w:rFonts w:hint="eastAsia" w:ascii="宋体" w:hAnsi="宋体" w:eastAsia="宋体" w:cs="宋体"/>
          <w:b/>
          <w:bCs/>
          <w:color w:val="000000" w:themeColor="text1"/>
          <w:sz w:val="28"/>
          <w:szCs w:val="28"/>
          <w:highlight w:val="none"/>
          <w14:textFill>
            <w14:solidFill>
              <w14:schemeClr w14:val="tx1"/>
            </w14:solidFill>
          </w14:textFill>
        </w:rPr>
        <w:t>全部）</w:t>
      </w:r>
      <w:r>
        <w:rPr>
          <w:rFonts w:hint="eastAsia" w:ascii="宋体" w:hAnsi="宋体" w:eastAsia="宋体" w:cs="宋体"/>
          <w:color w:val="000000" w:themeColor="text1"/>
          <w:sz w:val="28"/>
          <w:szCs w:val="28"/>
          <w:highlight w:val="none"/>
          <w14:textFill>
            <w14:solidFill>
              <w14:schemeClr w14:val="tx1"/>
            </w14:solidFill>
          </w14:textFill>
        </w:rPr>
        <w:t>；</w:t>
      </w:r>
    </w:p>
    <w:p w14:paraId="4C30521F">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z w:val="28"/>
          <w:szCs w:val="28"/>
          <w:highlight w:val="none"/>
          <w14:textFill>
            <w14:solidFill>
              <w14:schemeClr w14:val="tx1"/>
            </w14:solidFill>
          </w14:textFill>
        </w:rPr>
        <w:t>）投标人近一年在“信用中国”或“信用中国（山东）”无严重失信记录，投标文件中需附通过信用中国（查询网址：https://www.creditchina.gov.cn）或信用中国（山东）（查询网址：https://credit.shandong.gov.cn）查询的信用报告；（近一年指从开标日向前推算一年，查询日期不早于招标文件开始获取时间。）</w:t>
      </w:r>
    </w:p>
    <w:p w14:paraId="5B1C3DFC">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z w:val="28"/>
          <w:szCs w:val="28"/>
          <w:highlight w:val="none"/>
          <w14:textFill>
            <w14:solidFill>
              <w14:schemeClr w14:val="tx1"/>
            </w14:solidFill>
          </w14:textFill>
        </w:rPr>
        <w:t>）投标人参与投标的声明函;</w:t>
      </w:r>
    </w:p>
    <w:p w14:paraId="03F412E7">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8</w:t>
      </w:r>
      <w:r>
        <w:rPr>
          <w:rFonts w:hint="eastAsia" w:ascii="宋体" w:hAnsi="宋体" w:eastAsia="宋体" w:cs="宋体"/>
          <w:color w:val="000000" w:themeColor="text1"/>
          <w:sz w:val="28"/>
          <w:szCs w:val="28"/>
          <w:highlight w:val="none"/>
          <w14:textFill>
            <w14:solidFill>
              <w14:schemeClr w14:val="tx1"/>
            </w14:solidFill>
          </w14:textFill>
        </w:rPr>
        <w:t>）投标人认为需要提供的资质资格证明文件。</w:t>
      </w:r>
    </w:p>
    <w:p w14:paraId="062502A5">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以上所有资质资格证明文件均需加盖投标人签章。</w:t>
      </w:r>
    </w:p>
    <w:p w14:paraId="548B30C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（8）投标人基本情况表</w:t>
      </w:r>
    </w:p>
    <w:p w14:paraId="0549643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（9）类似项目业绩表</w:t>
      </w:r>
    </w:p>
    <w:p w14:paraId="20F6A2D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（10）人员选派方案</w:t>
      </w:r>
    </w:p>
    <w:p w14:paraId="212E9BC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11</w:t>
      </w:r>
      <w:r>
        <w:rPr>
          <w:rFonts w:hint="eastAsia" w:ascii="宋体" w:hAnsi="宋体" w:eastAsia="宋体" w:cs="宋体"/>
          <w:color w:val="000000" w:themeColor="text1"/>
          <w:sz w:val="28"/>
          <w:szCs w:val="28"/>
          <w:highlight w:val="none"/>
          <w:lang w:eastAsia="zh-CN"/>
          <w14:textFill>
            <w14:solidFill>
              <w14:schemeClr w14:val="tx1"/>
            </w14:solidFill>
          </w14:textFill>
        </w:rPr>
        <w:t>）服务方案</w:t>
      </w:r>
    </w:p>
    <w:p w14:paraId="61ACF18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12</w:t>
      </w:r>
      <w:r>
        <w:rPr>
          <w:rFonts w:hint="eastAsia" w:ascii="宋体" w:hAnsi="宋体" w:eastAsia="宋体" w:cs="宋体"/>
          <w:color w:val="000000" w:themeColor="text1"/>
          <w:sz w:val="28"/>
          <w:szCs w:val="28"/>
          <w:highlight w:val="none"/>
          <w:lang w:eastAsia="zh-CN"/>
          <w14:textFill>
            <w14:solidFill>
              <w14:schemeClr w14:val="tx1"/>
            </w14:solidFill>
          </w14:textFill>
        </w:rPr>
        <w:t>）制度建设</w:t>
      </w:r>
    </w:p>
    <w:p w14:paraId="789A8896">
      <w:pPr>
        <w:pStyle w:val="2"/>
        <w:ind w:firstLine="560" w:firstLineChars="200"/>
        <w:rPr>
          <w:rFonts w:hint="eastAsia"/>
          <w:highlight w:val="none"/>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13</w:t>
      </w:r>
      <w:r>
        <w:rPr>
          <w:rFonts w:hint="eastAsia" w:ascii="宋体" w:hAnsi="宋体" w:eastAsia="宋体" w:cs="宋体"/>
          <w:color w:val="000000" w:themeColor="text1"/>
          <w:sz w:val="28"/>
          <w:szCs w:val="28"/>
          <w:highlight w:val="none"/>
          <w:lang w:eastAsia="zh-CN"/>
          <w14:textFill>
            <w14:solidFill>
              <w14:schemeClr w14:val="tx1"/>
            </w14:solidFill>
          </w14:textFill>
        </w:rPr>
        <w:t>）服务承诺</w:t>
      </w:r>
    </w:p>
    <w:p w14:paraId="7C23606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0" w:name="_Hlk154667818"/>
      <w:r>
        <w:rPr>
          <w:rFonts w:hint="eastAsia" w:ascii="宋体" w:hAnsi="宋体" w:eastAsia="宋体" w:cs="宋体"/>
          <w:color w:val="000000" w:themeColor="text1"/>
          <w:sz w:val="28"/>
          <w:szCs w:val="28"/>
          <w:highlight w:val="none"/>
          <w14:textFill>
            <w14:solidFill>
              <w14:schemeClr w14:val="tx1"/>
            </w14:solidFill>
          </w14:textFill>
        </w:rPr>
        <w:t>8.2数据文件（PDF格式）（第二册）</w:t>
      </w:r>
    </w:p>
    <w:p w14:paraId="6379ADE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4566447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（1）封面</w:t>
      </w:r>
    </w:p>
    <w:p w14:paraId="2FC3A2B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（2）投标报价表（含明细）</w:t>
      </w:r>
    </w:p>
    <w:p w14:paraId="7E586F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（3）需求响应表（如有）</w:t>
      </w:r>
    </w:p>
    <w:bookmarkEnd w:id="30"/>
    <w:p w14:paraId="396F963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9.投标报价</w:t>
      </w:r>
    </w:p>
    <w:p w14:paraId="009D673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9.1投标人所提供的</w:t>
      </w:r>
      <w:r>
        <w:rPr>
          <w:rFonts w:hint="eastAsia" w:ascii="宋体" w:hAnsi="宋体" w:eastAsia="宋体" w:cs="宋体"/>
          <w:color w:val="000000" w:themeColor="text1"/>
          <w:sz w:val="28"/>
          <w:szCs w:val="28"/>
          <w:highlight w:val="none"/>
          <w:lang w:val="en-US" w:eastAsia="zh-CN"/>
          <w14:textFill>
            <w14:solidFill>
              <w14:schemeClr w14:val="tx1"/>
            </w14:solidFill>
          </w14:textFill>
        </w:rPr>
        <w:t>服务</w:t>
      </w:r>
      <w:r>
        <w:rPr>
          <w:rFonts w:hint="eastAsia" w:ascii="宋体" w:hAnsi="宋体" w:eastAsia="宋体" w:cs="宋体"/>
          <w:color w:val="000000" w:themeColor="text1"/>
          <w:sz w:val="28"/>
          <w:szCs w:val="28"/>
          <w:highlight w:val="none"/>
          <w14:textFill>
            <w14:solidFill>
              <w14:schemeClr w14:val="tx1"/>
            </w14:solidFill>
          </w14:textFill>
        </w:rPr>
        <w:t>均以人民币报价，精确到小数点后两位。</w:t>
      </w:r>
    </w:p>
    <w:p w14:paraId="790BE37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1" w:name="_Hlk154667840"/>
      <w:r>
        <w:rPr>
          <w:rFonts w:hint="eastAsia" w:ascii="宋体" w:hAnsi="宋体" w:eastAsia="宋体" w:cs="宋体"/>
          <w:color w:val="000000" w:themeColor="text1"/>
          <w:sz w:val="28"/>
          <w:szCs w:val="28"/>
          <w:highlight w:val="none"/>
          <w14:textFill>
            <w14:solidFill>
              <w14:schemeClr w14:val="tx1"/>
            </w14:solidFill>
          </w14:textFill>
        </w:rPr>
        <w:t>9.2投标人应按照“第四章采购项目说明”的要求以及合同条款进行报价。并按数据文件中“投标报价表（含明细）”规定的格式报出分项价格。</w:t>
      </w:r>
    </w:p>
    <w:p w14:paraId="13E4AA7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445049B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9.4《投标报价表（含明细）》填写时应响应下列要求：</w:t>
      </w:r>
    </w:p>
    <w:p w14:paraId="5A3E887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2EE3B2E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（2）投标人在投标报价时，应根据企业自身实力结合市场信息，充分考虑</w:t>
      </w:r>
      <w:bookmarkEnd w:id="31"/>
      <w:r>
        <w:rPr>
          <w:rFonts w:hint="eastAsia" w:ascii="宋体" w:hAnsi="宋体" w:eastAsia="宋体" w:cs="宋体"/>
          <w:color w:val="000000" w:themeColor="text1"/>
          <w:sz w:val="28"/>
          <w:szCs w:val="28"/>
          <w:highlight w:val="none"/>
          <w14:textFill>
            <w14:solidFill>
              <w14:schemeClr w14:val="tx1"/>
            </w14:solidFill>
          </w14:textFill>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6ED59C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2" w:name="_Hlk154667928"/>
      <w:r>
        <w:rPr>
          <w:rFonts w:hint="eastAsia" w:ascii="宋体" w:hAnsi="宋体" w:eastAsia="宋体" w:cs="宋体"/>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22DAC5D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（4）评标委员会一致认为某一投标人的投标报价明显不合理或低于成本，有可能影响</w:t>
      </w:r>
      <w:r>
        <w:rPr>
          <w:rFonts w:hint="eastAsia" w:ascii="宋体" w:hAnsi="宋体" w:eastAsia="宋体" w:cs="宋体"/>
          <w:color w:val="000000" w:themeColor="text1"/>
          <w:sz w:val="28"/>
          <w:szCs w:val="28"/>
          <w:highlight w:val="none"/>
          <w:lang w:val="en-US" w:eastAsia="zh-CN"/>
          <w14:textFill>
            <w14:solidFill>
              <w14:schemeClr w14:val="tx1"/>
            </w14:solidFill>
          </w14:textFill>
        </w:rPr>
        <w:t>工期</w:t>
      </w:r>
      <w:r>
        <w:rPr>
          <w:rFonts w:hint="eastAsia" w:ascii="宋体" w:hAnsi="宋体" w:eastAsia="宋体" w:cs="宋体"/>
          <w:color w:val="000000" w:themeColor="text1"/>
          <w:sz w:val="28"/>
          <w:szCs w:val="28"/>
          <w:highlight w:val="none"/>
          <w14:textFill>
            <w14:solidFill>
              <w14:schemeClr w14:val="tx1"/>
            </w14:solidFill>
          </w14:textFill>
        </w:rPr>
        <w:t>、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39259A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7E6941B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62A85E0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（7）《投标报价表（含明细）》中合价将由单价乘以数量自动计算，无需手工录入。</w:t>
      </w:r>
    </w:p>
    <w:p w14:paraId="32B18CC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9.5《需求响应表（如有）》填写时应响应下列要求：</w:t>
      </w:r>
    </w:p>
    <w:p w14:paraId="1B61FB2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（1）有底色标识的单元格须填写，有“*”的列是必输项，任何必输项为空都可能导致您的本次投标无效；</w:t>
      </w:r>
    </w:p>
    <w:p w14:paraId="133E07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6B688DB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（3）当招标需求列的内容显示不完整时，请点击编辑栏进行查看；</w:t>
      </w:r>
    </w:p>
    <w:p w14:paraId="7AA6990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47CF399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（5）按照该表显示位置加盖一个电子印章；</w:t>
      </w:r>
    </w:p>
    <w:p w14:paraId="3D7F10C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（6）该表为固定格式且有数字指纹，必须在原表上填写，填写完毕后只可保存不可另存。删除该表、增加该表、增加行列、删除行列、对固定格式的任何改动均会导致无效投标；</w:t>
      </w:r>
    </w:p>
    <w:bookmarkEnd w:id="32"/>
    <w:p w14:paraId="5B2F2B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3" w:name="_Hlk154667948"/>
      <w:r>
        <w:rPr>
          <w:rFonts w:hint="eastAsia" w:ascii="宋体" w:hAnsi="宋体" w:eastAsia="宋体" w:cs="宋体"/>
          <w:color w:val="000000" w:themeColor="text1"/>
          <w:sz w:val="28"/>
          <w:szCs w:val="28"/>
          <w:highlight w:val="none"/>
          <w14:textFill>
            <w14:solidFill>
              <w14:schemeClr w14:val="tx1"/>
            </w14:solidFill>
          </w14:textFill>
        </w:rPr>
        <w:t>9.6投标人的报价在合同执行过程中是固定不变的，不得以任何理由改变。所有价格折扣、优惠条件必须在报价明细表中注明，否则评审时不予认可。</w:t>
      </w:r>
    </w:p>
    <w:p w14:paraId="2939A018">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10.联合体投标</w:t>
      </w:r>
    </w:p>
    <w:p w14:paraId="12614F4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两个以上的自然人、法人或者其他组织可以组成一个联合体，以一个投标人的身份共同参加</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w:t>
      </w:r>
    </w:p>
    <w:p w14:paraId="40406C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10.1以联合体形式进行</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的，参加联合体的投标人应当向招标人提交联合协议，载明联合体各方承担的工作和义务。联合体各方应当共同与招标人签订采购合同，就采购合同约定的事项对招标人承担连带责任。</w:t>
      </w:r>
    </w:p>
    <w:p w14:paraId="1DF27D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5B30FDC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2A624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10.4以联合体形式参加</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活动的，联合体各方不得再单独参加或者与其他投标人另外组成联合体参加同一合同项下的</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活动。</w:t>
      </w:r>
    </w:p>
    <w:p w14:paraId="14F0C82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本项目是否接受联合体投标详见《投标须知前附表》。</w:t>
      </w:r>
    </w:p>
    <w:p w14:paraId="0C1FEF9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11.关于分包</w:t>
      </w:r>
    </w:p>
    <w:p w14:paraId="32491A0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11.1投标人拟将项目的非主体、非关键性工作分包的，应当在投标文件中载明分包承担主体，分包承担主体应当具备相应资质条件且不得再次分包。</w:t>
      </w:r>
    </w:p>
    <w:p w14:paraId="39C50A7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11.2投标人应当就分包项目向招标人负责，分包承担主体就分包项目承担责任。</w:t>
      </w:r>
    </w:p>
    <w:p w14:paraId="360926E8">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本项目是否接受分包投标详见《投标须知前附表》。</w:t>
      </w:r>
    </w:p>
    <w:p w14:paraId="5122E23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12.现场踏勘</w:t>
      </w:r>
    </w:p>
    <w:p w14:paraId="044486E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8B82F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12.2投标人及其人员经过招标人的允许，可以踏勘目的进入招标单位的项目现场。若本项目招标文件要求投标人于统一时间地点踏勘现场的，投标人应当按时前往。</w:t>
      </w:r>
    </w:p>
    <w:p w14:paraId="7EB97D7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3342335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12.4未参与现场踏勘不作为否定投标人资格的理由。</w:t>
      </w:r>
    </w:p>
    <w:p w14:paraId="6FA5799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本项目是否组织现场踏勘详见《投标须知前附表》</w:t>
      </w:r>
    </w:p>
    <w:p w14:paraId="69E486B7">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13.投标的有效期</w:t>
      </w:r>
    </w:p>
    <w:p w14:paraId="3CBFE8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13.1从开标之日起，投标有效期为90天。投标有效期短于90天的，其投标为无效投标。</w:t>
      </w:r>
    </w:p>
    <w:p w14:paraId="0E9F2AD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5D24839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14.投标保证金</w:t>
      </w:r>
    </w:p>
    <w:p w14:paraId="33F183B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14.1本项目投标保证金要求：详见投标须知前附表。</w:t>
      </w:r>
    </w:p>
    <w:p w14:paraId="12383B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059ECD0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14.3有下列情况之一的，投标保证金不予返还。</w:t>
      </w:r>
    </w:p>
    <w:p w14:paraId="659603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（1）投标人提供不真实资格、资质证明文件的；</w:t>
      </w:r>
    </w:p>
    <w:p w14:paraId="763470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（2）在投标有效期内撤回报价的；</w:t>
      </w:r>
    </w:p>
    <w:p w14:paraId="3D38501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（3）除因不可抗力或招标文件认可的情形以外，中标人不与招标人签订合同的；</w:t>
      </w:r>
    </w:p>
    <w:p w14:paraId="008A15A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（4）投标人与招标人、其他投标人或者招标代理机构恶意串通的；</w:t>
      </w:r>
    </w:p>
    <w:p w14:paraId="7D91DD9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（5）评审委员会认定的其他事项。</w:t>
      </w:r>
    </w:p>
    <w:p w14:paraId="20790B4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2A9D89A7">
      <w:pPr>
        <w:pStyle w:val="47"/>
        <w:pageBreakBefore w:val="0"/>
        <w:shd w:val="clear" w:color="auto" w:fill="FFFFFF"/>
        <w:kinsoku/>
        <w:overflowPunct/>
        <w:topLinePunct w:val="0"/>
        <w:bidi w:val="0"/>
        <w:adjustRightInd/>
        <w:snapToGrid/>
        <w:spacing w:before="0" w:beforeAutospacing="0" w:after="0" w:afterAutospacing="0" w:line="360" w:lineRule="auto"/>
        <w:ind w:firstLine="64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本项目投标保证金相关要求见《投标须知前附表》。</w:t>
      </w:r>
    </w:p>
    <w:bookmarkEnd w:id="33"/>
    <w:p w14:paraId="6B4824B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34" w:name="_Hlk154667959"/>
      <w:r>
        <w:rPr>
          <w:rFonts w:hint="eastAsia" w:ascii="宋体" w:hAnsi="宋体" w:eastAsia="宋体" w:cs="宋体"/>
          <w:b/>
          <w:color w:val="000000" w:themeColor="text1"/>
          <w:sz w:val="28"/>
          <w:szCs w:val="28"/>
          <w:highlight w:val="none"/>
          <w14:textFill>
            <w14:solidFill>
              <w14:schemeClr w14:val="tx1"/>
            </w14:solidFill>
          </w14:textFill>
        </w:rPr>
        <w:t>15.履约保证金的交纳与返还</w:t>
      </w:r>
    </w:p>
    <w:p w14:paraId="75D5367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该项目无需交纳履约保证金。</w:t>
      </w:r>
    </w:p>
    <w:p w14:paraId="4D87AF7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16.投标文件的数量和签署</w:t>
      </w:r>
    </w:p>
    <w:p w14:paraId="4F4D62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16.1投标文件（pdf格式）（第一册）1份</w:t>
      </w:r>
    </w:p>
    <w:p w14:paraId="45A352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53C06A4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12D47D2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（3）文件中要求法定代表人签字或签章的须加盖法定代表人电子人名章。</w:t>
      </w:r>
    </w:p>
    <w:p w14:paraId="630200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4CB4D6C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（5）可使用系统的批量盖章功能快速签章。但须逐页浏览检查并注意印章</w:t>
      </w:r>
      <w:bookmarkEnd w:id="34"/>
      <w:r>
        <w:rPr>
          <w:rFonts w:hint="eastAsia" w:ascii="宋体" w:hAnsi="宋体" w:eastAsia="宋体" w:cs="宋体"/>
          <w:color w:val="000000" w:themeColor="text1"/>
          <w:sz w:val="28"/>
          <w:szCs w:val="28"/>
          <w:highlight w:val="none"/>
          <w14:textFill>
            <w14:solidFill>
              <w14:schemeClr w14:val="tx1"/>
            </w14:solidFill>
          </w14:textFill>
        </w:rPr>
        <w:t>重叠及完整性。</w:t>
      </w:r>
    </w:p>
    <w:p w14:paraId="7C77510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5" w:name="_Hlk154667982"/>
      <w:r>
        <w:rPr>
          <w:rFonts w:hint="eastAsia" w:ascii="宋体" w:hAnsi="宋体" w:eastAsia="宋体" w:cs="宋体"/>
          <w:color w:val="000000" w:themeColor="text1"/>
          <w:sz w:val="28"/>
          <w:szCs w:val="28"/>
          <w:highlight w:val="none"/>
          <w14:textFill>
            <w14:solidFill>
              <w14:schemeClr w14:val="tx1"/>
            </w14:solidFill>
          </w14:textFill>
        </w:rPr>
        <w:t>（6）采用扫描粘贴投标人公章或扫描法定代表人人名章而不加盖单位电子公章的为无效投标。</w:t>
      </w:r>
    </w:p>
    <w:p w14:paraId="3EF7F20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16.2数据文件（PDF格式）（第二册）1份</w:t>
      </w:r>
    </w:p>
    <w:p w14:paraId="4DEAC30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7E206F7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（2）文件中要求法定代表人签字或签章的须加盖法定代表人电子人名章。</w:t>
      </w:r>
    </w:p>
    <w:p w14:paraId="2EB1989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（3）采用扫描粘贴投标人公章或法定代表人人名章的为无效投标。</w:t>
      </w:r>
    </w:p>
    <w:p w14:paraId="3A487B54">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36" w:name="_Toc3721"/>
      <w:bookmarkStart w:id="37" w:name="_Toc66864045"/>
      <w:r>
        <w:rPr>
          <w:rStyle w:val="431"/>
          <w:rFonts w:hint="eastAsia" w:ascii="宋体" w:hAnsi="宋体" w:eastAsia="宋体" w:cs="宋体"/>
          <w:b/>
          <w:bCs/>
          <w:color w:val="000000" w:themeColor="text1"/>
          <w:kern w:val="2"/>
          <w:sz w:val="28"/>
          <w:szCs w:val="32"/>
          <w:highlight w:val="none"/>
          <w14:textFill>
            <w14:solidFill>
              <w14:schemeClr w14:val="tx1"/>
            </w14:solidFill>
          </w14:textFill>
        </w:rPr>
        <w:t>四、投标文件的提交</w:t>
      </w:r>
      <w:bookmarkEnd w:id="36"/>
      <w:bookmarkEnd w:id="37"/>
    </w:p>
    <w:p w14:paraId="456B033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17.投标文件的密封和标记</w:t>
      </w:r>
    </w:p>
    <w:p w14:paraId="06E4C3A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17.1电子投标文件的密封和标记</w:t>
      </w:r>
    </w:p>
    <w:p w14:paraId="05F5AD6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2D3D9DCA">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17.2资质证明文件原件的密封和标记</w:t>
      </w:r>
    </w:p>
    <w:p w14:paraId="6B73C01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无需提供资质证明文件原件。</w:t>
      </w:r>
    </w:p>
    <w:p w14:paraId="2E1CF806">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17.3文件提交</w:t>
      </w:r>
    </w:p>
    <w:p w14:paraId="34AF619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68D35F68">
      <w:pPr>
        <w:pageBreakBefore w:val="0"/>
        <w:kinsoku/>
        <w:overflowPunct/>
        <w:topLinePunct w:val="0"/>
        <w:bidi w:val="0"/>
        <w:adjustRightInd/>
        <w:snapToGrid/>
        <w:spacing w:line="360" w:lineRule="auto"/>
        <w:ind w:firstLine="565"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31CC0D9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（3）除投标须知前附表另有规定外，招标代理机构拒绝接收纸质投标文件。</w:t>
      </w:r>
    </w:p>
    <w:p w14:paraId="4C15670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7BFD1775">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18.投标截止期</w:t>
      </w:r>
    </w:p>
    <w:p w14:paraId="071D7F4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本次招标的投标截止期见《投标须知前附表》。</w:t>
      </w:r>
    </w:p>
    <w:p w14:paraId="2FF5977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19.迟交的投标文件</w:t>
      </w:r>
    </w:p>
    <w:p w14:paraId="35E09E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8" w:name="_Toc429313655"/>
      <w:r>
        <w:rPr>
          <w:rFonts w:hint="eastAsia" w:ascii="宋体" w:hAnsi="宋体" w:eastAsia="宋体" w:cs="宋体"/>
          <w:color w:val="000000" w:themeColor="text1"/>
          <w:sz w:val="28"/>
          <w:szCs w:val="28"/>
          <w:highlight w:val="none"/>
          <w14:textFill>
            <w14:solidFill>
              <w14:schemeClr w14:val="tx1"/>
            </w14:solidFill>
          </w14:textFill>
        </w:rPr>
        <w:t>威海市国有企业阳光采购电子化服务平台无法接收投标截止期后提交的电子投标文件。</w:t>
      </w:r>
    </w:p>
    <w:p w14:paraId="3E26637A">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20.</w:t>
      </w:r>
      <w:bookmarkEnd w:id="38"/>
      <w:r>
        <w:rPr>
          <w:rFonts w:hint="eastAsia" w:ascii="宋体" w:hAnsi="宋体" w:eastAsia="宋体" w:cs="宋体"/>
          <w:b/>
          <w:color w:val="000000" w:themeColor="text1"/>
          <w:sz w:val="28"/>
          <w:szCs w:val="28"/>
          <w:highlight w:val="none"/>
          <w14:textFill>
            <w14:solidFill>
              <w14:schemeClr w14:val="tx1"/>
            </w14:solidFill>
          </w14:textFill>
        </w:rPr>
        <w:t>现场演示/样品递交</w:t>
      </w:r>
    </w:p>
    <w:p w14:paraId="15F194C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20.1招标人可以要求投标人对其提供的信息化、自动化等相关类别服务进行演示。投标人可以到现场演示，也可以使用系统“网上评标”中的“谈判”功能与评标专家进行远程演示。</w:t>
      </w:r>
    </w:p>
    <w:p w14:paraId="6F6CF2A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6C9AD597">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5A07ABD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21.投标文件的修改和撤回</w:t>
      </w:r>
    </w:p>
    <w:p w14:paraId="269162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21.1投标人必须在规定的投标截止期之前将修改的投标文件和数据文件上传到威海市国企采购电子交易系统,在投标截止时间之后，投标人不得对其投标文件做任何修改。</w:t>
      </w:r>
    </w:p>
    <w:p w14:paraId="0B7A629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21.2投标人在提交投标文件后，可以在投标截止时间之前撤回其投标文件。</w:t>
      </w:r>
    </w:p>
    <w:p w14:paraId="4FF5038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21.3开标后不允许对投标文件做实质性修改和补充，不得撤回投标文件。</w:t>
      </w:r>
    </w:p>
    <w:bookmarkEnd w:id="35"/>
    <w:p w14:paraId="53E83C2B">
      <w:pPr>
        <w:pStyle w:val="4"/>
        <w:pageBreakBefore w:val="0"/>
        <w:kinsoku/>
        <w:overflowPunct/>
        <w:topLinePunct w:val="0"/>
        <w:bidi w:val="0"/>
        <w:adjustRightInd/>
        <w:snapToGrid/>
        <w:spacing w:line="360" w:lineRule="auto"/>
        <w:rPr>
          <w:rFonts w:hint="eastAsia" w:ascii="宋体" w:hAnsi="宋体" w:eastAsia="宋体" w:cs="宋体"/>
          <w:b w:val="0"/>
          <w:color w:val="000000" w:themeColor="text1"/>
          <w:szCs w:val="28"/>
          <w:highlight w:val="none"/>
          <w14:textFill>
            <w14:solidFill>
              <w14:schemeClr w14:val="tx1"/>
            </w14:solidFill>
          </w14:textFill>
        </w:rPr>
      </w:pPr>
      <w:bookmarkStart w:id="39" w:name="_Toc29901"/>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五、开标与评审</w:t>
      </w:r>
      <w:bookmarkEnd w:id="39"/>
    </w:p>
    <w:p w14:paraId="748AA1A5">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22.开标</w:t>
      </w:r>
    </w:p>
    <w:p w14:paraId="1A2FC73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22.1投标截止时间结束后，投标人不足3家的不得开标。</w:t>
      </w:r>
    </w:p>
    <w:p w14:paraId="58C8D26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0" w:name="_Hlk154667997"/>
      <w:r>
        <w:rPr>
          <w:rFonts w:hint="eastAsia" w:ascii="宋体" w:hAnsi="宋体" w:eastAsia="宋体" w:cs="宋体"/>
          <w:color w:val="000000" w:themeColor="text1"/>
          <w:sz w:val="28"/>
          <w:szCs w:val="28"/>
          <w:highlight w:val="none"/>
          <w14:textFill>
            <w14:solidFill>
              <w14:schemeClr w14:val="tx1"/>
            </w14:solidFill>
          </w14:textFill>
        </w:rPr>
        <w:t>22.2招标代理机构在招标公告规定的时间和地点组织开标。投标人需提前准备已配置好环境的电脑，在规定的时间进行远程开标的各项操作。</w:t>
      </w:r>
    </w:p>
    <w:p w14:paraId="0092A7A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22.3投标人代表应在签到表格相应位置上加盖CA锁中的电子章以证明其出席，在开标时间前未完成签到的将会被视作认同开标结果。</w:t>
      </w:r>
    </w:p>
    <w:p w14:paraId="719A585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22.4投标须知前附表规定了文件解密时间，投标人输入密码错误（5次输入机会）、未能按时完成解密、其《数据文件》填写、盖章不规范等导致系统无法解析的，将会被视为无效投标。</w:t>
      </w:r>
    </w:p>
    <w:p w14:paraId="5E01B00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22.5开标过程应当由招标人或招标代理机构负责记录，最终形成开标一览表并由各投标人代表签字或盖章确认。</w:t>
      </w:r>
    </w:p>
    <w:p w14:paraId="20A4F8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13D59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22.7录音、录像：威海市公共资源交易中心负责从提交投标文件开始到确定中标结果全过程的录音、录像工作，确保声音清楚、图像清晰、内容无遗漏。</w:t>
      </w:r>
    </w:p>
    <w:p w14:paraId="4C34A19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22.8评审过程中，如遇特殊情况，服从威海市公共资源交易中心场地调配，并遵守相关规章制度。</w:t>
      </w:r>
    </w:p>
    <w:bookmarkEnd w:id="40"/>
    <w:p w14:paraId="5C08204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1" w:name="_Hlk154668012"/>
      <w:r>
        <w:rPr>
          <w:rFonts w:hint="eastAsia" w:ascii="宋体" w:hAnsi="宋体" w:eastAsia="宋体" w:cs="宋体"/>
          <w:color w:val="000000" w:themeColor="text1"/>
          <w:sz w:val="28"/>
          <w:szCs w:val="28"/>
          <w:highlight w:val="none"/>
          <w14:textFill>
            <w14:solidFill>
              <w14:schemeClr w14:val="tx1"/>
            </w14:solidFill>
          </w14:textFill>
        </w:rPr>
        <w:t>22.9对投标文件报价出现前后不一致的，按以下规定修正：</w:t>
      </w:r>
    </w:p>
    <w:p w14:paraId="1DCBE75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7000356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（2）大写金额和小写金额不一致的，以大写金额为准；</w:t>
      </w:r>
    </w:p>
    <w:p w14:paraId="2087082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42BE1DD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（4）总价金额与按单价汇总金额不一致的，以单价金额计算结果为准。</w:t>
      </w:r>
    </w:p>
    <w:p w14:paraId="5556F9D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54FF384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22.10开标程序</w:t>
      </w:r>
    </w:p>
    <w:p w14:paraId="4A3F056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（1）签到：在投标须知前附表规定的时间完成签到。</w:t>
      </w:r>
    </w:p>
    <w:p w14:paraId="7BFDB44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（2）开标：工作人员在投标须知前附表规定的开标时间启动开标。</w:t>
      </w:r>
    </w:p>
    <w:p w14:paraId="73D4A9A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61EC30F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7AB47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22.11应急开标程序</w:t>
      </w:r>
    </w:p>
    <w:p w14:paraId="29AF061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65B60D3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（1）系统服务器发生故障，无法访问或无法使用系统；</w:t>
      </w:r>
    </w:p>
    <w:p w14:paraId="3223798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（2）系统的软件或数据库出现错误，不能进行正常操作；</w:t>
      </w:r>
    </w:p>
    <w:p w14:paraId="7BCF31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（3）系统发现有安全漏洞，有潜在的泄密危险；</w:t>
      </w:r>
    </w:p>
    <w:bookmarkEnd w:id="41"/>
    <w:p w14:paraId="60E46AA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2" w:name="_Hlk154668029"/>
      <w:r>
        <w:rPr>
          <w:rFonts w:hint="eastAsia" w:ascii="宋体" w:hAnsi="宋体" w:eastAsia="宋体" w:cs="宋体"/>
          <w:color w:val="000000" w:themeColor="text1"/>
          <w:sz w:val="28"/>
          <w:szCs w:val="28"/>
          <w:highlight w:val="none"/>
          <w14:textFill>
            <w14:solidFill>
              <w14:schemeClr w14:val="tx1"/>
            </w14:solidFill>
          </w14:textFill>
        </w:rPr>
        <w:t>（4）病毒发作或受到外来病毒的攻击；</w:t>
      </w:r>
    </w:p>
    <w:p w14:paraId="4EE1DB7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（5）其他无法保证开标过程公平、公正和信息安全的情形。</w:t>
      </w:r>
    </w:p>
    <w:p w14:paraId="73DB409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应急开标程序包括：</w:t>
      </w:r>
    </w:p>
    <w:p w14:paraId="4BE035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（1）对未在系统中开标的可暂停开标；</w:t>
      </w:r>
    </w:p>
    <w:p w14:paraId="387752B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（2）对已在系统中开标的应停止，等待系统恢复正常后再组织进行开标。</w:t>
      </w:r>
    </w:p>
    <w:p w14:paraId="38DB8BC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EE48EB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9C678C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22.12应急开标电子邮件提交规定</w:t>
      </w:r>
    </w:p>
    <w:p w14:paraId="09FDFB6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接收电子邮箱：</w:t>
      </w:r>
      <w:r>
        <w:rPr>
          <w:rFonts w:hint="eastAsia" w:ascii="宋体" w:hAnsi="宋体" w:eastAsia="宋体" w:cs="宋体"/>
          <w:color w:val="000000" w:themeColor="text1"/>
          <w:sz w:val="28"/>
          <w:szCs w:val="28"/>
          <w:highlight w:val="none"/>
          <w:lang w:eastAsia="zh-CN"/>
          <w14:textFill>
            <w14:solidFill>
              <w14:schemeClr w14:val="tx1"/>
            </w14:solidFill>
          </w14:textFill>
        </w:rPr>
        <w:t>tljs2018@126.com</w:t>
      </w:r>
    </w:p>
    <w:p w14:paraId="63707E0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提交时间：以电子邮件或电话通知的时间为准；</w:t>
      </w:r>
    </w:p>
    <w:p w14:paraId="52E5BAD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邮件数量：一封；</w:t>
      </w:r>
    </w:p>
    <w:p w14:paraId="46E94E5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邮件主题：招标编号、投标人名称；</w:t>
      </w:r>
    </w:p>
    <w:p w14:paraId="6E430E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55BD34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22.13启动电子邮件开标流程</w:t>
      </w:r>
    </w:p>
    <w:p w14:paraId="766384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工作人员电话通知所有投标人启动应急开标程序；</w:t>
      </w:r>
    </w:p>
    <w:p w14:paraId="45DB3FF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6EB1311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236C764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投标人确认报价并邮件回复，不及时回复的视为对开标报告的内容无异议。</w:t>
      </w:r>
    </w:p>
    <w:bookmarkEnd w:id="42"/>
    <w:p w14:paraId="60021EC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23.评标委员会的组成和评标办法</w:t>
      </w:r>
    </w:p>
    <w:p w14:paraId="0E9C57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3" w:name="_Hlk154668119"/>
      <w:bookmarkStart w:id="44" w:name="_Hlk154668068"/>
      <w:r>
        <w:rPr>
          <w:rFonts w:hint="eastAsia" w:ascii="宋体" w:hAnsi="宋体" w:eastAsia="宋体" w:cs="宋体"/>
          <w:color w:val="000000" w:themeColor="text1"/>
          <w:sz w:val="28"/>
          <w:szCs w:val="28"/>
          <w:highlight w:val="none"/>
          <w14:textFill>
            <w14:solidFill>
              <w14:schemeClr w14:val="tx1"/>
            </w14:solidFill>
          </w14:textFill>
        </w:rPr>
        <w:t>23.1招标代理机构负责组织评标工作，具体评审事务由依法组建的评标委员会负责，评标委员会成员由招标人代表及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6379926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4359570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23.3评标委员会成员职责：</w:t>
      </w:r>
    </w:p>
    <w:p w14:paraId="27FE2C8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6884C52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7CAF2B7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（3）对评标过程和结果，以及投标人的商业秘密进行保密；</w:t>
      </w:r>
    </w:p>
    <w:p w14:paraId="5584D83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（4）在评标委员会集体起草的评标报告上签字；</w:t>
      </w:r>
    </w:p>
    <w:p w14:paraId="3E3B7A5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（5）配合招标代理机构答复投标人质疑；</w:t>
      </w:r>
    </w:p>
    <w:p w14:paraId="66A5B29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（6）配合主管部门处理投标人投诉；</w:t>
      </w:r>
    </w:p>
    <w:p w14:paraId="16FDB1C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（7）向招标人反映评审工作中的问题，提出意见和建议。</w:t>
      </w:r>
    </w:p>
    <w:bookmarkEnd w:id="43"/>
    <w:p w14:paraId="20AC759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5" w:name="_Hlk154668127"/>
      <w:r>
        <w:rPr>
          <w:rFonts w:hint="eastAsia" w:ascii="宋体" w:hAnsi="宋体" w:eastAsia="宋体" w:cs="宋体"/>
          <w:color w:val="000000" w:themeColor="text1"/>
          <w:sz w:val="28"/>
          <w:szCs w:val="28"/>
          <w:highlight w:val="none"/>
          <w14:textFill>
            <w14:solidFill>
              <w14:schemeClr w14:val="tx1"/>
            </w14:solidFill>
          </w14:textFill>
        </w:rPr>
        <w:t>23.4评标委员会集体职责：</w:t>
      </w:r>
    </w:p>
    <w:p w14:paraId="56BF0F6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阐述其不同意见和理由。评标委员会成员拒绝在评标报告上签字且不陈述其不同意见和理由的，视为同意评标结论。评标委员会应当对此做出书面说明并记录在案；</w:t>
      </w:r>
    </w:p>
    <w:p w14:paraId="7F0113E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（2）配合招标人和招标代理机构答复投标人的质疑；</w:t>
      </w:r>
    </w:p>
    <w:p w14:paraId="6F6BEFD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（3）配合主管部门做好投诉处理工作；</w:t>
      </w:r>
    </w:p>
    <w:p w14:paraId="1131A70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（4）必要时，向投标人解释评审结果；</w:t>
      </w:r>
    </w:p>
    <w:p w14:paraId="353B88E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（5）向主管部门或者有关部门报告非法干预评审工作的行为。</w:t>
      </w:r>
    </w:p>
    <w:bookmarkEnd w:id="45"/>
    <w:p w14:paraId="4E33D37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6" w:name="_Hlk154668139"/>
      <w:r>
        <w:rPr>
          <w:rFonts w:hint="eastAsia" w:ascii="宋体" w:hAnsi="宋体" w:eastAsia="宋体" w:cs="宋体"/>
          <w:color w:val="000000" w:themeColor="text1"/>
          <w:sz w:val="28"/>
          <w:szCs w:val="28"/>
          <w:highlight w:val="none"/>
          <w14:textFill>
            <w14:solidFill>
              <w14:schemeClr w14:val="tx1"/>
            </w14:solidFill>
          </w14:textFill>
        </w:rPr>
        <w:t>23.5招标代理机构或招标人的职责：</w:t>
      </w:r>
    </w:p>
    <w:p w14:paraId="36CBA4B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（1）核对评标专家身份</w:t>
      </w:r>
      <w:r>
        <w:rPr>
          <w:rFonts w:hint="eastAsia" w:ascii="宋体" w:hAnsi="宋体" w:eastAsia="宋体" w:cs="宋体"/>
          <w:color w:val="000000" w:themeColor="text1"/>
          <w:sz w:val="28"/>
          <w:szCs w:val="28"/>
          <w:highlight w:val="none"/>
          <w:lang w:val="en-US" w:eastAsia="zh-CN"/>
          <w14:textFill>
            <w14:solidFill>
              <w14:schemeClr w14:val="tx1"/>
            </w14:solidFill>
          </w14:textFill>
        </w:rPr>
        <w:t>和</w:t>
      </w:r>
      <w:r>
        <w:rPr>
          <w:rFonts w:hint="eastAsia" w:ascii="宋体" w:hAnsi="宋体" w:eastAsia="宋体" w:cs="宋体"/>
          <w:color w:val="000000" w:themeColor="text1"/>
          <w:sz w:val="28"/>
          <w:szCs w:val="28"/>
          <w:highlight w:val="none"/>
          <w14:textFill>
            <w14:solidFill>
              <w14:schemeClr w14:val="tx1"/>
            </w14:solidFill>
          </w14:textFill>
        </w:rPr>
        <w:t>招标人代表授权书，对评标专家在招标活动中的职责履行情况予以记录，并及时将有关违法违规行为向主管部门报告；</w:t>
      </w:r>
    </w:p>
    <w:p w14:paraId="745A288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（2）宣布评审纪律；</w:t>
      </w:r>
    </w:p>
    <w:p w14:paraId="37F4C1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（3）公布投标人名单，告知评标委员会专家应当回避的情形；</w:t>
      </w:r>
    </w:p>
    <w:p w14:paraId="799C172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（4）组织评标委员会推选评标组长</w:t>
      </w:r>
      <w:r>
        <w:rPr>
          <w:rFonts w:hint="eastAsia" w:ascii="宋体" w:hAnsi="宋体" w:eastAsia="宋体" w:cs="宋体"/>
          <w:color w:val="000000" w:themeColor="text1"/>
          <w:sz w:val="28"/>
          <w:szCs w:val="28"/>
          <w:highlight w:val="none"/>
          <w:lang w:eastAsia="zh-CN"/>
          <w14:textFill>
            <w14:solidFill>
              <w14:schemeClr w14:val="tx1"/>
            </w14:solidFill>
          </w14:textFill>
        </w:rPr>
        <w:t>，招标人代表不得担任评标组长</w:t>
      </w:r>
      <w:r>
        <w:rPr>
          <w:rFonts w:hint="eastAsia" w:ascii="宋体" w:hAnsi="宋体" w:eastAsia="宋体" w:cs="宋体"/>
          <w:color w:val="000000" w:themeColor="text1"/>
          <w:sz w:val="28"/>
          <w:szCs w:val="28"/>
          <w:highlight w:val="none"/>
          <w14:textFill>
            <w14:solidFill>
              <w14:schemeClr w14:val="tx1"/>
            </w14:solidFill>
          </w14:textFill>
        </w:rPr>
        <w:t>；</w:t>
      </w:r>
    </w:p>
    <w:p w14:paraId="441B7A1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（5）在评审期间采取必要的通讯管理措施，保证评审活动不受外界干扰；</w:t>
      </w:r>
    </w:p>
    <w:p w14:paraId="4676B01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（6）根据评标委员会的要求介绍阳光国企采购相关政策法规、招标文件；</w:t>
      </w:r>
    </w:p>
    <w:p w14:paraId="01F317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（7）维护评审秩序，监督评标委员会依照招标文件规定的评标程序、方法和标准进行独立评审，及时制止和纠正评标专家的倾向性言论或者违法违规行为；</w:t>
      </w:r>
    </w:p>
    <w:p w14:paraId="5DA5835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6CB119A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A867D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（10）处理与评标有关的其他事项。</w:t>
      </w:r>
    </w:p>
    <w:p w14:paraId="59BC8AE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46"/>
    <w:p w14:paraId="073A8AD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7" w:name="_Hlk154668158"/>
      <w:r>
        <w:rPr>
          <w:rFonts w:hint="eastAsia" w:ascii="宋体" w:hAnsi="宋体" w:eastAsia="宋体" w:cs="宋体"/>
          <w:color w:val="000000" w:themeColor="text1"/>
          <w:sz w:val="28"/>
          <w:szCs w:val="28"/>
          <w:highlight w:val="none"/>
          <w14:textFill>
            <w14:solidFill>
              <w14:schemeClr w14:val="tx1"/>
            </w14:solidFill>
          </w14:textFill>
        </w:rPr>
        <w:t>23.6评标委员会采用集中办公、封闭方式进行评审。评标前，招标代理机构工作人员向评标委员会成员宣布评标纪律和工作规则。评标委员会成员签署《无利害关系声明表》，并遵照执行。</w:t>
      </w:r>
    </w:p>
    <w:p w14:paraId="20B6D1D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23.7在招标采购活动中，招标人员及相关人员与投标人有以下利害关系之一的，应当回避：</w:t>
      </w:r>
    </w:p>
    <w:p w14:paraId="0DA6B3B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（1）参加招标采购活动前3年内与投标人存在劳动关系；</w:t>
      </w:r>
    </w:p>
    <w:p w14:paraId="2FCA0E2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（2）参加招标采购活动前3年内担任投标人的董事、监事；</w:t>
      </w:r>
    </w:p>
    <w:p w14:paraId="5A8E542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（3）参加招标采购活动前3年内是投标人的控股股东或者实际控制人；</w:t>
      </w:r>
    </w:p>
    <w:p w14:paraId="5F7E49F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2F858A3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（5）与投标人有其他可能影响招标采购活动公平、公正进行的关系。</w:t>
      </w:r>
    </w:p>
    <w:p w14:paraId="3C18E88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5D76D1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23.8评标委员会成员对与自己有利害关系的评标项目应当主动提出回避。</w:t>
      </w:r>
    </w:p>
    <w:p w14:paraId="43DC38A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23.9评标委员会将按照招标文件确定的评标原则和方法进行评标。评标委员会对投标文件的评审内容分为资格性审查、符合性审查、商务评议、技术评议和价格评议。</w:t>
      </w:r>
    </w:p>
    <w:bookmarkEnd w:id="47"/>
    <w:p w14:paraId="19EEC52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8" w:name="_Hlk154668166"/>
      <w:r>
        <w:rPr>
          <w:rFonts w:hint="eastAsia" w:ascii="宋体" w:hAnsi="宋体" w:eastAsia="宋体" w:cs="宋体"/>
          <w:color w:val="000000" w:themeColor="text1"/>
          <w:sz w:val="28"/>
          <w:szCs w:val="28"/>
          <w:highlight w:val="none"/>
          <w14:textFill>
            <w14:solidFill>
              <w14:schemeClr w14:val="tx1"/>
            </w14:solidFill>
          </w14:textFill>
        </w:rPr>
        <w:t>23.10评标委员会独立履行下列职责：</w:t>
      </w:r>
    </w:p>
    <w:p w14:paraId="037DF64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（1）审查、评价投标文件是否符合招标文件的商务、技术等实质性要求；</w:t>
      </w:r>
    </w:p>
    <w:p w14:paraId="20041BE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（2）要求投标人对投标文件有关事项作出澄清或者说明；</w:t>
      </w:r>
    </w:p>
    <w:p w14:paraId="254650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（3）对投标文件进行比较和评价；</w:t>
      </w:r>
    </w:p>
    <w:p w14:paraId="43120A7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（4）确定中标候选人名单，以及根据招标人委托直接确定中标人；</w:t>
      </w:r>
    </w:p>
    <w:p w14:paraId="54F13FE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（5）向招标人、招标代理机构或者有关部门报告评标中发现的违法行为。</w:t>
      </w:r>
    </w:p>
    <w:p w14:paraId="78E4D8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23.11评标中因评标委员会成员缺席、回避或者健康等特殊原因导致评标委员会组成不符合本办法规定的，招标人应当依法补足后继续评标。被更换的评标委员会成员所作出的评标意见无效。</w:t>
      </w:r>
    </w:p>
    <w:p w14:paraId="1C63E8D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7F82960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44"/>
    <w:bookmarkEnd w:id="48"/>
    <w:p w14:paraId="3631146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24.投标文件的初审</w:t>
      </w:r>
    </w:p>
    <w:p w14:paraId="76DDEE34">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highlight w:val="none"/>
          <w14:textFill>
            <w14:solidFill>
              <w14:schemeClr w14:val="tx1"/>
            </w14:solidFill>
          </w14:textFill>
        </w:rPr>
      </w:pPr>
      <w:bookmarkStart w:id="49" w:name="_Hlk154668175"/>
      <w:r>
        <w:rPr>
          <w:rFonts w:hint="eastAsia" w:ascii="宋体" w:hAnsi="宋体" w:eastAsia="宋体" w:cs="宋体"/>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49"/>
      <w:r>
        <w:rPr>
          <w:rFonts w:hint="eastAsia" w:ascii="宋体" w:hAnsi="宋体" w:eastAsia="宋体" w:cs="宋体"/>
          <w:color w:val="000000" w:themeColor="text1"/>
          <w:sz w:val="28"/>
          <w:highlight w:val="none"/>
          <w14:textFill>
            <w14:solidFill>
              <w14:schemeClr w14:val="tx1"/>
            </w14:solidFill>
          </w14:textFill>
        </w:rPr>
        <w:t>。</w:t>
      </w:r>
    </w:p>
    <w:p w14:paraId="737962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24.1资格性审查。在招标项目开标结束后,评标委员会对投标人的资格进行审查。合格投标人不足3家的，不得评标。在资格性检查时,如有下列情况之一的，经评标委员会认定，视为非实质性响应，为无效投标：</w:t>
      </w:r>
    </w:p>
    <w:p w14:paraId="32339646">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bookmarkStart w:id="50" w:name="_Hlk154668197"/>
      <w:r>
        <w:rPr>
          <w:rFonts w:hint="eastAsia" w:ascii="宋体" w:hAnsi="宋体" w:eastAsia="宋体" w:cs="宋体"/>
          <w:color w:val="000000" w:themeColor="text1"/>
          <w:sz w:val="28"/>
          <w:highlight w:val="none"/>
          <w14:textFill>
            <w14:solidFill>
              <w14:schemeClr w14:val="tx1"/>
            </w14:solidFill>
          </w14:textFill>
        </w:rPr>
        <w:t>（1）投标文件不完整的；</w:t>
      </w:r>
    </w:p>
    <w:p w14:paraId="608D2128">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（2）资质、资格证明文件不完整或不符合招标文件要求或过期失效的；</w:t>
      </w:r>
    </w:p>
    <w:p w14:paraId="33C2AEB3">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（3）投标文件未按规定签署及盖章的；</w:t>
      </w:r>
    </w:p>
    <w:p w14:paraId="10CD1C99">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（4）投标人的法定代表人或授权代表不在规定时间内答疑或澄清的；</w:t>
      </w:r>
    </w:p>
    <w:p w14:paraId="7839226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（5）与招标人存在利害关系且可能影响招标活动的公正性；</w:t>
      </w:r>
    </w:p>
    <w:p w14:paraId="36B1309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（6）与本招标项目的其他投标人为同一个单位负责人；</w:t>
      </w:r>
    </w:p>
    <w:p w14:paraId="04F3A0F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（7）与本招标项目的其他投标人存在控股、管理关系；</w:t>
      </w:r>
    </w:p>
    <w:p w14:paraId="351C5F7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（8）为本招标项目提供过设计、编制技术规范和其他文件的咨询服务；</w:t>
      </w:r>
    </w:p>
    <w:p w14:paraId="68F7941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（9）为本招标项目的代建人；</w:t>
      </w:r>
    </w:p>
    <w:p w14:paraId="1D37F61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（10）为本招标项目的招标代理机构；</w:t>
      </w:r>
    </w:p>
    <w:p w14:paraId="3B9C634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（11）被依法暂停或者取消投标资格；</w:t>
      </w:r>
    </w:p>
    <w:p w14:paraId="66E66D9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（12）被责令停产停业、暂扣或者吊销许可证、暂扣或者吊销执照；</w:t>
      </w:r>
    </w:p>
    <w:p w14:paraId="201FD98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（13）进入清算程序，或被宣告破产，或其他丧失履约能力的情形；</w:t>
      </w:r>
    </w:p>
    <w:p w14:paraId="2677DB8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（14）除招标文件规定提交备选</w:t>
      </w:r>
      <w:r>
        <w:rPr>
          <w:rFonts w:hint="eastAsia" w:ascii="宋体" w:hAnsi="宋体" w:eastAsia="宋体" w:cs="宋体"/>
          <w:color w:val="000000" w:themeColor="text1"/>
          <w:sz w:val="28"/>
          <w:szCs w:val="28"/>
          <w:highlight w:val="none"/>
          <w:lang w:val="en-US" w:eastAsia="zh-CN"/>
          <w14:textFill>
            <w14:solidFill>
              <w14:schemeClr w14:val="tx1"/>
            </w14:solidFill>
          </w14:textFill>
        </w:rPr>
        <w:t>方</w:t>
      </w:r>
      <w:r>
        <w:rPr>
          <w:rFonts w:hint="eastAsia" w:ascii="宋体" w:hAnsi="宋体" w:eastAsia="宋体" w:cs="宋体"/>
          <w:color w:val="000000" w:themeColor="text1"/>
          <w:sz w:val="28"/>
          <w:szCs w:val="28"/>
          <w:highlight w:val="none"/>
          <w14:textFill>
            <w14:solidFill>
              <w14:schemeClr w14:val="tx1"/>
            </w14:solidFill>
          </w14:textFill>
        </w:rPr>
        <w:t>案外，同一投标人递交两个以上不同的投标文件或者投标报价的；</w:t>
      </w:r>
    </w:p>
    <w:p w14:paraId="5859130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（15）评标委员会认为不符合招标文件其他实质性要求或法律规定的；</w:t>
      </w:r>
    </w:p>
    <w:p w14:paraId="2CFAE79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（16）法律法规规定的其他情形。</w:t>
      </w:r>
    </w:p>
    <w:bookmarkEnd w:id="50"/>
    <w:p w14:paraId="7215AE2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1" w:name="_Hlk154668205"/>
      <w:r>
        <w:rPr>
          <w:rFonts w:hint="eastAsia" w:ascii="宋体" w:hAnsi="宋体" w:eastAsia="宋体" w:cs="宋体"/>
          <w:color w:val="000000" w:themeColor="text1"/>
          <w:sz w:val="28"/>
          <w:szCs w:val="28"/>
          <w:highlight w:val="none"/>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47EA90F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具体内容详见《投标须知》-《实质性条款一览表》中符合性审查条件。</w:t>
      </w:r>
    </w:p>
    <w:p w14:paraId="3ABAC8A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24.3投标人有下列情形之一的，视为投标人串通投标，其投标无效：</w:t>
      </w:r>
    </w:p>
    <w:p w14:paraId="324447A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（1）不同投标人的投标文件由同一单位或者个人编制的；</w:t>
      </w:r>
    </w:p>
    <w:p w14:paraId="4EB33A2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（2）不同投标人使用同一个投标人或者同一个自然人的IP地址、设备下</w:t>
      </w:r>
      <w:bookmarkEnd w:id="51"/>
      <w:bookmarkStart w:id="52" w:name="_Hlk154668217"/>
      <w:r>
        <w:rPr>
          <w:rFonts w:hint="eastAsia" w:ascii="宋体" w:hAnsi="宋体" w:eastAsia="宋体" w:cs="宋体"/>
          <w:color w:val="000000" w:themeColor="text1"/>
          <w:sz w:val="28"/>
          <w:szCs w:val="28"/>
          <w:highlight w:val="none"/>
          <w14:textFill>
            <w14:solidFill>
              <w14:schemeClr w14:val="tx1"/>
            </w14:solidFill>
          </w14:textFill>
        </w:rPr>
        <w:t>载招标文件或者制作、上传投标文件的；</w:t>
      </w:r>
    </w:p>
    <w:p w14:paraId="6283DC9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3" w:name="_Hlk154668229"/>
      <w:r>
        <w:rPr>
          <w:rFonts w:hint="eastAsia" w:ascii="宋体" w:hAnsi="宋体" w:eastAsia="宋体" w:cs="宋体"/>
          <w:color w:val="000000" w:themeColor="text1"/>
          <w:sz w:val="28"/>
          <w:szCs w:val="28"/>
          <w:highlight w:val="none"/>
          <w14:textFill>
            <w14:solidFill>
              <w14:schemeClr w14:val="tx1"/>
            </w14:solidFill>
          </w14:textFill>
        </w:rPr>
        <w:t>（3）不同投标人委托同一单位或者个人办理投标事宜；</w:t>
      </w:r>
    </w:p>
    <w:p w14:paraId="0F11CEF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（4）不同投标人的投标文件载明的项目管理成员或者联系人员为同一人；</w:t>
      </w:r>
    </w:p>
    <w:p w14:paraId="07E18BA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（5）不同投标人的投标文件重要内容异常一致、或者投标报价呈现规律性差异；</w:t>
      </w:r>
    </w:p>
    <w:p w14:paraId="4B3A090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（6）不同投标人编制的投标文件存在两处以上错误一致的；</w:t>
      </w:r>
    </w:p>
    <w:p w14:paraId="255F320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（7）不同投标人的投标文件相互混装；</w:t>
      </w:r>
    </w:p>
    <w:p w14:paraId="59B9327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（8）不同投标人的投标保证金从同一单位或者个人的账户转出；</w:t>
      </w:r>
    </w:p>
    <w:p w14:paraId="3F93A4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（9）不同投标人制作的电子投标文件经系统审查存在cpu编码、硬盘编码及MAC地址三项编码均相同的。</w:t>
      </w:r>
      <w:bookmarkEnd w:id="53"/>
    </w:p>
    <w:p w14:paraId="5E83D0D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4" w:name="_Hlk154668255"/>
      <w:bookmarkStart w:id="55" w:name="_Hlk154668244"/>
      <w:r>
        <w:rPr>
          <w:rFonts w:hint="eastAsia" w:ascii="宋体" w:hAnsi="宋体" w:eastAsia="宋体" w:cs="宋体"/>
          <w:color w:val="000000" w:themeColor="text1"/>
          <w:sz w:val="28"/>
          <w:szCs w:val="28"/>
          <w:highlight w:val="none"/>
          <w14:textFill>
            <w14:solidFill>
              <w14:schemeClr w14:val="tx1"/>
            </w14:solidFill>
          </w14:textFill>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4"/>
      <w:r>
        <w:rPr>
          <w:rFonts w:hint="eastAsia" w:ascii="宋体" w:hAnsi="宋体" w:eastAsia="宋体" w:cs="宋体"/>
          <w:color w:val="000000" w:themeColor="text1"/>
          <w:sz w:val="28"/>
          <w:szCs w:val="28"/>
          <w:highlight w:val="none"/>
          <w14:textFill>
            <w14:solidFill>
              <w14:schemeClr w14:val="tx1"/>
            </w14:solidFill>
          </w14:textFill>
        </w:rPr>
        <w:t>。</w:t>
      </w:r>
    </w:p>
    <w:p w14:paraId="6F48486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56" w:name="_Hlk154668262"/>
      <w:r>
        <w:rPr>
          <w:rFonts w:hint="eastAsia" w:ascii="宋体" w:hAnsi="宋体" w:eastAsia="宋体" w:cs="宋体"/>
          <w:b/>
          <w:color w:val="000000" w:themeColor="text1"/>
          <w:sz w:val="28"/>
          <w:szCs w:val="28"/>
          <w:highlight w:val="none"/>
          <w14:textFill>
            <w14:solidFill>
              <w14:schemeClr w14:val="tx1"/>
            </w14:solidFill>
          </w14:textFill>
        </w:rPr>
        <w:t>25.投标文件的澄清</w:t>
      </w:r>
    </w:p>
    <w:bookmarkEnd w:id="52"/>
    <w:p w14:paraId="6559D9C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25.1评标委员会有权向投标人询标，对于投标文件中含义不明确、同类问题表述不一致或者有明显文字和计算错误的内容，评标委员会应当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76EDC8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25.2投标人的澄清、说明或者补正应当加盖公章，或者由法定代表人或其授权的代表签字或盖章。投标人的澄清、说明或者补正不得超出投标文件的范围或者改变对投标文件的实质性内容。此书面文件是投标文件的组成部分</w:t>
      </w:r>
      <w:bookmarkEnd w:id="56"/>
      <w:r>
        <w:rPr>
          <w:rFonts w:hint="eastAsia" w:ascii="宋体" w:hAnsi="宋体" w:eastAsia="宋体" w:cs="宋体"/>
          <w:color w:val="000000" w:themeColor="text1"/>
          <w:sz w:val="28"/>
          <w:szCs w:val="28"/>
          <w:highlight w:val="none"/>
          <w14:textFill>
            <w14:solidFill>
              <w14:schemeClr w14:val="tx1"/>
            </w14:solidFill>
          </w14:textFill>
        </w:rPr>
        <w:t>。</w:t>
      </w:r>
    </w:p>
    <w:p w14:paraId="6BCBC39A">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57" w:name="_Hlk154668269"/>
      <w:r>
        <w:rPr>
          <w:rFonts w:hint="eastAsia" w:ascii="宋体" w:hAnsi="宋体" w:eastAsia="宋体" w:cs="宋体"/>
          <w:b/>
          <w:color w:val="000000" w:themeColor="text1"/>
          <w:sz w:val="28"/>
          <w:szCs w:val="28"/>
          <w:highlight w:val="none"/>
          <w14:textFill>
            <w14:solidFill>
              <w14:schemeClr w14:val="tx1"/>
            </w14:solidFill>
          </w14:textFill>
        </w:rPr>
        <w:t>26.投标文件的评价</w:t>
      </w:r>
    </w:p>
    <w:p w14:paraId="7B0FD8B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w:t>
      </w:r>
      <w:bookmarkEnd w:id="57"/>
      <w:bookmarkStart w:id="58" w:name="_Hlk154668274"/>
      <w:r>
        <w:rPr>
          <w:rFonts w:hint="eastAsia" w:ascii="宋体" w:hAnsi="宋体" w:eastAsia="宋体" w:cs="宋体"/>
          <w:color w:val="000000" w:themeColor="text1"/>
          <w:sz w:val="28"/>
          <w:szCs w:val="28"/>
          <w:highlight w:val="none"/>
          <w14:textFill>
            <w14:solidFill>
              <w14:schemeClr w14:val="tx1"/>
            </w14:solidFill>
          </w14:textFill>
        </w:rPr>
        <w:t>按综合得分高低列出中标候选人排序表。若总分相同，以报价得分高的排前；若总分、报价得分都相同，则以技术方面得分高的排前</w:t>
      </w:r>
      <w:bookmarkEnd w:id="55"/>
      <w:r>
        <w:rPr>
          <w:rFonts w:hint="eastAsia" w:ascii="宋体" w:hAnsi="宋体" w:eastAsia="宋体" w:cs="宋体"/>
          <w:color w:val="000000" w:themeColor="text1"/>
          <w:sz w:val="28"/>
          <w:szCs w:val="28"/>
          <w:highlight w:val="none"/>
          <w14:textFill>
            <w14:solidFill>
              <w14:schemeClr w14:val="tx1"/>
            </w14:solidFill>
          </w14:textFill>
        </w:rPr>
        <w:t>。</w:t>
      </w:r>
      <w:bookmarkEnd w:id="58"/>
    </w:p>
    <w:p w14:paraId="000D622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9" w:name="_Hlk154668281"/>
      <w:r>
        <w:rPr>
          <w:rFonts w:hint="eastAsia" w:ascii="宋体" w:hAnsi="宋体" w:eastAsia="宋体" w:cs="宋体"/>
          <w:color w:val="000000" w:themeColor="text1"/>
          <w:sz w:val="28"/>
          <w:szCs w:val="28"/>
          <w:highlight w:val="none"/>
          <w14:textFill>
            <w14:solidFill>
              <w14:schemeClr w14:val="tx1"/>
            </w14:solidFill>
          </w14:textFill>
        </w:rPr>
        <w:t>26.1评审采用百分制。评标委员会各成员分别独立对实质上响应投标文件的投标人进行逐项评价打分，对评标委员会各成员每一因素的打分汇总后的得分为投标人的得分，汇总得分保留两位小数。</w:t>
      </w:r>
    </w:p>
    <w:p w14:paraId="390DD9A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26.2评标委员会只对确定为实质响应招标文件要求的投标文件进行评价和比较。必要时需标明评审理由。</w:t>
      </w:r>
    </w:p>
    <w:p w14:paraId="52D38E3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26.3招标代理机构工作人员负责复核、统计评标委员会成员的评审情况，发现评审意见有失公正时，提请该评标委员会成员修改评审意见，并形成书面意见备查</w:t>
      </w:r>
      <w:bookmarkEnd w:id="59"/>
      <w:r>
        <w:rPr>
          <w:rFonts w:hint="eastAsia" w:ascii="宋体" w:hAnsi="宋体" w:eastAsia="宋体" w:cs="宋体"/>
          <w:color w:val="000000" w:themeColor="text1"/>
          <w:sz w:val="28"/>
          <w:szCs w:val="28"/>
          <w:highlight w:val="none"/>
          <w14:textFill>
            <w14:solidFill>
              <w14:schemeClr w14:val="tx1"/>
            </w14:solidFill>
          </w14:textFill>
        </w:rPr>
        <w:t>。</w:t>
      </w:r>
    </w:p>
    <w:p w14:paraId="2C32DE4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60" w:name="_Hlk154668289"/>
      <w:r>
        <w:rPr>
          <w:rFonts w:hint="eastAsia" w:ascii="宋体" w:hAnsi="宋体" w:eastAsia="宋体" w:cs="宋体"/>
          <w:color w:val="000000" w:themeColor="text1"/>
          <w:sz w:val="28"/>
          <w:szCs w:val="28"/>
          <w:highlight w:val="none"/>
          <w14:textFill>
            <w14:solidFill>
              <w14:schemeClr w14:val="tx1"/>
            </w14:solidFill>
          </w14:textFill>
        </w:rPr>
        <w:t>26.4评审时除考虑投标人的报价之外，还将考虑以下因素：</w:t>
      </w:r>
    </w:p>
    <w:p w14:paraId="1C913C0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①投标文件的响应状况（包括是否参照招标文件要求制作）；</w:t>
      </w:r>
    </w:p>
    <w:p w14:paraId="72DF809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②招标文件规定的其它评审因素。</w:t>
      </w:r>
    </w:p>
    <w:p w14:paraId="29F3177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12E79A1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E0B3673">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27.出现下列情形之一的，应予废标</w:t>
      </w:r>
      <w:bookmarkEnd w:id="60"/>
      <w:r>
        <w:rPr>
          <w:rFonts w:hint="eastAsia" w:ascii="宋体" w:hAnsi="宋体" w:eastAsia="宋体" w:cs="宋体"/>
          <w:b/>
          <w:color w:val="000000" w:themeColor="text1"/>
          <w:sz w:val="28"/>
          <w:szCs w:val="28"/>
          <w:highlight w:val="none"/>
          <w14:textFill>
            <w14:solidFill>
              <w14:schemeClr w14:val="tx1"/>
            </w14:solidFill>
          </w14:textFill>
        </w:rPr>
        <w:t>：</w:t>
      </w:r>
    </w:p>
    <w:p w14:paraId="517D270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（1）合格的投标人或参加投标的企业不足三家的；</w:t>
      </w:r>
    </w:p>
    <w:p w14:paraId="391C3E3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61" w:name="_Hlk154668298"/>
      <w:r>
        <w:rPr>
          <w:rFonts w:hint="eastAsia" w:ascii="宋体" w:hAnsi="宋体" w:eastAsia="宋体" w:cs="宋体"/>
          <w:color w:val="000000" w:themeColor="text1"/>
          <w:sz w:val="28"/>
          <w:szCs w:val="28"/>
          <w:highlight w:val="none"/>
          <w14:textFill>
            <w14:solidFill>
              <w14:schemeClr w14:val="tx1"/>
            </w14:solidFill>
          </w14:textFill>
        </w:rPr>
        <w:t>（2）出现影响招标公正的违法、违规行为的；</w:t>
      </w:r>
    </w:p>
    <w:p w14:paraId="21D0112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（3）投标报价</w:t>
      </w:r>
      <w:r>
        <w:rPr>
          <w:rFonts w:hint="eastAsia" w:ascii="宋体" w:hAnsi="宋体" w:eastAsia="宋体" w:cs="宋体"/>
          <w:color w:val="000000" w:themeColor="text1"/>
          <w:sz w:val="28"/>
          <w:szCs w:val="28"/>
          <w:highlight w:val="none"/>
          <w:lang w:val="en-US" w:eastAsia="zh-CN"/>
          <w14:textFill>
            <w14:solidFill>
              <w14:schemeClr w14:val="tx1"/>
            </w14:solidFill>
          </w14:textFill>
        </w:rPr>
        <w:t>高于</w:t>
      </w:r>
      <w:r>
        <w:rPr>
          <w:rFonts w:hint="eastAsia" w:ascii="宋体" w:hAnsi="宋体" w:eastAsia="宋体" w:cs="宋体"/>
          <w:color w:val="000000" w:themeColor="text1"/>
          <w:sz w:val="28"/>
          <w:szCs w:val="28"/>
          <w:highlight w:val="none"/>
          <w14:textFill>
            <w14:solidFill>
              <w14:schemeClr w14:val="tx1"/>
            </w14:solidFill>
          </w14:textFill>
        </w:rPr>
        <w:t>招标文件中规定的</w:t>
      </w:r>
      <w:r>
        <w:rPr>
          <w:rFonts w:hint="eastAsia" w:ascii="宋体" w:hAnsi="宋体" w:eastAsia="宋体" w:cs="宋体"/>
          <w:color w:val="000000" w:themeColor="text1"/>
          <w:sz w:val="28"/>
          <w:szCs w:val="28"/>
          <w:highlight w:val="none"/>
          <w:lang w:eastAsia="zh-CN"/>
          <w14:textFill>
            <w14:solidFill>
              <w14:schemeClr w14:val="tx1"/>
            </w14:solidFill>
          </w14:textFill>
        </w:rPr>
        <w:t>控制价</w:t>
      </w:r>
      <w:r>
        <w:rPr>
          <w:rFonts w:hint="eastAsia" w:ascii="宋体" w:hAnsi="宋体" w:eastAsia="宋体" w:cs="宋体"/>
          <w:color w:val="000000" w:themeColor="text1"/>
          <w:sz w:val="28"/>
          <w:szCs w:val="28"/>
          <w:highlight w:val="none"/>
          <w14:textFill>
            <w14:solidFill>
              <w14:schemeClr w14:val="tx1"/>
            </w14:solidFill>
          </w14:textFill>
        </w:rPr>
        <w:t>，招标人不能支付的；</w:t>
      </w:r>
    </w:p>
    <w:p w14:paraId="2769B35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（4）因重大变故，招标任务取消的</w:t>
      </w:r>
      <w:bookmarkEnd w:id="61"/>
      <w:r>
        <w:rPr>
          <w:rFonts w:hint="eastAsia" w:ascii="宋体" w:hAnsi="宋体" w:eastAsia="宋体" w:cs="宋体"/>
          <w:color w:val="000000" w:themeColor="text1"/>
          <w:sz w:val="28"/>
          <w:szCs w:val="28"/>
          <w:highlight w:val="none"/>
          <w14:textFill>
            <w14:solidFill>
              <w14:schemeClr w14:val="tx1"/>
            </w14:solidFill>
          </w14:textFill>
        </w:rPr>
        <w:t>。</w:t>
      </w:r>
    </w:p>
    <w:p w14:paraId="13D1F256">
      <w:pPr>
        <w:pStyle w:val="46"/>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t>（5）法律法规规定的其他情况。</w:t>
      </w:r>
    </w:p>
    <w:p w14:paraId="5B416A2B">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62" w:name="_Toc66864047"/>
      <w:bookmarkStart w:id="63" w:name="_Toc11797"/>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六、定标</w:t>
      </w:r>
      <w:bookmarkEnd w:id="62"/>
      <w:bookmarkEnd w:id="63"/>
    </w:p>
    <w:p w14:paraId="5ABADA4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64" w:name="_Hlk154668311"/>
      <w:r>
        <w:rPr>
          <w:rFonts w:hint="eastAsia" w:ascii="宋体" w:hAnsi="宋体" w:eastAsia="宋体" w:cs="宋体"/>
          <w:b/>
          <w:color w:val="000000" w:themeColor="text1"/>
          <w:sz w:val="28"/>
          <w:szCs w:val="28"/>
          <w:highlight w:val="none"/>
          <w14:textFill>
            <w14:solidFill>
              <w14:schemeClr w14:val="tx1"/>
            </w14:solidFill>
          </w14:textFill>
        </w:rPr>
        <w:t>28.确定中标候选人</w:t>
      </w:r>
    </w:p>
    <w:p w14:paraId="1D22874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64"/>
      <w:r>
        <w:rPr>
          <w:rFonts w:hint="eastAsia" w:ascii="宋体" w:hAnsi="宋体" w:eastAsia="宋体" w:cs="宋体"/>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4BDC8C0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65" w:name="_Hlk154668326"/>
      <w:r>
        <w:rPr>
          <w:rFonts w:hint="eastAsia" w:ascii="宋体" w:hAnsi="宋体" w:eastAsia="宋体" w:cs="宋体"/>
          <w:color w:val="000000" w:themeColor="text1"/>
          <w:sz w:val="28"/>
          <w:szCs w:val="28"/>
          <w:highlight w:val="none"/>
          <w14:textFill>
            <w14:solidFill>
              <w14:schemeClr w14:val="tx1"/>
            </w14:solidFill>
          </w14:textFill>
        </w:rPr>
        <w:t>28.2评委会所有成员应当在评标报告上签字确认，评标报告的主要内容包括：</w:t>
      </w:r>
    </w:p>
    <w:p w14:paraId="5667925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（1）招标公告刊登的媒介名称、开标日期和地点；</w:t>
      </w:r>
    </w:p>
    <w:p w14:paraId="6B79BE3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（2）投标人名单和评标委员会成员名单；</w:t>
      </w:r>
    </w:p>
    <w:p w14:paraId="4CABAF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（3）评标方法和评标标准；</w:t>
      </w:r>
    </w:p>
    <w:p w14:paraId="5AA7579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（4）开标记录和评标情况及说明，包括投标无效投标人名单及原因；</w:t>
      </w:r>
    </w:p>
    <w:p w14:paraId="372E7D7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（5）评标结果，确定的中标候选人名单或者经招标人委托直接确定的中标人；</w:t>
      </w:r>
    </w:p>
    <w:p w14:paraId="00F9B00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65"/>
      <w:r>
        <w:rPr>
          <w:rFonts w:hint="eastAsia" w:ascii="宋体" w:hAnsi="宋体" w:eastAsia="宋体" w:cs="宋体"/>
          <w:color w:val="000000" w:themeColor="text1"/>
          <w:sz w:val="28"/>
          <w:szCs w:val="28"/>
          <w:highlight w:val="none"/>
          <w14:textFill>
            <w14:solidFill>
              <w14:schemeClr w14:val="tx1"/>
            </w14:solidFill>
          </w14:textFill>
        </w:rPr>
        <w:t>。</w:t>
      </w:r>
    </w:p>
    <w:p w14:paraId="044BCC33">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29.确定中标人</w:t>
      </w:r>
    </w:p>
    <w:p w14:paraId="09086557">
      <w:pPr>
        <w:pageBreakBefore w:val="0"/>
        <w:kinsoku/>
        <w:overflowPunct/>
        <w:topLinePunct w:val="0"/>
        <w:bidi w:val="0"/>
        <w:adjustRightInd/>
        <w:snapToGrid/>
        <w:spacing w:line="360" w:lineRule="auto"/>
        <w:ind w:firstLine="562"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招标人可委托评标委员会直接定标，确定排名</w:t>
      </w:r>
      <w:r>
        <w:rPr>
          <w:rFonts w:hint="eastAsia" w:ascii="宋体" w:hAnsi="宋体" w:eastAsia="宋体" w:cs="宋体"/>
          <w:color w:val="000000" w:themeColor="text1"/>
          <w:sz w:val="28"/>
          <w:szCs w:val="28"/>
          <w:highlight w:val="none"/>
          <w:lang w:val="en-US" w:eastAsia="zh-CN"/>
          <w14:textFill>
            <w14:solidFill>
              <w14:schemeClr w14:val="tx1"/>
            </w14:solidFill>
          </w14:textFill>
        </w:rPr>
        <w:t>靠</w:t>
      </w:r>
      <w:r>
        <w:rPr>
          <w:rFonts w:hint="eastAsia" w:ascii="宋体" w:hAnsi="宋体" w:eastAsia="宋体" w:cs="宋体"/>
          <w:color w:val="000000" w:themeColor="text1"/>
          <w:sz w:val="28"/>
          <w:szCs w:val="28"/>
          <w:highlight w:val="none"/>
          <w14:textFill>
            <w14:solidFill>
              <w14:schemeClr w14:val="tx1"/>
            </w14:solidFill>
          </w14:textFill>
        </w:rPr>
        <w:t>前的投标人为中标人；也可以自主定标。自主定标的，招标人应当在收到评审报告后3个工作日内确定中标人，招标人逾期未确定中标人且不提出异议的，视为确定评审报告提出的排序</w:t>
      </w:r>
      <w:r>
        <w:rPr>
          <w:rFonts w:hint="eastAsia" w:ascii="宋体" w:hAnsi="宋体" w:eastAsia="宋体" w:cs="宋体"/>
          <w:color w:val="000000" w:themeColor="text1"/>
          <w:sz w:val="28"/>
          <w:szCs w:val="28"/>
          <w:highlight w:val="none"/>
          <w:lang w:val="en-US" w:eastAsia="zh-CN"/>
          <w14:textFill>
            <w14:solidFill>
              <w14:schemeClr w14:val="tx1"/>
            </w14:solidFill>
          </w14:textFill>
        </w:rPr>
        <w:t>靠</w:t>
      </w:r>
      <w:r>
        <w:rPr>
          <w:rFonts w:hint="eastAsia" w:ascii="宋体" w:hAnsi="宋体" w:eastAsia="宋体" w:cs="宋体"/>
          <w:color w:val="000000" w:themeColor="text1"/>
          <w:sz w:val="28"/>
          <w:szCs w:val="28"/>
          <w:highlight w:val="none"/>
          <w14:textFill>
            <w14:solidFill>
              <w14:schemeClr w14:val="tx1"/>
            </w14:solidFill>
          </w14:textFill>
        </w:rPr>
        <w:t>前的投标人为中标人。</w:t>
      </w:r>
    </w:p>
    <w:p w14:paraId="0FF7731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6B13CAA7">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66" w:name="_Toc66864048"/>
      <w:bookmarkStart w:id="67" w:name="_Toc11630"/>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七、结果</w:t>
      </w:r>
      <w:bookmarkEnd w:id="66"/>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公</w:t>
      </w:r>
      <w:bookmarkEnd w:id="67"/>
      <w:r>
        <w:rPr>
          <w:rStyle w:val="431"/>
          <w:rFonts w:hint="eastAsia" w:ascii="宋体" w:hAnsi="宋体" w:eastAsia="宋体" w:cs="宋体"/>
          <w:b/>
          <w:bCs/>
          <w:color w:val="000000" w:themeColor="text1"/>
          <w:kern w:val="2"/>
          <w:sz w:val="28"/>
          <w:szCs w:val="32"/>
          <w:highlight w:val="none"/>
          <w:lang w:val="en-US"/>
          <w14:textFill>
            <w14:solidFill>
              <w14:schemeClr w14:val="tx1"/>
            </w14:solidFill>
          </w14:textFill>
        </w:rPr>
        <w:t>告</w:t>
      </w:r>
    </w:p>
    <w:p w14:paraId="32F0F9E9">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30.</w:t>
      </w:r>
      <w:r>
        <w:rPr>
          <w:rStyle w:val="431"/>
          <w:rFonts w:hint="eastAsia" w:ascii="宋体" w:hAnsi="宋体" w:eastAsia="宋体" w:cs="宋体"/>
          <w:b/>
          <w:bCs/>
          <w:color w:val="000000" w:themeColor="text1"/>
          <w:kern w:val="2"/>
          <w:sz w:val="28"/>
          <w:szCs w:val="32"/>
          <w:highlight w:val="none"/>
          <w14:textFill>
            <w14:solidFill>
              <w14:schemeClr w14:val="tx1"/>
            </w14:solidFill>
          </w14:textFill>
        </w:rPr>
        <w:t>结果公</w:t>
      </w:r>
      <w:r>
        <w:rPr>
          <w:rStyle w:val="431"/>
          <w:rFonts w:hint="eastAsia" w:ascii="宋体" w:hAnsi="宋体" w:eastAsia="宋体" w:cs="宋体"/>
          <w:b/>
          <w:bCs/>
          <w:color w:val="000000" w:themeColor="text1"/>
          <w:kern w:val="2"/>
          <w:sz w:val="28"/>
          <w:szCs w:val="32"/>
          <w:highlight w:val="none"/>
          <w:lang w:val="en-US"/>
          <w14:textFill>
            <w14:solidFill>
              <w14:schemeClr w14:val="tx1"/>
            </w14:solidFill>
          </w14:textFill>
        </w:rPr>
        <w:t>告</w:t>
      </w:r>
    </w:p>
    <w:p w14:paraId="6B130A2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招标人应当自定标结束后在招标公告发布媒介发布中标公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期限为</w:t>
      </w:r>
      <w:r>
        <w:rPr>
          <w:rFonts w:hint="eastAsia" w:ascii="宋体" w:hAnsi="宋体" w:eastAsia="宋体" w:cs="宋体"/>
          <w:color w:val="000000" w:themeColor="text1"/>
          <w:sz w:val="28"/>
          <w:szCs w:val="28"/>
          <w:highlight w:val="none"/>
          <w:lang w:val="en-US" w:eastAsia="zh-CN"/>
          <w14:textFill>
            <w14:solidFill>
              <w14:schemeClr w14:val="tx1"/>
            </w14:solidFill>
          </w14:textFill>
        </w:rPr>
        <w:t>1个工作</w:t>
      </w:r>
      <w:r>
        <w:rPr>
          <w:rFonts w:hint="eastAsia" w:ascii="宋体" w:hAnsi="宋体" w:eastAsia="宋体" w:cs="宋体"/>
          <w:color w:val="000000" w:themeColor="text1"/>
          <w:sz w:val="28"/>
          <w:szCs w:val="28"/>
          <w:highlight w:val="none"/>
          <w14:textFill>
            <w14:solidFill>
              <w14:schemeClr w14:val="tx1"/>
            </w14:solidFill>
          </w14:textFill>
        </w:rPr>
        <w:t>日。中标公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应当包括下列内容：</w:t>
      </w:r>
    </w:p>
    <w:p w14:paraId="23E184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（1）招标人、代理机构的名称、地址和联系方式；</w:t>
      </w:r>
    </w:p>
    <w:p w14:paraId="681D9D8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（2）项目名称和招标编号；</w:t>
      </w:r>
    </w:p>
    <w:p w14:paraId="63AFEE5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（3）中标人名称和中标金额。</w:t>
      </w:r>
    </w:p>
    <w:p w14:paraId="7315E333">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31.签发中标通知书</w:t>
      </w:r>
    </w:p>
    <w:p w14:paraId="3AC61B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结束且无尚未处理的异议后，招标人和代理机构联合向中标人发出中标通知书。</w:t>
      </w:r>
    </w:p>
    <w:p w14:paraId="40697F77">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68" w:name="_Toc66864049"/>
      <w:bookmarkStart w:id="69" w:name="_Toc8065"/>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八、质疑</w:t>
      </w:r>
      <w:bookmarkEnd w:id="68"/>
      <w:bookmarkEnd w:id="69"/>
    </w:p>
    <w:p w14:paraId="566BED3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32.质疑</w:t>
      </w:r>
    </w:p>
    <w:p w14:paraId="00D793C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07E1B4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投标人应按照下列规定进行质疑：</w:t>
      </w:r>
    </w:p>
    <w:p w14:paraId="6641983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32.2提出质疑的投标人应当是参与本项目招标活动的投标人。</w:t>
      </w:r>
    </w:p>
    <w:p w14:paraId="153C052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32.3投标人应在法定质疑期内一次性提出针对同一采购程序环节的质疑。</w:t>
      </w:r>
    </w:p>
    <w:p w14:paraId="317B6C7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32.4质疑采用实名制，为了使提出的质疑事项在规定时间内得到有效答复、处理，提交的质疑函务必提供以下内容。</w:t>
      </w:r>
    </w:p>
    <w:p w14:paraId="75EA682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（1）投标人的姓名或名称、地址（邮箱）、邮编、联系人及联系电话；</w:t>
      </w:r>
    </w:p>
    <w:p w14:paraId="64ECD14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（2）质疑项目的名称、编号；</w:t>
      </w:r>
    </w:p>
    <w:p w14:paraId="5F49BB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（3）具体、明确的质疑事项和与质疑事项相关的请求；</w:t>
      </w:r>
    </w:p>
    <w:p w14:paraId="646FFF1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（4）事实依据；</w:t>
      </w:r>
    </w:p>
    <w:p w14:paraId="76645F1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（5）必要的法律依据；</w:t>
      </w:r>
    </w:p>
    <w:p w14:paraId="5B42B66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（6）提出质疑的日期。</w:t>
      </w:r>
    </w:p>
    <w:p w14:paraId="1F6919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投标人为法人或者其他组织的，应当由法定代表人、单位负责人，或者其被授权人签字或者盖章，并加盖公章。</w:t>
      </w:r>
    </w:p>
    <w:p w14:paraId="6DC4BC0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32.5招标人或招标代理机构正式受理后方可生效。否则，为无效质疑。</w:t>
      </w:r>
    </w:p>
    <w:p w14:paraId="5B439AD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32.6有下列情况之一的质疑不予受理：</w:t>
      </w:r>
    </w:p>
    <w:p w14:paraId="2A89CD9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（1）无质疑函件或质疑函件缺少投标人法人印章、投标人法定代表人签字、有效授权书和联系方式之一的质疑；</w:t>
      </w:r>
    </w:p>
    <w:p w14:paraId="108881A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（2）质疑函件无实质性内容或佐证文件资料，主观臆断及推理得出结论的质疑；</w:t>
      </w:r>
    </w:p>
    <w:p w14:paraId="53BF961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（3）相应证明材料不真实或来源不合法的质疑；</w:t>
      </w:r>
    </w:p>
    <w:p w14:paraId="28C3456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（4）未按规定时间或超过公示期限提出的质疑；</w:t>
      </w:r>
    </w:p>
    <w:p w14:paraId="32B8609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32.7对捏造事实，提供虚假材料或者以非法手段取得证明材料进行恶意质疑的，一经查实，将列入平台黑名单。</w:t>
      </w:r>
    </w:p>
    <w:p w14:paraId="436918A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32.8仲裁或起诉</w:t>
      </w:r>
    </w:p>
    <w:p w14:paraId="3AE5F13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投标人对答复不满意，或者招标人、招标代理机构未在规定的时间内做出书面答复的，投标人可以在答复期满后向招标人所在地仲裁机构、人民法院申请仲裁或起诉。</w:t>
      </w:r>
    </w:p>
    <w:p w14:paraId="43A8BD90">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0" w:name="_Toc66864050"/>
      <w:bookmarkStart w:id="71" w:name="_Toc25567"/>
      <w:r>
        <w:rPr>
          <w:rStyle w:val="431"/>
          <w:rFonts w:hint="eastAsia" w:ascii="宋体" w:hAnsi="宋体" w:eastAsia="宋体" w:cs="宋体"/>
          <w:b/>
          <w:bCs/>
          <w:color w:val="000000" w:themeColor="text1"/>
          <w:kern w:val="2"/>
          <w:sz w:val="28"/>
          <w:szCs w:val="32"/>
          <w:highlight w:val="none"/>
          <w14:textFill>
            <w14:solidFill>
              <w14:schemeClr w14:val="tx1"/>
            </w14:solidFill>
          </w14:textFill>
        </w:rPr>
        <w:t>九、签订合同</w:t>
      </w:r>
      <w:bookmarkEnd w:id="70"/>
      <w:bookmarkEnd w:id="71"/>
    </w:p>
    <w:p w14:paraId="32556A3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中标通知书发出之日起30日内，按招标文件、中标人的投标文件签订采购合同。</w:t>
      </w:r>
    </w:p>
    <w:p w14:paraId="61907ED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02A85448">
      <w:pPr>
        <w:pStyle w:val="2"/>
        <w:pageBreakBefore w:val="0"/>
        <w:kinsoku/>
        <w:overflowPunct/>
        <w:topLinePunct w:val="0"/>
        <w:bidi w:val="0"/>
        <w:adjustRightInd/>
        <w:snapToGrid/>
        <w:rPr>
          <w:rFonts w:hint="eastAsia" w:ascii="宋体" w:hAnsi="宋体" w:eastAsia="宋体" w:cs="宋体"/>
          <w:highlight w:val="none"/>
        </w:rPr>
      </w:pPr>
    </w:p>
    <w:p w14:paraId="245F93E1">
      <w:pPr>
        <w:pStyle w:val="2"/>
        <w:pageBreakBefore w:val="0"/>
        <w:kinsoku/>
        <w:overflowPunct/>
        <w:topLinePunct w:val="0"/>
        <w:bidi w:val="0"/>
        <w:adjustRightInd/>
        <w:snapToGrid/>
        <w:rPr>
          <w:rFonts w:hint="eastAsia" w:ascii="宋体" w:hAnsi="宋体" w:eastAsia="宋体" w:cs="宋体"/>
          <w:highlight w:val="none"/>
        </w:rPr>
      </w:pPr>
    </w:p>
    <w:bookmarkEnd w:id="13"/>
    <w:bookmarkEnd w:id="14"/>
    <w:bookmarkEnd w:id="15"/>
    <w:p w14:paraId="62C59272">
      <w:pPr>
        <w:rPr>
          <w:rFonts w:hint="eastAsia" w:ascii="宋体" w:hAnsi="宋体" w:eastAsia="宋体" w:cs="宋体"/>
          <w:color w:val="000000" w:themeColor="text1"/>
          <w:highlight w:val="none"/>
          <w14:textFill>
            <w14:solidFill>
              <w14:schemeClr w14:val="tx1"/>
            </w14:solidFill>
          </w14:textFill>
        </w:rPr>
      </w:pPr>
      <w:bookmarkStart w:id="72" w:name="_Toc66864053"/>
      <w:bookmarkStart w:id="73" w:name="_Toc17971"/>
      <w:bookmarkStart w:id="74" w:name="_Toc413596397"/>
      <w:bookmarkStart w:id="75" w:name="_Toc266431156"/>
      <w:bookmarkStart w:id="76" w:name="_Toc382129915"/>
      <w:r>
        <w:rPr>
          <w:rFonts w:hint="eastAsia" w:ascii="宋体" w:hAnsi="宋体" w:eastAsia="宋体" w:cs="宋体"/>
          <w:color w:val="000000" w:themeColor="text1"/>
          <w:highlight w:val="none"/>
          <w14:textFill>
            <w14:solidFill>
              <w14:schemeClr w14:val="tx1"/>
            </w14:solidFill>
          </w14:textFill>
        </w:rPr>
        <w:br w:type="page"/>
      </w:r>
    </w:p>
    <w:p w14:paraId="5FA0B5D9">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第三章  </w:t>
      </w:r>
      <w:bookmarkEnd w:id="72"/>
      <w:r>
        <w:rPr>
          <w:rFonts w:hint="eastAsia" w:ascii="宋体" w:hAnsi="宋体" w:eastAsia="宋体" w:cs="宋体"/>
          <w:color w:val="000000" w:themeColor="text1"/>
          <w:highlight w:val="none"/>
          <w14:textFill>
            <w14:solidFill>
              <w14:schemeClr w14:val="tx1"/>
            </w14:solidFill>
          </w14:textFill>
        </w:rPr>
        <w:t>开标、评标、定标</w:t>
      </w:r>
      <w:bookmarkEnd w:id="73"/>
    </w:p>
    <w:p w14:paraId="4749B21F">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7" w:name="_Toc21341"/>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一、开标</w:t>
      </w:r>
      <w:bookmarkEnd w:id="77"/>
    </w:p>
    <w:p w14:paraId="06D1A76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1.招标代理机构在招标公告规定的时间和地点组织开标。投标截止时间结束后，投标人不足3家的不得开标。</w:t>
      </w:r>
    </w:p>
    <w:p w14:paraId="4E2171B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2.开标前准备：投标人需提前准备已配置好环境的电脑，在规定的时间进行远程开标的各项操作。</w:t>
      </w:r>
    </w:p>
    <w:p w14:paraId="23F04C2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3.开标程序：签到-开标-解密-唱标，具体详见“第二章 投标须知”。</w:t>
      </w:r>
    </w:p>
    <w:p w14:paraId="5D65CD6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（1）投标人代表应在签到表格相应位置上加盖CA锁中的法定代表人电子人名章或公章以证明其出席，在开标时间前未完成签到的将会被视作认同开标结果。</w:t>
      </w:r>
    </w:p>
    <w:p w14:paraId="7B05F4F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（2）投标须知前附表规定了文件解密时间，投标人输入密码错误（5次输入机会）、未能按时完成解密、其《数据文件》填写、盖章不规范等导致系统无法解析的，将会被视为无效投标。</w:t>
      </w:r>
    </w:p>
    <w:p w14:paraId="0B04C04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116A08E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F550BF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4.应急开标程序：如需启动应急开标程序，应按第二章投标须知第22.11-22.13内容进行。</w:t>
      </w:r>
    </w:p>
    <w:p w14:paraId="1A45941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5.录音、录像：威海市公共资源交易中心负责从提交投标文件开始到确定中标结果全过程的录音、录像工作，确保声音清楚、图像清晰、内容无遗漏。</w:t>
      </w:r>
    </w:p>
    <w:p w14:paraId="4213D28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6.评审过程中，如遇特殊情况，服从威海市公共资源交易中心场地调配，并遵守相关规章制度。</w:t>
      </w:r>
    </w:p>
    <w:p w14:paraId="7439C19C">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8" w:name="_Toc2076"/>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二、评标</w:t>
      </w:r>
      <w:bookmarkEnd w:id="78"/>
    </w:p>
    <w:p w14:paraId="0B082F7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1.评标原则</w:t>
      </w:r>
    </w:p>
    <w:p w14:paraId="66B50D6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0570084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（1）客观性原则：评标委员会将严格按照招标文件的要求，对投标人的投标文件进行认真评审，评标委员会对投标文件的评审仅依据投标文件本身，而不依靠投标文件以外的任何因素。 </w:t>
      </w:r>
    </w:p>
    <w:p w14:paraId="2FE0F0E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（2）统一性原则：评标委员会将按照统一的评标原则和评标方法，采用统一标准进行评标。</w:t>
      </w:r>
    </w:p>
    <w:p w14:paraId="43A41F5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（3）独立性原则：评标工作在评标委员会内部独立进行，不受外界任何因素的干扰和影响。</w:t>
      </w:r>
    </w:p>
    <w:p w14:paraId="5898C7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（4）保密性原则：评标委员会及熟知情况的有关工作人员必须对每位评委的评标意见和投标人的商业秘密严格保密，不得外泄。</w:t>
      </w:r>
    </w:p>
    <w:p w14:paraId="6A82AD8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（5）综合性原则：评标委员会将综合分析、评审投标人的各项指标，而不以单项指标的优劣评定出中标人。</w:t>
      </w:r>
    </w:p>
    <w:p w14:paraId="13834EC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2.评标程序</w:t>
      </w:r>
    </w:p>
    <w:p w14:paraId="697F006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1"/>
          <w:highlight w:val="none"/>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1）核对评审专家身份、招标人代表授权书；</w:t>
      </w:r>
    </w:p>
    <w:p w14:paraId="1200D89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（2）宣布评标纪律；</w:t>
      </w:r>
    </w:p>
    <w:p w14:paraId="6A5264E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（3）公布投标人名单，告知评审专家应当回避的情形；</w:t>
      </w:r>
    </w:p>
    <w:p w14:paraId="2545B32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（4）组织评标委员会推选评标组长，招标人代表不得担任评标组长；</w:t>
      </w:r>
    </w:p>
    <w:p w14:paraId="02B30FB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（5）开标结束后，评标委员会对投标人的投标文件进行资格性和符合性审查，以确定其是否满足招标文件的实质性要求。详见第二章《投标须知前附表》-《实质性条款一览表》中资格性和符合性审查条款。</w:t>
      </w:r>
    </w:p>
    <w:p w14:paraId="135273C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D5184DA">
      <w:pPr>
        <w:pageBreakBefore w:val="0"/>
        <w:kinsoku/>
        <w:overflowPunct/>
        <w:topLinePunct w:val="0"/>
        <w:bidi w:val="0"/>
        <w:adjustRightInd/>
        <w:snapToGrid/>
        <w:spacing w:line="360" w:lineRule="auto"/>
        <w:ind w:firstLine="562" w:firstLineChars="200"/>
        <w:rPr>
          <w:rFonts w:hint="eastAsia" w:ascii="宋体" w:hAnsi="宋体" w:eastAsia="宋体" w:cs="宋体"/>
          <w:b/>
          <w:bCs/>
          <w:color w:val="000000" w:themeColor="text1"/>
          <w:sz w:val="28"/>
          <w:szCs w:val="21"/>
          <w:highlight w:val="none"/>
          <w14:textFill>
            <w14:solidFill>
              <w14:schemeClr w14:val="tx1"/>
            </w14:solidFill>
          </w14:textFill>
        </w:rPr>
      </w:pPr>
      <w:r>
        <w:rPr>
          <w:rFonts w:hint="eastAsia" w:ascii="宋体" w:hAnsi="宋体" w:eastAsia="宋体" w:cs="宋体"/>
          <w:b/>
          <w:bCs/>
          <w:color w:val="000000" w:themeColor="text1"/>
          <w:sz w:val="28"/>
          <w:szCs w:val="21"/>
          <w:highlight w:val="none"/>
          <w14:textFill>
            <w14:solidFill>
              <w14:schemeClr w14:val="tx1"/>
            </w14:solidFill>
          </w14:textFill>
        </w:rPr>
        <w:t>（7）澄清、说明或者补正</w:t>
      </w:r>
    </w:p>
    <w:p w14:paraId="386A942E">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对有效投标文件中含义不明确、同类问题前后表述不一致或者有明显文字和计算错误的内容，评标委员会可以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07AB14A">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2）投标人依据评审要求进行澄清、说明或者补正的内容构成投标文件的组成部分。</w:t>
      </w:r>
    </w:p>
    <w:p w14:paraId="23850B71">
      <w:pPr>
        <w:pageBreakBefore w:val="0"/>
        <w:kinsoku/>
        <w:overflowPunct/>
        <w:topLinePunct w:val="0"/>
        <w:bidi w:val="0"/>
        <w:adjustRightInd/>
        <w:snapToGrid/>
        <w:spacing w:line="360" w:lineRule="auto"/>
        <w:ind w:firstLine="562" w:firstLineChars="200"/>
        <w:rPr>
          <w:rFonts w:hint="eastAsia" w:ascii="宋体" w:hAnsi="宋体" w:eastAsia="宋体" w:cs="宋体"/>
          <w:b/>
          <w:bCs/>
          <w:color w:val="000000" w:themeColor="text1"/>
          <w:sz w:val="28"/>
          <w:szCs w:val="21"/>
          <w:highlight w:val="none"/>
          <w14:textFill>
            <w14:solidFill>
              <w14:schemeClr w14:val="tx1"/>
            </w14:solidFill>
          </w14:textFill>
        </w:rPr>
      </w:pPr>
      <w:r>
        <w:rPr>
          <w:rFonts w:hint="eastAsia" w:ascii="宋体" w:hAnsi="宋体" w:eastAsia="宋体" w:cs="宋体"/>
          <w:b/>
          <w:bCs/>
          <w:color w:val="000000" w:themeColor="text1"/>
          <w:sz w:val="28"/>
          <w:szCs w:val="21"/>
          <w:highlight w:val="none"/>
          <w14:textFill>
            <w14:solidFill>
              <w14:schemeClr w14:val="tx1"/>
            </w14:solidFill>
          </w14:textFill>
        </w:rPr>
        <w:t>（8）比较与评价</w:t>
      </w:r>
    </w:p>
    <w:p w14:paraId="04ABD4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p>
    <w:p w14:paraId="5E6968B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（9）出现下列情形之一的，应予废标：</w:t>
      </w:r>
    </w:p>
    <w:p w14:paraId="40C2E4FA">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1）合格的投标人或参加投标的企业不足三家的；</w:t>
      </w:r>
    </w:p>
    <w:p w14:paraId="3CF692F8">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2）出现影响招标公正的违法、违规行为的；</w:t>
      </w:r>
    </w:p>
    <w:p w14:paraId="7093B716">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3）投标报价</w:t>
      </w:r>
      <w:r>
        <w:rPr>
          <w:rFonts w:hint="eastAsia" w:ascii="宋体" w:hAnsi="宋体" w:eastAsia="宋体" w:cs="宋体"/>
          <w:color w:val="000000" w:themeColor="text1"/>
          <w:sz w:val="28"/>
          <w:szCs w:val="28"/>
          <w:highlight w:val="none"/>
          <w:lang w:val="en-US" w:eastAsia="zh-CN"/>
          <w14:textFill>
            <w14:solidFill>
              <w14:schemeClr w14:val="tx1"/>
            </w14:solidFill>
          </w14:textFill>
        </w:rPr>
        <w:t>高于</w:t>
      </w:r>
      <w:r>
        <w:rPr>
          <w:rFonts w:hint="eastAsia" w:ascii="宋体" w:hAnsi="宋体" w:eastAsia="宋体" w:cs="宋体"/>
          <w:color w:val="000000" w:themeColor="text1"/>
          <w:sz w:val="28"/>
          <w:szCs w:val="28"/>
          <w:highlight w:val="none"/>
          <w14:textFill>
            <w14:solidFill>
              <w14:schemeClr w14:val="tx1"/>
            </w14:solidFill>
          </w14:textFill>
        </w:rPr>
        <w:t>招标文件中规定的</w:t>
      </w:r>
      <w:r>
        <w:rPr>
          <w:rFonts w:hint="eastAsia" w:ascii="宋体" w:hAnsi="宋体" w:eastAsia="宋体" w:cs="宋体"/>
          <w:color w:val="000000" w:themeColor="text1"/>
          <w:sz w:val="28"/>
          <w:szCs w:val="28"/>
          <w:highlight w:val="none"/>
          <w:lang w:eastAsia="zh-CN"/>
          <w14:textFill>
            <w14:solidFill>
              <w14:schemeClr w14:val="tx1"/>
            </w14:solidFill>
          </w14:textFill>
        </w:rPr>
        <w:t>控制价</w:t>
      </w:r>
      <w:r>
        <w:rPr>
          <w:rFonts w:hint="eastAsia" w:ascii="宋体" w:hAnsi="宋体" w:eastAsia="宋体" w:cs="宋体"/>
          <w:color w:val="000000" w:themeColor="text1"/>
          <w:sz w:val="28"/>
          <w:szCs w:val="28"/>
          <w:highlight w:val="none"/>
          <w14:textFill>
            <w14:solidFill>
              <w14:schemeClr w14:val="tx1"/>
            </w14:solidFill>
          </w14:textFill>
        </w:rPr>
        <w:t>，招标人不能支付的；</w:t>
      </w:r>
    </w:p>
    <w:p w14:paraId="08E66435">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4）因重大变故，招标任务取消的。</w:t>
      </w:r>
    </w:p>
    <w:p w14:paraId="1181F50C">
      <w:pPr>
        <w:pStyle w:val="46"/>
        <w:keepNext w:val="0"/>
        <w:keepLines w:val="0"/>
        <w:pageBreakBefore w:val="0"/>
        <w:widowControl/>
        <w:kinsoku/>
        <w:wordWrap/>
        <w:overflowPunct/>
        <w:topLinePunct w:val="0"/>
        <w:autoSpaceDE/>
        <w:autoSpaceDN/>
        <w:bidi w:val="0"/>
        <w:adjustRightInd/>
        <w:snapToGrid/>
        <w:ind w:firstLine="700" w:firstLineChars="250"/>
        <w:textAlignment w:val="auto"/>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t>5）法律法规规定的其他情况。</w:t>
      </w:r>
    </w:p>
    <w:p w14:paraId="55271720">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3.评标方法：</w:t>
      </w:r>
    </w:p>
    <w:p w14:paraId="64657ACE">
      <w:pPr>
        <w:pageBreakBefore w:val="0"/>
        <w:kinsoku/>
        <w:overflowPunct/>
        <w:topLinePunct w:val="0"/>
        <w:bidi w:val="0"/>
        <w:adjustRightInd/>
        <w:snapToGrid/>
        <w:spacing w:line="360" w:lineRule="auto"/>
        <w:ind w:firstLine="562"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4E1B1B55">
      <w:pPr>
        <w:pageBreakBefore w:val="0"/>
        <w:kinsoku/>
        <w:overflowPunct/>
        <w:topLinePunct w:val="0"/>
        <w:bidi w:val="0"/>
        <w:adjustRightInd/>
        <w:snapToGrid/>
        <w:spacing w:line="520" w:lineRule="exact"/>
        <w:ind w:firstLine="560" w:firstLineChars="200"/>
        <w:rPr>
          <w:rFonts w:hint="eastAsia" w:ascii="宋体" w:hAnsi="宋体" w:eastAsia="宋体" w:cs="宋体"/>
          <w:color w:val="000000" w:themeColor="text1"/>
          <w:sz w:val="28"/>
          <w:szCs w:val="21"/>
          <w:highlight w:val="none"/>
          <w14:textFill>
            <w14:solidFill>
              <w14:schemeClr w14:val="tx1"/>
            </w14:solidFill>
          </w14:textFill>
        </w:rPr>
      </w:pPr>
      <w:r>
        <w:rPr>
          <w:rFonts w:hint="eastAsia" w:ascii="宋体" w:hAnsi="宋体" w:eastAsia="宋体" w:cs="宋体"/>
          <w:color w:val="000000" w:themeColor="text1"/>
          <w:sz w:val="28"/>
          <w:szCs w:val="21"/>
          <w:highlight w:val="none"/>
          <w14:textFill>
            <w14:solidFill>
              <w14:schemeClr w14:val="tx1"/>
            </w14:solidFill>
          </w14:textFill>
        </w:rPr>
        <w:t>（2）评标细则</w:t>
      </w:r>
    </w:p>
    <w:tbl>
      <w:tblPr>
        <w:tblStyle w:val="52"/>
        <w:tblW w:w="9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678"/>
        <w:gridCol w:w="1275"/>
        <w:gridCol w:w="5245"/>
        <w:gridCol w:w="955"/>
        <w:gridCol w:w="931"/>
      </w:tblGrid>
      <w:tr w14:paraId="7345C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0"/>
            <w:vAlign w:val="center"/>
          </w:tcPr>
          <w:p w14:paraId="4DBBE77E">
            <w:pPr>
              <w:pStyle w:val="14"/>
              <w:wordWrap w:val="0"/>
              <w:ind w:firstLine="0"/>
              <w:rPr>
                <w:rFonts w:hint="eastAsia" w:ascii="宋体" w:hAnsi="宋体" w:eastAsia="宋体" w:cs="宋体"/>
                <w:b/>
                <w:sz w:val="28"/>
                <w:szCs w:val="28"/>
                <w:highlight w:val="none"/>
              </w:rPr>
            </w:pPr>
            <w:r>
              <w:rPr>
                <w:rFonts w:hint="eastAsia" w:ascii="宋体" w:hAnsi="宋体" w:eastAsia="宋体" w:cs="宋体"/>
                <w:b/>
                <w:sz w:val="28"/>
                <w:szCs w:val="28"/>
                <w:highlight w:val="none"/>
              </w:rPr>
              <w:t>编号</w:t>
            </w:r>
          </w:p>
        </w:tc>
        <w:tc>
          <w:tcPr>
            <w:tcW w:w="678" w:type="dxa"/>
            <w:shd w:val="clear" w:color="auto" w:fill="D9D9D9"/>
            <w:noWrap w:val="0"/>
            <w:vAlign w:val="center"/>
          </w:tcPr>
          <w:p w14:paraId="3AF9AB9B">
            <w:pPr>
              <w:pStyle w:val="14"/>
              <w:wordWrap w:val="0"/>
              <w:ind w:firstLine="0"/>
              <w:rPr>
                <w:rFonts w:hint="eastAsia" w:ascii="宋体" w:hAnsi="宋体" w:eastAsia="宋体" w:cs="宋体"/>
                <w:b/>
                <w:sz w:val="28"/>
                <w:szCs w:val="28"/>
                <w:highlight w:val="none"/>
              </w:rPr>
            </w:pPr>
            <w:r>
              <w:rPr>
                <w:rFonts w:hint="eastAsia" w:ascii="宋体" w:hAnsi="宋体" w:eastAsia="宋体" w:cs="宋体"/>
                <w:b/>
                <w:sz w:val="28"/>
                <w:szCs w:val="28"/>
                <w:highlight w:val="none"/>
              </w:rPr>
              <w:t>类型</w:t>
            </w:r>
          </w:p>
        </w:tc>
        <w:tc>
          <w:tcPr>
            <w:tcW w:w="1275" w:type="dxa"/>
            <w:shd w:val="clear" w:color="auto" w:fill="D9D9D9"/>
            <w:noWrap w:val="0"/>
            <w:vAlign w:val="center"/>
          </w:tcPr>
          <w:p w14:paraId="13482B05">
            <w:pPr>
              <w:pStyle w:val="14"/>
              <w:wordWrap w:val="0"/>
              <w:ind w:firstLine="0"/>
              <w:rPr>
                <w:rFonts w:hint="eastAsia" w:ascii="宋体" w:hAnsi="宋体" w:eastAsia="宋体" w:cs="宋体"/>
                <w:b/>
                <w:sz w:val="28"/>
                <w:szCs w:val="28"/>
                <w:highlight w:val="none"/>
              </w:rPr>
            </w:pPr>
            <w:r>
              <w:rPr>
                <w:rFonts w:hint="eastAsia" w:ascii="宋体" w:hAnsi="宋体" w:eastAsia="宋体" w:cs="宋体"/>
                <w:b/>
                <w:sz w:val="28"/>
                <w:szCs w:val="28"/>
                <w:highlight w:val="none"/>
              </w:rPr>
              <w:t>评分标题</w:t>
            </w:r>
          </w:p>
        </w:tc>
        <w:tc>
          <w:tcPr>
            <w:tcW w:w="5245" w:type="dxa"/>
            <w:shd w:val="clear" w:color="auto" w:fill="D9D9D9"/>
            <w:noWrap w:val="0"/>
            <w:vAlign w:val="center"/>
          </w:tcPr>
          <w:p w14:paraId="2ADB5748">
            <w:pPr>
              <w:pStyle w:val="14"/>
              <w:wordWrap w:val="0"/>
              <w:ind w:firstLine="482"/>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评分标准</w:t>
            </w:r>
          </w:p>
        </w:tc>
        <w:tc>
          <w:tcPr>
            <w:tcW w:w="955" w:type="dxa"/>
            <w:shd w:val="clear" w:color="auto" w:fill="D9D9D9"/>
            <w:noWrap w:val="0"/>
            <w:vAlign w:val="center"/>
          </w:tcPr>
          <w:p w14:paraId="2E08B779">
            <w:pPr>
              <w:pStyle w:val="14"/>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性质</w:t>
            </w:r>
          </w:p>
        </w:tc>
        <w:tc>
          <w:tcPr>
            <w:tcW w:w="931" w:type="dxa"/>
            <w:shd w:val="clear" w:color="auto" w:fill="D9D9D9"/>
            <w:noWrap w:val="0"/>
            <w:vAlign w:val="center"/>
          </w:tcPr>
          <w:p w14:paraId="36BE0657">
            <w:pPr>
              <w:pStyle w:val="14"/>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分数</w:t>
            </w:r>
          </w:p>
        </w:tc>
      </w:tr>
      <w:tr w14:paraId="0D2D5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867" w:hRule="atLeast"/>
          <w:jc w:val="center"/>
        </w:trPr>
        <w:tc>
          <w:tcPr>
            <w:tcW w:w="826" w:type="dxa"/>
            <w:noWrap w:val="0"/>
            <w:vAlign w:val="center"/>
          </w:tcPr>
          <w:p w14:paraId="1814A8AC">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1.01</w:t>
            </w:r>
          </w:p>
        </w:tc>
        <w:tc>
          <w:tcPr>
            <w:tcW w:w="678" w:type="dxa"/>
            <w:noWrap w:val="0"/>
            <w:vAlign w:val="center"/>
          </w:tcPr>
          <w:p w14:paraId="28D179CC">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价格</w:t>
            </w:r>
          </w:p>
        </w:tc>
        <w:tc>
          <w:tcPr>
            <w:tcW w:w="1275" w:type="dxa"/>
            <w:noWrap w:val="0"/>
            <w:vAlign w:val="center"/>
          </w:tcPr>
          <w:p w14:paraId="244D928C">
            <w:pPr>
              <w:pStyle w:val="14"/>
              <w:wordWrap w:val="0"/>
              <w:ind w:firstLine="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报价</w:t>
            </w:r>
          </w:p>
        </w:tc>
        <w:tc>
          <w:tcPr>
            <w:tcW w:w="5245" w:type="dxa"/>
            <w:noWrap w:val="0"/>
            <w:vAlign w:val="center"/>
          </w:tcPr>
          <w:p w14:paraId="2479CA6B">
            <w:pPr>
              <w:spacing w:line="360" w:lineRule="exac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评标基准价的计算方法：满足招标文件要求且报价最低的投标报价为评标基准价，其价格分为满分（标准分）。其他投标人的价格分统一按照下列公式计算：投标报价得分=（评标基准价／投标报价）×</w:t>
            </w:r>
            <w:r>
              <w:rPr>
                <w:rFonts w:hint="eastAsia" w:ascii="宋体" w:hAnsi="宋体" w:eastAsia="宋体" w:cs="宋体"/>
                <w:color w:val="auto"/>
                <w:kern w:val="0"/>
                <w:sz w:val="28"/>
                <w:szCs w:val="28"/>
                <w:highlight w:val="none"/>
                <w:lang w:val="en-US" w:eastAsia="zh-CN"/>
              </w:rPr>
              <w:t>10</w:t>
            </w:r>
            <w:r>
              <w:rPr>
                <w:rFonts w:hint="eastAsia" w:ascii="宋体" w:hAnsi="宋体" w:eastAsia="宋体" w:cs="宋体"/>
                <w:color w:val="auto"/>
                <w:kern w:val="0"/>
                <w:sz w:val="28"/>
                <w:szCs w:val="28"/>
                <w:highlight w:val="none"/>
              </w:rPr>
              <w:t>。</w:t>
            </w:r>
          </w:p>
        </w:tc>
        <w:tc>
          <w:tcPr>
            <w:tcW w:w="955" w:type="dxa"/>
            <w:noWrap w:val="0"/>
            <w:vAlign w:val="center"/>
          </w:tcPr>
          <w:p w14:paraId="5C883535">
            <w:pPr>
              <w:pStyle w:val="14"/>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价格分</w:t>
            </w:r>
          </w:p>
        </w:tc>
        <w:tc>
          <w:tcPr>
            <w:tcW w:w="931" w:type="dxa"/>
            <w:noWrap w:val="0"/>
            <w:vAlign w:val="center"/>
          </w:tcPr>
          <w:p w14:paraId="0857C1E6">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.00</w:t>
            </w:r>
          </w:p>
        </w:tc>
      </w:tr>
      <w:tr w14:paraId="4537A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09" w:hRule="atLeast"/>
          <w:jc w:val="center"/>
        </w:trPr>
        <w:tc>
          <w:tcPr>
            <w:tcW w:w="826" w:type="dxa"/>
            <w:noWrap w:val="0"/>
            <w:vAlign w:val="center"/>
          </w:tcPr>
          <w:p w14:paraId="22E97287">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1.02</w:t>
            </w:r>
          </w:p>
        </w:tc>
        <w:tc>
          <w:tcPr>
            <w:tcW w:w="678" w:type="dxa"/>
            <w:noWrap w:val="0"/>
            <w:vAlign w:val="center"/>
          </w:tcPr>
          <w:p w14:paraId="7B838EC3">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商务</w:t>
            </w:r>
          </w:p>
        </w:tc>
        <w:tc>
          <w:tcPr>
            <w:tcW w:w="1275" w:type="dxa"/>
            <w:noWrap w:val="0"/>
            <w:vAlign w:val="center"/>
          </w:tcPr>
          <w:p w14:paraId="3CFC8F34">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类似业绩</w:t>
            </w:r>
          </w:p>
        </w:tc>
        <w:tc>
          <w:tcPr>
            <w:tcW w:w="5245" w:type="dxa"/>
            <w:noWrap w:val="0"/>
            <w:vAlign w:val="center"/>
          </w:tcPr>
          <w:p w14:paraId="4591FCDD">
            <w:pPr>
              <w:spacing w:line="360" w:lineRule="exact"/>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类似业绩：提供劳务服务；</w:t>
            </w:r>
          </w:p>
          <w:p w14:paraId="2DEB6FC0">
            <w:pPr>
              <w:spacing w:line="360" w:lineRule="exact"/>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投标人近三年（202</w:t>
            </w:r>
            <w:r>
              <w:rPr>
                <w:rFonts w:hint="eastAsia" w:ascii="宋体" w:hAnsi="宋体" w:eastAsia="宋体" w:cs="宋体"/>
                <w:kern w:val="0"/>
                <w:sz w:val="28"/>
                <w:szCs w:val="28"/>
                <w:highlight w:val="none"/>
                <w:lang w:val="en-US" w:eastAsia="zh-CN"/>
              </w:rPr>
              <w:t>3</w:t>
            </w:r>
            <w:r>
              <w:rPr>
                <w:rFonts w:hint="eastAsia" w:ascii="宋体" w:hAnsi="宋体" w:eastAsia="宋体" w:cs="宋体"/>
                <w:kern w:val="0"/>
                <w:sz w:val="28"/>
                <w:szCs w:val="28"/>
                <w:highlight w:val="none"/>
              </w:rPr>
              <w:t>年</w:t>
            </w:r>
            <w:r>
              <w:rPr>
                <w:rFonts w:hint="eastAsia" w:ascii="宋体" w:hAnsi="宋体" w:eastAsia="宋体" w:cs="宋体"/>
                <w:kern w:val="0"/>
                <w:sz w:val="28"/>
                <w:szCs w:val="28"/>
                <w:highlight w:val="none"/>
                <w:lang w:val="en-US" w:eastAsia="zh-CN"/>
              </w:rPr>
              <w:t>1</w:t>
            </w:r>
            <w:r>
              <w:rPr>
                <w:rFonts w:hint="eastAsia" w:ascii="宋体" w:hAnsi="宋体" w:eastAsia="宋体" w:cs="宋体"/>
                <w:kern w:val="0"/>
                <w:sz w:val="28"/>
                <w:szCs w:val="28"/>
                <w:highlight w:val="none"/>
              </w:rPr>
              <w:t>月1日至今）承揽的类似业绩，每有一项得</w:t>
            </w:r>
            <w:r>
              <w:rPr>
                <w:rFonts w:hint="eastAsia" w:ascii="宋体" w:hAnsi="宋体" w:eastAsia="宋体" w:cs="宋体"/>
                <w:kern w:val="0"/>
                <w:sz w:val="28"/>
                <w:szCs w:val="28"/>
                <w:highlight w:val="none"/>
                <w:lang w:val="en-US" w:eastAsia="zh-CN"/>
              </w:rPr>
              <w:t>2</w:t>
            </w:r>
            <w:r>
              <w:rPr>
                <w:rFonts w:hint="eastAsia" w:ascii="宋体" w:hAnsi="宋体" w:eastAsia="宋体" w:cs="宋体"/>
                <w:kern w:val="0"/>
                <w:sz w:val="28"/>
                <w:szCs w:val="28"/>
                <w:highlight w:val="none"/>
              </w:rPr>
              <w:t>分，本项最高得</w:t>
            </w:r>
            <w:r>
              <w:rPr>
                <w:rFonts w:hint="eastAsia" w:ascii="宋体" w:hAnsi="宋体" w:eastAsia="宋体" w:cs="宋体"/>
                <w:kern w:val="0"/>
                <w:sz w:val="28"/>
                <w:szCs w:val="28"/>
                <w:highlight w:val="none"/>
                <w:lang w:val="en-US" w:eastAsia="zh-CN"/>
              </w:rPr>
              <w:t>10</w:t>
            </w:r>
            <w:r>
              <w:rPr>
                <w:rFonts w:hint="eastAsia" w:ascii="宋体" w:hAnsi="宋体" w:eastAsia="宋体" w:cs="宋体"/>
                <w:kern w:val="0"/>
                <w:sz w:val="28"/>
                <w:szCs w:val="28"/>
                <w:highlight w:val="none"/>
              </w:rPr>
              <w:t>分。</w:t>
            </w:r>
          </w:p>
          <w:p w14:paraId="192246E2">
            <w:pPr>
              <w:pStyle w:val="14"/>
              <w:wordWrap w:val="0"/>
              <w:spacing w:line="400" w:lineRule="exact"/>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注：</w:t>
            </w:r>
            <w:r>
              <w:rPr>
                <w:rFonts w:hint="eastAsia" w:ascii="宋体" w:hAnsi="宋体" w:eastAsia="宋体" w:cs="宋体"/>
                <w:sz w:val="28"/>
                <w:szCs w:val="28"/>
                <w:highlight w:val="none"/>
                <w:lang w:val="en-US" w:eastAsia="zh-CN"/>
              </w:rPr>
              <w:t>投标文件中附合同扫描件，合同扫描件应能体现履约合同各方名称、项目名称及项目主要工作内容、各方盖章页、合同签订时间，时间以合同签订时间为准，否则不得分</w:t>
            </w:r>
            <w:r>
              <w:rPr>
                <w:rFonts w:hint="eastAsia" w:ascii="宋体" w:hAnsi="宋体" w:eastAsia="宋体" w:cs="宋体"/>
                <w:sz w:val="28"/>
                <w:szCs w:val="28"/>
                <w:highlight w:val="none"/>
              </w:rPr>
              <w:t>。</w:t>
            </w:r>
          </w:p>
        </w:tc>
        <w:tc>
          <w:tcPr>
            <w:tcW w:w="955" w:type="dxa"/>
            <w:noWrap w:val="0"/>
            <w:vAlign w:val="center"/>
          </w:tcPr>
          <w:p w14:paraId="152F79A4">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客观分</w:t>
            </w:r>
          </w:p>
        </w:tc>
        <w:tc>
          <w:tcPr>
            <w:tcW w:w="931" w:type="dxa"/>
            <w:noWrap w:val="0"/>
            <w:vAlign w:val="center"/>
          </w:tcPr>
          <w:p w14:paraId="2D0EEAC5">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.00</w:t>
            </w:r>
          </w:p>
        </w:tc>
      </w:tr>
      <w:tr w14:paraId="76738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726" w:hRule="atLeast"/>
          <w:jc w:val="center"/>
        </w:trPr>
        <w:tc>
          <w:tcPr>
            <w:tcW w:w="826" w:type="dxa"/>
            <w:noWrap w:val="0"/>
            <w:vAlign w:val="center"/>
          </w:tcPr>
          <w:p w14:paraId="1BB05F90">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1.03</w:t>
            </w:r>
          </w:p>
        </w:tc>
        <w:tc>
          <w:tcPr>
            <w:tcW w:w="678" w:type="dxa"/>
            <w:noWrap w:val="0"/>
            <w:vAlign w:val="center"/>
          </w:tcPr>
          <w:p w14:paraId="54B6202E">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38CD351E">
            <w:pPr>
              <w:pStyle w:val="14"/>
              <w:wordWrap w:val="0"/>
              <w:spacing w:line="360" w:lineRule="exact"/>
              <w:ind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人员选派方案</w:t>
            </w:r>
          </w:p>
        </w:tc>
        <w:tc>
          <w:tcPr>
            <w:tcW w:w="5245" w:type="dxa"/>
            <w:noWrap w:val="0"/>
            <w:vAlign w:val="center"/>
          </w:tcPr>
          <w:p w14:paraId="6F8E534D">
            <w:pPr>
              <w:pStyle w:val="14"/>
              <w:wordWrap w:val="0"/>
              <w:spacing w:line="400" w:lineRule="exact"/>
              <w:ind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评委根据拟选派用人的方案，包括选派劳务人员的从业经历、岗位技能水平、岗位安排及为人员投保等方面</w:t>
            </w:r>
            <w:r>
              <w:rPr>
                <w:rFonts w:hint="eastAsia" w:ascii="宋体" w:hAnsi="宋体" w:eastAsia="宋体" w:cs="宋体"/>
                <w:kern w:val="2"/>
                <w:sz w:val="28"/>
                <w:szCs w:val="28"/>
                <w:highlight w:val="none"/>
              </w:rPr>
              <w:t>在0-</w:t>
            </w:r>
            <w:r>
              <w:rPr>
                <w:rFonts w:hint="eastAsia" w:ascii="宋体" w:hAnsi="宋体" w:eastAsia="宋体" w:cs="宋体"/>
                <w:kern w:val="2"/>
                <w:sz w:val="28"/>
                <w:szCs w:val="28"/>
                <w:highlight w:val="none"/>
                <w:lang w:val="en-US" w:eastAsia="zh-CN"/>
              </w:rPr>
              <w:t>30</w:t>
            </w:r>
            <w:r>
              <w:rPr>
                <w:rFonts w:hint="eastAsia" w:ascii="宋体" w:hAnsi="宋体" w:eastAsia="宋体" w:cs="宋体"/>
                <w:kern w:val="2"/>
                <w:sz w:val="28"/>
                <w:szCs w:val="28"/>
                <w:highlight w:val="none"/>
              </w:rPr>
              <w:t>分之间进行综合评审</w:t>
            </w:r>
            <w:r>
              <w:rPr>
                <w:rFonts w:hint="eastAsia" w:ascii="宋体" w:hAnsi="宋体" w:eastAsia="宋体" w:cs="宋体"/>
                <w:sz w:val="28"/>
                <w:szCs w:val="28"/>
                <w:highlight w:val="none"/>
              </w:rPr>
              <w:t>。</w:t>
            </w:r>
          </w:p>
        </w:tc>
        <w:tc>
          <w:tcPr>
            <w:tcW w:w="955" w:type="dxa"/>
            <w:noWrap w:val="0"/>
            <w:vAlign w:val="center"/>
          </w:tcPr>
          <w:p w14:paraId="0880FE91">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2C71F658">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.00</w:t>
            </w:r>
          </w:p>
        </w:tc>
      </w:tr>
      <w:tr w14:paraId="714F2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noWrap w:val="0"/>
            <w:vAlign w:val="center"/>
          </w:tcPr>
          <w:p w14:paraId="6CCDC731">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1.04</w:t>
            </w:r>
          </w:p>
        </w:tc>
        <w:tc>
          <w:tcPr>
            <w:tcW w:w="678" w:type="dxa"/>
            <w:noWrap w:val="0"/>
            <w:vAlign w:val="center"/>
          </w:tcPr>
          <w:p w14:paraId="48C78EBF">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410BA633">
            <w:pPr>
              <w:pStyle w:val="14"/>
              <w:wordWrap w:val="0"/>
              <w:ind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服务方案</w:t>
            </w:r>
          </w:p>
        </w:tc>
        <w:tc>
          <w:tcPr>
            <w:tcW w:w="5245" w:type="dxa"/>
            <w:noWrap w:val="0"/>
            <w:vAlign w:val="center"/>
          </w:tcPr>
          <w:p w14:paraId="420D287D">
            <w:pPr>
              <w:pStyle w:val="14"/>
              <w:wordWrap w:val="0"/>
              <w:spacing w:line="400" w:lineRule="exact"/>
              <w:ind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服务方案要求内容全面、措施完善，服务质量和工作流程贴合项目实际情况，针对性强，对本项目服务工作的重点分析理解到位，有突出的服务优势。</w:t>
            </w:r>
            <w:r>
              <w:rPr>
                <w:rFonts w:hint="eastAsia" w:ascii="宋体" w:hAnsi="宋体" w:eastAsia="宋体" w:cs="宋体"/>
                <w:kern w:val="2"/>
                <w:sz w:val="28"/>
                <w:szCs w:val="28"/>
                <w:highlight w:val="none"/>
              </w:rPr>
              <w:t>由评委在0-20分之间进行综合评审。</w:t>
            </w:r>
          </w:p>
        </w:tc>
        <w:tc>
          <w:tcPr>
            <w:tcW w:w="955" w:type="dxa"/>
            <w:noWrap w:val="0"/>
            <w:vAlign w:val="center"/>
          </w:tcPr>
          <w:p w14:paraId="32698C39">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3C174056">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20.00</w:t>
            </w:r>
          </w:p>
        </w:tc>
      </w:tr>
      <w:tr w14:paraId="2A2C9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559" w:hRule="atLeast"/>
          <w:jc w:val="center"/>
        </w:trPr>
        <w:tc>
          <w:tcPr>
            <w:tcW w:w="826" w:type="dxa"/>
            <w:noWrap w:val="0"/>
            <w:vAlign w:val="center"/>
          </w:tcPr>
          <w:p w14:paraId="75944B86">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1.05</w:t>
            </w:r>
          </w:p>
        </w:tc>
        <w:tc>
          <w:tcPr>
            <w:tcW w:w="678" w:type="dxa"/>
            <w:noWrap w:val="0"/>
            <w:vAlign w:val="center"/>
          </w:tcPr>
          <w:p w14:paraId="5AF41686">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1ED9BF92">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制度建设</w:t>
            </w:r>
          </w:p>
        </w:tc>
        <w:tc>
          <w:tcPr>
            <w:tcW w:w="5245" w:type="dxa"/>
            <w:noWrap w:val="0"/>
            <w:vAlign w:val="top"/>
          </w:tcPr>
          <w:p w14:paraId="62237B27">
            <w:pPr>
              <w:pStyle w:val="14"/>
              <w:wordWrap w:val="0"/>
              <w:spacing w:line="400" w:lineRule="exact"/>
              <w:ind w:firstLine="0"/>
              <w:rPr>
                <w:rFonts w:hint="eastAsia" w:ascii="宋体" w:hAnsi="宋体" w:eastAsia="宋体" w:cs="宋体"/>
                <w:sz w:val="28"/>
                <w:szCs w:val="28"/>
                <w:highlight w:val="none"/>
              </w:rPr>
            </w:pPr>
            <w:r>
              <w:rPr>
                <w:rFonts w:hint="eastAsia" w:ascii="宋体" w:hAnsi="宋体" w:eastAsia="宋体" w:cs="宋体"/>
                <w:kern w:val="2"/>
                <w:sz w:val="28"/>
                <w:szCs w:val="28"/>
                <w:highlight w:val="none"/>
              </w:rPr>
              <w:t>由评委对投标人的安全生产责任制度、安全检查制度、安全事故报告处理、考勤制度、劳动纪律、设备使用管理制度等因素在0-15分之间进行综合评审。</w:t>
            </w:r>
          </w:p>
        </w:tc>
        <w:tc>
          <w:tcPr>
            <w:tcW w:w="955" w:type="dxa"/>
            <w:noWrap w:val="0"/>
            <w:vAlign w:val="center"/>
          </w:tcPr>
          <w:p w14:paraId="5EEEEC6F">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7DC582FE">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15.00</w:t>
            </w:r>
          </w:p>
        </w:tc>
      </w:tr>
      <w:tr w14:paraId="3911D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246" w:hRule="atLeast"/>
          <w:jc w:val="center"/>
        </w:trPr>
        <w:tc>
          <w:tcPr>
            <w:tcW w:w="826" w:type="dxa"/>
            <w:noWrap w:val="0"/>
            <w:vAlign w:val="center"/>
          </w:tcPr>
          <w:p w14:paraId="5565CE3A">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1.06</w:t>
            </w:r>
          </w:p>
        </w:tc>
        <w:tc>
          <w:tcPr>
            <w:tcW w:w="678" w:type="dxa"/>
            <w:noWrap w:val="0"/>
            <w:vAlign w:val="center"/>
          </w:tcPr>
          <w:p w14:paraId="43155456">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2A72F7A7">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服务承诺</w:t>
            </w:r>
          </w:p>
        </w:tc>
        <w:tc>
          <w:tcPr>
            <w:tcW w:w="5245" w:type="dxa"/>
            <w:noWrap w:val="0"/>
            <w:vAlign w:val="top"/>
          </w:tcPr>
          <w:p w14:paraId="5337DFE0">
            <w:pPr>
              <w:pStyle w:val="14"/>
              <w:wordWrap w:val="0"/>
              <w:spacing w:line="400" w:lineRule="exact"/>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投标人承诺严格按照招标文件及合同约定执行,满足招标人的要求,认真、仔细地做好各项工作，维护好正常工作秩序，保证工作顺利进行、能够严格执行招标人的各项规章制度，队伍素质高、纪律严明等方面的服务承诺等0-1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分之间综合评分。</w:t>
            </w:r>
          </w:p>
        </w:tc>
        <w:tc>
          <w:tcPr>
            <w:tcW w:w="955" w:type="dxa"/>
            <w:noWrap w:val="0"/>
            <w:vAlign w:val="center"/>
          </w:tcPr>
          <w:p w14:paraId="1F412DC2">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562139F0">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.00</w:t>
            </w:r>
          </w:p>
        </w:tc>
      </w:tr>
    </w:tbl>
    <w:p w14:paraId="1498D8F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注：①本细则只针对有效投标文件予以评分。</w:t>
      </w:r>
    </w:p>
    <w:p w14:paraId="679D154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②计算得分时，四舍五入保留至小数点后二位。</w:t>
      </w:r>
    </w:p>
    <w:p w14:paraId="2ED6CB1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③汇总各评委打分进行算术平均，计算出各投标人的综合得分。</w:t>
      </w:r>
    </w:p>
    <w:p w14:paraId="31BF35F0">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9" w:name="_Toc11034"/>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三、编写评标报告</w:t>
      </w:r>
      <w:bookmarkEnd w:id="79"/>
    </w:p>
    <w:p w14:paraId="01AEC44D">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szCs w:val="21"/>
          <w:highlight w:val="none"/>
          <w14:textFill>
            <w14:solidFill>
              <w14:schemeClr w14:val="tx1"/>
            </w14:solidFill>
          </w14:textFill>
        </w:rPr>
        <w:t>依据</w:t>
      </w:r>
      <w:r>
        <w:rPr>
          <w:rFonts w:hint="eastAsia" w:ascii="宋体" w:hAnsi="宋体" w:eastAsia="宋体" w:cs="宋体"/>
          <w:color w:val="000000" w:themeColor="text1"/>
          <w:sz w:val="28"/>
          <w:highlight w:val="none"/>
          <w14:textFill>
            <w14:solidFill>
              <w14:schemeClr w14:val="tx1"/>
            </w14:solidFill>
          </w14:textFill>
        </w:rPr>
        <w:t>评标委员会</w:t>
      </w:r>
      <w:r>
        <w:rPr>
          <w:rFonts w:hint="eastAsia" w:ascii="宋体" w:hAnsi="宋体" w:eastAsia="宋体" w:cs="宋体"/>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014D621F">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0" w:name="_Toc15522"/>
      <w:r>
        <w:rPr>
          <w:rStyle w:val="431"/>
          <w:rFonts w:hint="eastAsia" w:ascii="宋体" w:hAnsi="宋体" w:eastAsia="宋体" w:cs="宋体"/>
          <w:b/>
          <w:bCs/>
          <w:color w:val="000000" w:themeColor="text1"/>
          <w:kern w:val="2"/>
          <w:sz w:val="28"/>
          <w:szCs w:val="32"/>
          <w:highlight w:val="none"/>
          <w14:textFill>
            <w14:solidFill>
              <w14:schemeClr w14:val="tx1"/>
            </w14:solidFill>
          </w14:textFill>
        </w:rPr>
        <w:t>四、定标</w:t>
      </w:r>
      <w:bookmarkEnd w:id="80"/>
    </w:p>
    <w:p w14:paraId="2F214E60">
      <w:pPr>
        <w:spacing w:line="360" w:lineRule="auto"/>
        <w:ind w:firstLine="562" w:firstLineChars="201"/>
        <w:rPr>
          <w:rFonts w:hint="eastAsia" w:ascii="宋体" w:hAnsi="宋体" w:eastAsia="宋体" w:cs="宋体"/>
          <w:b w:val="0"/>
          <w:bCs/>
          <w:color w:val="000000" w:themeColor="text1"/>
          <w:sz w:val="28"/>
          <w:szCs w:val="28"/>
          <w:highlight w:val="none"/>
          <w14:textFill>
            <w14:solidFill>
              <w14:schemeClr w14:val="tx1"/>
            </w14:solidFill>
          </w14:textFill>
        </w:rPr>
      </w:pPr>
      <w:r>
        <w:rPr>
          <w:rFonts w:hint="eastAsia" w:ascii="宋体" w:hAnsi="宋体" w:eastAsia="宋体" w:cs="宋体"/>
          <w:b w:val="0"/>
          <w:bCs/>
          <w:color w:val="000000" w:themeColor="text1"/>
          <w:sz w:val="28"/>
          <w:szCs w:val="28"/>
          <w:highlight w:val="none"/>
          <w14:textFill>
            <w14:solidFill>
              <w14:schemeClr w14:val="tx1"/>
            </w14:solidFill>
          </w14:textFill>
        </w:rPr>
        <w:t>1.评标委员会根据招标文件载明的评标细则进行综合评审，并按评审后综合得分由高到低顺序排列。</w:t>
      </w:r>
    </w:p>
    <w:p w14:paraId="5628CD3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val="0"/>
          <w:bCs/>
          <w:color w:val="000000" w:themeColor="text1"/>
          <w:sz w:val="28"/>
          <w:szCs w:val="28"/>
          <w:highlight w:val="none"/>
          <w14:textFill>
            <w14:solidFill>
              <w14:schemeClr w14:val="tx1"/>
            </w14:solidFill>
          </w14:textFill>
        </w:rPr>
        <w:t>2.评标结束后，公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b w:val="0"/>
          <w:bCs/>
          <w:color w:val="000000" w:themeColor="text1"/>
          <w:sz w:val="28"/>
          <w:szCs w:val="28"/>
          <w:highlight w:val="none"/>
          <w14:textFill>
            <w14:solidFill>
              <w14:schemeClr w14:val="tx1"/>
            </w14:solidFill>
          </w14:textFill>
        </w:rPr>
        <w:t>无异议确定排名第一的为中标人。如发现中标人存在与招标文件、投标文件不符或弄虚作假等其它违法行为、经查实中标人存在被限制其投标的不良行为等情况，经招标人同意，取消中标人资格，由排名次之的中标，依次类推或重新招标。</w:t>
      </w:r>
    </w:p>
    <w:p w14:paraId="754EA422">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1" w:name="_Toc7666"/>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五、结果</w:t>
      </w:r>
      <w:bookmarkEnd w:id="81"/>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p>
    <w:p w14:paraId="3AC0F258">
      <w:pPr>
        <w:pageBreakBefore w:val="0"/>
        <w:kinsoku/>
        <w:overflowPunct/>
        <w:topLinePunct w:val="0"/>
        <w:bidi w:val="0"/>
        <w:adjustRightInd/>
        <w:snapToGrid/>
        <w:spacing w:line="360" w:lineRule="auto"/>
        <w:ind w:firstLine="482"/>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招标人应当自定标结束后在招标公告发布媒介发布中标</w:t>
      </w:r>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highlight w:val="none"/>
          <w14:textFill>
            <w14:solidFill>
              <w14:schemeClr w14:val="tx1"/>
            </w14:solidFill>
          </w14:textFill>
        </w:rPr>
        <w:t>。中标</w:t>
      </w:r>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highlight w:val="none"/>
          <w14:textFill>
            <w14:solidFill>
              <w14:schemeClr w14:val="tx1"/>
            </w14:solidFill>
          </w14:textFill>
        </w:rPr>
        <w:t>期限为</w:t>
      </w:r>
      <w:r>
        <w:rPr>
          <w:rFonts w:hint="eastAsia" w:ascii="宋体" w:hAnsi="宋体" w:eastAsia="宋体" w:cs="宋体"/>
          <w:color w:val="000000" w:themeColor="text1"/>
          <w:sz w:val="28"/>
          <w:highlight w:val="none"/>
          <w:lang w:val="en-US" w:eastAsia="zh-CN"/>
          <w14:textFill>
            <w14:solidFill>
              <w14:schemeClr w14:val="tx1"/>
            </w14:solidFill>
          </w14:textFill>
        </w:rPr>
        <w:t>1个工作</w:t>
      </w:r>
      <w:r>
        <w:rPr>
          <w:rFonts w:hint="eastAsia" w:ascii="宋体" w:hAnsi="宋体" w:eastAsia="宋体" w:cs="宋体"/>
          <w:color w:val="000000" w:themeColor="text1"/>
          <w:sz w:val="28"/>
          <w:highlight w:val="none"/>
          <w14:textFill>
            <w14:solidFill>
              <w14:schemeClr w14:val="tx1"/>
            </w14:solidFill>
          </w14:textFill>
        </w:rPr>
        <w:t>日。</w:t>
      </w:r>
    </w:p>
    <w:p w14:paraId="098F3C84">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2" w:name="_Toc26618"/>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六、签发中标通知书</w:t>
      </w:r>
      <w:bookmarkEnd w:id="82"/>
    </w:p>
    <w:p w14:paraId="7A653A79">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中标</w:t>
      </w:r>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highlight w:val="none"/>
          <w14:textFill>
            <w14:solidFill>
              <w14:schemeClr w14:val="tx1"/>
            </w14:solidFill>
          </w14:textFill>
        </w:rPr>
        <w:t>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EF7C1F2">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3" w:name="_Toc28907"/>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七、签订合同</w:t>
      </w:r>
      <w:bookmarkEnd w:id="83"/>
    </w:p>
    <w:p w14:paraId="25CA6F21">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1.中标合同原则以第六章合同（范本）为基础，并根据响应、答疑情况进行修改补充，自签订之日起生效。</w:t>
      </w:r>
    </w:p>
    <w:p w14:paraId="39C736A8">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2.中标人在规定的期限内无正当理由拒绝签订合同，招标人可以按照评审报告名单排序，确定下一</w:t>
      </w:r>
      <w:r>
        <w:rPr>
          <w:rFonts w:hint="eastAsia" w:ascii="宋体" w:hAnsi="宋体" w:eastAsia="宋体" w:cs="宋体"/>
          <w:color w:val="000000" w:themeColor="text1"/>
          <w:sz w:val="28"/>
          <w:highlight w:val="none"/>
          <w:lang w:val="en-US" w:eastAsia="zh-CN"/>
          <w14:textFill>
            <w14:solidFill>
              <w14:schemeClr w14:val="tx1"/>
            </w14:solidFill>
          </w14:textFill>
        </w:rPr>
        <w:t>名</w:t>
      </w:r>
      <w:r>
        <w:rPr>
          <w:rFonts w:hint="eastAsia" w:ascii="宋体" w:hAnsi="宋体" w:eastAsia="宋体" w:cs="宋体"/>
          <w:color w:val="000000" w:themeColor="text1"/>
          <w:sz w:val="28"/>
          <w:highlight w:val="none"/>
          <w14:textFill>
            <w14:solidFill>
              <w14:schemeClr w14:val="tx1"/>
            </w14:solidFill>
          </w14:textFill>
        </w:rPr>
        <w:t>为中标人，也可以重新开展招标活动。</w:t>
      </w:r>
    </w:p>
    <w:p w14:paraId="5714DB4C">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3.中标合同，按照监督部门的要求，通过威海市国有企业阳光采购电子化服务平台进行签订。</w:t>
      </w:r>
    </w:p>
    <w:p w14:paraId="7467957C">
      <w:pPr>
        <w:pageBreakBefore w:val="0"/>
        <w:widowControl/>
        <w:kinsoku/>
        <w:overflowPunct/>
        <w:topLinePunct w:val="0"/>
        <w:bidi w:val="0"/>
        <w:adjustRightInd/>
        <w:snapToGrid/>
        <w:jc w:val="left"/>
        <w:rPr>
          <w:rFonts w:hint="eastAsia" w:ascii="宋体" w:hAnsi="宋体" w:eastAsia="宋体" w:cs="宋体"/>
          <w:b/>
          <w:bCs/>
          <w:cap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bookmarkEnd w:id="74"/>
    <w:bookmarkEnd w:id="75"/>
    <w:bookmarkEnd w:id="76"/>
    <w:p w14:paraId="20E75EDC">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84" w:name="_Toc20012"/>
      <w:bookmarkStart w:id="85" w:name="_Toc66864054"/>
      <w:r>
        <w:rPr>
          <w:rFonts w:hint="eastAsia" w:ascii="宋体" w:hAnsi="宋体" w:eastAsia="宋体" w:cs="宋体"/>
          <w:color w:val="000000" w:themeColor="text1"/>
          <w:highlight w:val="none"/>
          <w14:textFill>
            <w14:solidFill>
              <w14:schemeClr w14:val="tx1"/>
            </w14:solidFill>
          </w14:textFill>
        </w:rPr>
        <w:t>第四章  采购项目说明</w:t>
      </w:r>
      <w:bookmarkEnd w:id="84"/>
    </w:p>
    <w:bookmarkEnd w:id="85"/>
    <w:p w14:paraId="440E9039">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rPr>
      </w:pPr>
      <w:bookmarkStart w:id="86" w:name="_Hlk525721599"/>
      <w:r>
        <w:rPr>
          <w:rFonts w:hint="eastAsia" w:ascii="宋体" w:hAnsi="宋体" w:eastAsia="宋体" w:cs="宋体"/>
          <w:b/>
          <w:bCs/>
          <w:sz w:val="28"/>
          <w:szCs w:val="28"/>
          <w:highlight w:val="none"/>
          <w:lang w:eastAsia="zh-CN"/>
        </w:rPr>
        <w:t>一、项目名称：</w:t>
      </w:r>
      <w:r>
        <w:rPr>
          <w:rFonts w:hint="eastAsia" w:ascii="宋体" w:hAnsi="宋体" w:eastAsia="宋体" w:cs="宋体"/>
          <w:sz w:val="28"/>
          <w:szCs w:val="28"/>
          <w:highlight w:val="none"/>
        </w:rPr>
        <w:t>选定劳务服务供应商</w:t>
      </w:r>
    </w:p>
    <w:p w14:paraId="2C95E1CD">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eastAsia="zh-CN"/>
        </w:rPr>
        <w:t>二、</w:t>
      </w:r>
      <w:r>
        <w:rPr>
          <w:rFonts w:hint="eastAsia" w:ascii="宋体" w:hAnsi="宋体" w:eastAsia="宋体" w:cs="宋体"/>
          <w:b/>
          <w:bCs/>
          <w:sz w:val="28"/>
          <w:szCs w:val="28"/>
          <w:highlight w:val="none"/>
        </w:rPr>
        <w:t>招采</w:t>
      </w:r>
      <w:r>
        <w:rPr>
          <w:rFonts w:hint="eastAsia" w:ascii="宋体" w:hAnsi="宋体" w:eastAsia="宋体" w:cs="宋体"/>
          <w:b/>
          <w:bCs/>
          <w:sz w:val="28"/>
          <w:szCs w:val="28"/>
          <w:highlight w:val="none"/>
          <w:lang w:eastAsia="zh-CN"/>
        </w:rPr>
        <w:t>内容：</w:t>
      </w:r>
      <w:r>
        <w:rPr>
          <w:rFonts w:hint="eastAsia" w:ascii="宋体" w:hAnsi="宋体" w:eastAsia="宋体" w:cs="宋体"/>
          <w:sz w:val="28"/>
          <w:szCs w:val="28"/>
          <w:highlight w:val="none"/>
        </w:rPr>
        <w:t>用于厂区生产所需劳务辅助工，混凝土站、砂浆站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水稳站、沥青站辅助工</w:t>
      </w:r>
      <w:r>
        <w:rPr>
          <w:rFonts w:hint="eastAsia" w:ascii="宋体" w:hAnsi="宋体" w:eastAsia="宋体" w:cs="宋体"/>
          <w:sz w:val="28"/>
          <w:szCs w:val="28"/>
          <w:highlight w:val="none"/>
          <w:lang w:eastAsia="zh-CN"/>
        </w:rPr>
        <w:t>共计</w:t>
      </w:r>
      <w:r>
        <w:rPr>
          <w:rFonts w:hint="eastAsia" w:ascii="宋体" w:hAnsi="宋体" w:eastAsia="宋体" w:cs="宋体"/>
          <w:sz w:val="28"/>
          <w:szCs w:val="28"/>
          <w:highlight w:val="none"/>
        </w:rPr>
        <w:t>不超过</w:t>
      </w:r>
      <w:r>
        <w:rPr>
          <w:rFonts w:hint="eastAsia" w:ascii="宋体" w:hAnsi="宋体" w:eastAsia="宋体" w:cs="宋体"/>
          <w:sz w:val="28"/>
          <w:szCs w:val="28"/>
          <w:highlight w:val="none"/>
          <w:lang w:val="en-US" w:eastAsia="zh-CN"/>
        </w:rPr>
        <w:t>18</w:t>
      </w:r>
      <w:r>
        <w:rPr>
          <w:rFonts w:hint="eastAsia" w:ascii="宋体" w:hAnsi="宋体" w:eastAsia="宋体" w:cs="宋体"/>
          <w:sz w:val="28"/>
          <w:szCs w:val="28"/>
          <w:highlight w:val="none"/>
        </w:rPr>
        <w:t>人。因工作性质所需辅助工均为男性，年龄为40-60岁之间。</w:t>
      </w:r>
    </w:p>
    <w:p w14:paraId="6E738ED3">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val="0"/>
          <w:bCs w:val="0"/>
          <w:sz w:val="28"/>
          <w:szCs w:val="28"/>
          <w:highlight w:val="none"/>
          <w:lang w:eastAsia="zh-CN"/>
        </w:rPr>
      </w:pPr>
      <w:r>
        <w:rPr>
          <w:rFonts w:hint="eastAsia" w:ascii="宋体" w:hAnsi="宋体" w:eastAsia="宋体" w:cs="宋体"/>
          <w:b/>
          <w:bCs/>
          <w:sz w:val="28"/>
          <w:szCs w:val="28"/>
          <w:highlight w:val="none"/>
          <w:lang w:eastAsia="zh-CN"/>
        </w:rPr>
        <w:t>三、参数及单项控制价：</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445"/>
        <w:gridCol w:w="1033"/>
        <w:gridCol w:w="2284"/>
        <w:gridCol w:w="1024"/>
      </w:tblGrid>
      <w:tr w14:paraId="383A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1" w:type="dxa"/>
            <w:noWrap w:val="0"/>
            <w:vAlign w:val="center"/>
          </w:tcPr>
          <w:p w14:paraId="1E34A1D7">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序号</w:t>
            </w:r>
          </w:p>
        </w:tc>
        <w:tc>
          <w:tcPr>
            <w:tcW w:w="3445" w:type="dxa"/>
            <w:noWrap w:val="0"/>
            <w:vAlign w:val="center"/>
          </w:tcPr>
          <w:p w14:paraId="3BB31C1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主要内容</w:t>
            </w:r>
          </w:p>
        </w:tc>
        <w:tc>
          <w:tcPr>
            <w:tcW w:w="1033" w:type="dxa"/>
            <w:noWrap w:val="0"/>
            <w:vAlign w:val="center"/>
          </w:tcPr>
          <w:p w14:paraId="1DAFB404">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单位</w:t>
            </w:r>
          </w:p>
        </w:tc>
        <w:tc>
          <w:tcPr>
            <w:tcW w:w="2284" w:type="dxa"/>
            <w:noWrap w:val="0"/>
            <w:vAlign w:val="center"/>
          </w:tcPr>
          <w:p w14:paraId="391C84D5">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单项控制</w:t>
            </w:r>
            <w:r>
              <w:rPr>
                <w:rFonts w:hint="eastAsia" w:ascii="宋体" w:hAnsi="宋体" w:eastAsia="宋体" w:cs="宋体"/>
                <w:b/>
                <w:bCs/>
                <w:sz w:val="28"/>
                <w:szCs w:val="28"/>
                <w:highlight w:val="none"/>
                <w:lang w:val="en-US" w:eastAsia="zh-CN"/>
              </w:rPr>
              <w:t>价</w:t>
            </w:r>
            <w:r>
              <w:rPr>
                <w:rFonts w:hint="eastAsia" w:ascii="宋体" w:hAnsi="宋体" w:eastAsia="宋体" w:cs="宋体"/>
                <w:b/>
                <w:bCs/>
                <w:sz w:val="28"/>
                <w:szCs w:val="28"/>
                <w:highlight w:val="none"/>
              </w:rPr>
              <w:t>（元）</w:t>
            </w:r>
          </w:p>
        </w:tc>
        <w:tc>
          <w:tcPr>
            <w:tcW w:w="1024" w:type="dxa"/>
            <w:noWrap w:val="0"/>
            <w:vAlign w:val="center"/>
          </w:tcPr>
          <w:p w14:paraId="65B945C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备注</w:t>
            </w:r>
          </w:p>
        </w:tc>
      </w:tr>
      <w:tr w14:paraId="6ADA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31" w:type="dxa"/>
            <w:noWrap w:val="0"/>
            <w:vAlign w:val="center"/>
          </w:tcPr>
          <w:p w14:paraId="3F47CDDF">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3445" w:type="dxa"/>
            <w:noWrap w:val="0"/>
            <w:vAlign w:val="center"/>
          </w:tcPr>
          <w:p w14:paraId="2CC4884D">
            <w:pPr>
              <w:keepNext w:val="0"/>
              <w:keepLines w:val="0"/>
              <w:pageBreakBefore w:val="0"/>
              <w:widowControl/>
              <w:kinsoku/>
              <w:wordWrap/>
              <w:overflowPunct/>
              <w:topLinePunct w:val="0"/>
              <w:autoSpaceDE/>
              <w:autoSpaceDN/>
              <w:bidi w:val="0"/>
              <w:adjustRightInd/>
              <w:snapToGrid/>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混凝土站、砂浆站、水稳站、沥青站辅助工</w:t>
            </w:r>
          </w:p>
        </w:tc>
        <w:tc>
          <w:tcPr>
            <w:tcW w:w="1033" w:type="dxa"/>
            <w:noWrap w:val="0"/>
            <w:vAlign w:val="center"/>
          </w:tcPr>
          <w:p w14:paraId="7F31E08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工时</w:t>
            </w:r>
          </w:p>
        </w:tc>
        <w:tc>
          <w:tcPr>
            <w:tcW w:w="2284" w:type="dxa"/>
            <w:noWrap w:val="0"/>
            <w:vAlign w:val="center"/>
          </w:tcPr>
          <w:p w14:paraId="1259DB78">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28</w:t>
            </w:r>
          </w:p>
        </w:tc>
        <w:tc>
          <w:tcPr>
            <w:tcW w:w="1024" w:type="dxa"/>
            <w:noWrap w:val="0"/>
            <w:vAlign w:val="center"/>
          </w:tcPr>
          <w:p w14:paraId="14531C21">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包吃住</w:t>
            </w:r>
          </w:p>
        </w:tc>
      </w:tr>
    </w:tbl>
    <w:p w14:paraId="4AC43535">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注：人员具体数量根据</w:t>
      </w:r>
      <w:r>
        <w:rPr>
          <w:rFonts w:hint="eastAsia" w:ascii="宋体" w:hAnsi="宋体" w:eastAsia="宋体" w:cs="宋体"/>
          <w:b/>
          <w:bCs/>
          <w:sz w:val="28"/>
          <w:szCs w:val="28"/>
          <w:highlight w:val="none"/>
          <w:lang w:val="en-US" w:eastAsia="zh-CN"/>
        </w:rPr>
        <w:t>招标人</w:t>
      </w:r>
      <w:r>
        <w:rPr>
          <w:rFonts w:hint="eastAsia" w:ascii="宋体" w:hAnsi="宋体" w:eastAsia="宋体" w:cs="宋体"/>
          <w:b/>
          <w:bCs/>
          <w:sz w:val="28"/>
          <w:szCs w:val="28"/>
          <w:highlight w:val="none"/>
          <w:lang w:eastAsia="zh-CN"/>
        </w:rPr>
        <w:t>每日</w:t>
      </w:r>
      <w:r>
        <w:rPr>
          <w:rFonts w:hint="eastAsia" w:ascii="宋体" w:hAnsi="宋体" w:eastAsia="宋体" w:cs="宋体"/>
          <w:b/>
          <w:bCs/>
          <w:sz w:val="28"/>
          <w:szCs w:val="28"/>
          <w:highlight w:val="none"/>
        </w:rPr>
        <w:t>工作量确定，据实结算。</w:t>
      </w:r>
    </w:p>
    <w:p w14:paraId="60DD372C">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四、工作内容：</w:t>
      </w:r>
    </w:p>
    <w:p w14:paraId="38469DA7">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砂浆站：筛砂、清理筛砂机筛网及散落的废料；清理配料仓及皮带下的散料，清理砂浆站及厂区的环境卫生等工作，保证厂区卫生整洁，无大面积散料堆积。</w:t>
      </w:r>
    </w:p>
    <w:p w14:paraId="6819F8C7">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混凝土站：清理主机下面及散落的废料，清理配料仓及皮带下的散料，清理混凝土站及厂区的环境卫生等工作，保证厂区卫生干净整洁，无大面积废料散落。</w:t>
      </w:r>
    </w:p>
    <w:p w14:paraId="269FA2A1">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水稳站：清理配料仓及皮带下的散料，清洗水稳站搅拌主机，清理水稳站及厂区的环境卫生等工作，保证厂区卫生干净整洁，水稳站搅拌机正常运行。</w:t>
      </w:r>
    </w:p>
    <w:p w14:paraId="7069136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沥青站：清理设备积料；清理配料仓及提升料斗周围的散料，辅助机修人员对设备修理保养，清理沥青站及厂区的环境卫生等工作，保证厂区沥青站干净整洁，无大面积沥青散料。锅炉加热对锅炉进行巡视，发现问题及时上报。</w:t>
      </w:r>
    </w:p>
    <w:p w14:paraId="292417B4">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五、工作要求</w:t>
      </w:r>
    </w:p>
    <w:p w14:paraId="315C0DDB">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为规划、统一化生产辅助工岗位管理，使生产辅助工管理有章可循，提高工作效率，明确责任制。</w:t>
      </w:r>
    </w:p>
    <w:p w14:paraId="4F21EE14">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严格执行公司制定的各项规章制度，服从领导，听从指挥。</w:t>
      </w:r>
    </w:p>
    <w:p w14:paraId="7F8CF423">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对于湿拌砂浆，提前进行筛砂，提前做好（准备）生产用砂，不得影响正常生产。</w:t>
      </w:r>
    </w:p>
    <w:p w14:paraId="32F95C4A">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保证生产时各种原材料下料顺畅，不得出现断料情况。</w:t>
      </w:r>
    </w:p>
    <w:p w14:paraId="02881DA2">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设备出现故障，协助维修人员做好设备的维修、保养等工作。</w:t>
      </w:r>
    </w:p>
    <w:p w14:paraId="79C2C66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生产过程中发现问题及时向主管领导进行汇报。</w:t>
      </w:r>
    </w:p>
    <w:p w14:paraId="1493A3E8">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按要求及时清理搅拌机及下面散落的废料，保证生产正常运行。</w:t>
      </w:r>
    </w:p>
    <w:p w14:paraId="1452EC2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加强责任心，对采用人工添加的材料，严格按技术人员的要求计量掺入，不得少掺或多掺，对违反者按有关规定进行处罚，如影响了混凝土（砂浆）等产品质量时追究其责任。</w:t>
      </w:r>
    </w:p>
    <w:p w14:paraId="673583F6">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负责保持生产区域以及整个厂区的环境清洁、卫生工作。</w:t>
      </w:r>
    </w:p>
    <w:p w14:paraId="63828475">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其他突发的临时工作，如外加剂的取料、装卸工地现场临时用泵管等工作。</w:t>
      </w:r>
    </w:p>
    <w:p w14:paraId="68D99642">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六、管理要求</w:t>
      </w:r>
    </w:p>
    <w:p w14:paraId="695508F6">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负责与服务人员签订书面劳动合同，确立劳动关系；并负责劳动合同的变更、解除、终止和续订工作。</w:t>
      </w:r>
    </w:p>
    <w:p w14:paraId="230014B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负责服务人员的薪酬管理、社保管理、及个税代扣代缴、劳动关系维护、代办员工有关证件、法律法规咨询等；供应商应按时足额发放服务人员当月工资，代扣代缴个人所得税及个人负担的社会保险等费用。</w:t>
      </w:r>
    </w:p>
    <w:p w14:paraId="65E01B6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负责处理服务人员提出的劳动仲裁、诉讼等事宜。</w:t>
      </w:r>
    </w:p>
    <w:p w14:paraId="008009CA">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负责服务人员的档案管理、党团组织关系管理等人事工作。</w:t>
      </w:r>
    </w:p>
    <w:p w14:paraId="6EC49A2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有权依据国家有关法律、法规制定针对服务人员的考核标准及考核办法，有权依据</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工作的需要及服务人员的综合素质、业务水平等情况，在约定范围内调整服务人员的具体岗位。</w:t>
      </w:r>
    </w:p>
    <w:p w14:paraId="7710B644">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七、服务质量要求</w:t>
      </w:r>
    </w:p>
    <w:p w14:paraId="1568EF8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服务时间要求∶经</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确定员工的数量、名单后，</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应该在5日内办理完毕服务人员劳动合同签订手续，并在一个月内完成安全生产培训;</w:t>
      </w:r>
    </w:p>
    <w:p w14:paraId="2B1B4EAB">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应确保及时、准确、妥善的处理劳务外包服务人员的档案管理、党团组织关系等工作，避免发生人事仲裁事件;</w:t>
      </w:r>
    </w:p>
    <w:p w14:paraId="2E4F2456">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应确保和谐、稳妥的处理劳务外包服务员工的劳动仲裁、劳动诉讼及人事仲裁事件，避免妨碍</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的正常工作或者给</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带来不利社会影响;</w:t>
      </w:r>
    </w:p>
    <w:p w14:paraId="2BD99A59">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应指定一名专员负责服务人员的各项事务，协助</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的相关工作。</w:t>
      </w:r>
    </w:p>
    <w:p w14:paraId="533798C4">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八、责任认定</w:t>
      </w:r>
    </w:p>
    <w:p w14:paraId="6DF251D5">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若服务人员给</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造成直接的经济损失，经确认后，</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有权按有关规定向服务人员进行索赔，</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应协助索赔。</w:t>
      </w:r>
    </w:p>
    <w:p w14:paraId="527BF5D3">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若服务人员在</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提供劳务期间发生工伤事故，</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负责按照规定办理申报工伤认定、工伤保险待遇有关手续，按照工伤保险条例由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承担，并与</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配合做好工伤事故的直系亲属来访接待和善后工作，因服务人员个人原因造成他人或财物损害的，由服务人员个人承担责任。</w:t>
      </w:r>
    </w:p>
    <w:p w14:paraId="199AB223">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sz w:val="28"/>
          <w:szCs w:val="28"/>
          <w:highlight w:val="none"/>
        </w:rPr>
        <w:t>其他未尽事宜，</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和</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在签订合同时详细约定。</w:t>
      </w:r>
    </w:p>
    <w:p w14:paraId="01A2934A">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eastAsia="zh-CN"/>
        </w:rPr>
        <w:t>九、服务期限：</w:t>
      </w:r>
      <w:r>
        <w:rPr>
          <w:rFonts w:hint="eastAsia" w:ascii="宋体" w:hAnsi="宋体" w:eastAsia="宋体" w:cs="宋体"/>
          <w:b w:val="0"/>
          <w:bCs w:val="0"/>
          <w:sz w:val="28"/>
          <w:szCs w:val="28"/>
          <w:highlight w:val="none"/>
          <w:lang w:eastAsia="zh-CN"/>
        </w:rPr>
        <w:t>自合同签订之日起一</w:t>
      </w:r>
      <w:r>
        <w:rPr>
          <w:rFonts w:hint="eastAsia" w:ascii="宋体" w:hAnsi="宋体" w:eastAsia="宋体" w:cs="宋体"/>
          <w:b w:val="0"/>
          <w:bCs w:val="0"/>
          <w:sz w:val="28"/>
          <w:szCs w:val="28"/>
          <w:highlight w:val="none"/>
        </w:rPr>
        <w:t>年</w:t>
      </w:r>
      <w:r>
        <w:rPr>
          <w:rFonts w:hint="eastAsia" w:ascii="宋体" w:hAnsi="宋体" w:eastAsia="宋体" w:cs="宋体"/>
          <w:b w:val="0"/>
          <w:bCs w:val="0"/>
          <w:sz w:val="28"/>
          <w:szCs w:val="28"/>
          <w:highlight w:val="none"/>
          <w:lang w:eastAsia="zh-CN"/>
        </w:rPr>
        <w:t>，</w:t>
      </w:r>
      <w:r>
        <w:rPr>
          <w:rFonts w:hint="eastAsia" w:ascii="宋体" w:hAnsi="宋体" w:eastAsia="宋体" w:cs="宋体"/>
          <w:sz w:val="28"/>
          <w:szCs w:val="28"/>
          <w:highlight w:val="none"/>
        </w:rPr>
        <w:t>合同期满后</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根据服务情况考虑是否续签</w:t>
      </w:r>
      <w:r>
        <w:rPr>
          <w:rFonts w:hint="eastAsia" w:ascii="宋体" w:hAnsi="宋体" w:eastAsia="宋体" w:cs="宋体"/>
          <w:sz w:val="28"/>
          <w:szCs w:val="28"/>
          <w:highlight w:val="none"/>
        </w:rPr>
        <w:t>。</w:t>
      </w:r>
    </w:p>
    <w:p w14:paraId="0FEFECCC">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eastAsia="zh-CN"/>
        </w:rPr>
        <w:t>十、实施地点：</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lang w:eastAsia="zh-CN"/>
        </w:rPr>
        <w:t>指定地点</w:t>
      </w:r>
      <w:r>
        <w:rPr>
          <w:rFonts w:hint="eastAsia" w:ascii="宋体" w:hAnsi="宋体" w:eastAsia="宋体" w:cs="宋体"/>
          <w:sz w:val="28"/>
          <w:szCs w:val="28"/>
          <w:highlight w:val="none"/>
        </w:rPr>
        <w:t>。</w:t>
      </w:r>
    </w:p>
    <w:p w14:paraId="63A3349B">
      <w:pPr>
        <w:pStyle w:val="2"/>
        <w:keepNext w:val="0"/>
        <w:keepLines w:val="0"/>
        <w:pageBreakBefore w:val="0"/>
        <w:widowControl w:val="0"/>
        <w:kinsoku/>
        <w:wordWrap/>
        <w:overflowPunct/>
        <w:topLinePunct w:val="0"/>
        <w:autoSpaceDE/>
        <w:autoSpaceDN/>
        <w:bidi w:val="0"/>
        <w:adjustRightInd/>
        <w:snapToGrid/>
        <w:spacing w:after="0" w:line="600" w:lineRule="exact"/>
        <w:ind w:firstLine="562" w:firstLineChars="200"/>
        <w:jc w:val="left"/>
        <w:rPr>
          <w:rFonts w:hint="eastAsia" w:ascii="宋体" w:hAnsi="宋体" w:eastAsia="宋体" w:cs="宋体"/>
          <w:sz w:val="28"/>
          <w:szCs w:val="28"/>
          <w:highlight w:val="none"/>
          <w:lang w:eastAsia="zh-CN"/>
        </w:rPr>
      </w:pPr>
      <w:r>
        <w:rPr>
          <w:rFonts w:hint="eastAsia" w:ascii="宋体" w:hAnsi="宋体" w:eastAsia="宋体" w:cs="宋体"/>
          <w:b/>
          <w:bCs/>
          <w:kern w:val="2"/>
          <w:sz w:val="28"/>
          <w:szCs w:val="28"/>
          <w:highlight w:val="none"/>
          <w:lang w:val="en-US" w:eastAsia="zh-CN" w:bidi="ar-SA"/>
        </w:rPr>
        <w:t>十一、结算方式：</w:t>
      </w:r>
      <w:r>
        <w:rPr>
          <w:rFonts w:hint="eastAsia" w:ascii="宋体" w:hAnsi="宋体" w:eastAsia="宋体" w:cs="宋体"/>
          <w:sz w:val="28"/>
          <w:szCs w:val="28"/>
          <w:highlight w:val="none"/>
          <w:lang w:eastAsia="zh-CN"/>
        </w:rPr>
        <w:t>据实结算。</w:t>
      </w:r>
    </w:p>
    <w:p w14:paraId="270A1A3E">
      <w:pPr>
        <w:pageBreakBefore w:val="0"/>
        <w:kinsoku/>
        <w:overflowPunct/>
        <w:topLinePunct w:val="0"/>
        <w:bidi w:val="0"/>
        <w:adjustRightInd/>
        <w:snapToGrid/>
        <w:ind w:firstLine="56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sz w:val="28"/>
          <w:szCs w:val="28"/>
          <w:highlight w:val="none"/>
          <w:lang w:eastAsia="zh-CN"/>
        </w:rPr>
        <w:t>十</w:t>
      </w:r>
      <w:r>
        <w:rPr>
          <w:rFonts w:hint="eastAsia" w:ascii="宋体" w:hAnsi="宋体" w:eastAsia="宋体" w:cs="宋体"/>
          <w:b/>
          <w:bCs/>
          <w:sz w:val="28"/>
          <w:szCs w:val="28"/>
          <w:highlight w:val="none"/>
          <w:lang w:val="en-US" w:eastAsia="zh-CN"/>
        </w:rPr>
        <w:t>二</w:t>
      </w:r>
      <w:r>
        <w:rPr>
          <w:rFonts w:hint="eastAsia" w:ascii="宋体" w:hAnsi="宋体" w:eastAsia="宋体" w:cs="宋体"/>
          <w:b/>
          <w:bCs/>
          <w:sz w:val="28"/>
          <w:szCs w:val="28"/>
          <w:highlight w:val="none"/>
          <w:lang w:eastAsia="zh-CN"/>
        </w:rPr>
        <w:t>、付款方式：</w:t>
      </w:r>
      <w:r>
        <w:rPr>
          <w:rFonts w:hint="eastAsia" w:ascii="宋体" w:hAnsi="宋体" w:eastAsia="宋体" w:cs="宋体"/>
          <w:sz w:val="28"/>
          <w:szCs w:val="28"/>
          <w:highlight w:val="none"/>
        </w:rPr>
        <w:t>付款方式为每月以现金或银行承兑等，支付当月入账费用。</w:t>
      </w:r>
      <w:r>
        <w:rPr>
          <w:rFonts w:hint="eastAsia" w:ascii="宋体" w:hAnsi="宋体" w:eastAsia="宋体" w:cs="宋体"/>
          <w:sz w:val="28"/>
          <w:szCs w:val="28"/>
          <w:highlight w:val="none"/>
          <w:lang w:val="en-US" w:eastAsia="zh-CN"/>
        </w:rPr>
        <w:t>招标人</w:t>
      </w:r>
      <w:r>
        <w:rPr>
          <w:rFonts w:hint="eastAsia" w:ascii="宋体" w:hAnsi="宋体" w:eastAsia="宋体" w:cs="宋体"/>
          <w:spacing w:val="-3"/>
          <w:sz w:val="28"/>
          <w:szCs w:val="28"/>
          <w:highlight w:val="none"/>
        </w:rPr>
        <w:t>与</w:t>
      </w:r>
      <w:r>
        <w:rPr>
          <w:rFonts w:hint="eastAsia" w:ascii="宋体" w:hAnsi="宋体" w:eastAsia="宋体" w:cs="宋体"/>
          <w:sz w:val="28"/>
          <w:szCs w:val="28"/>
          <w:highlight w:val="none"/>
          <w:lang w:val="en-US" w:eastAsia="zh-CN"/>
        </w:rPr>
        <w:t>中标人</w:t>
      </w:r>
      <w:r>
        <w:rPr>
          <w:rFonts w:hint="eastAsia" w:ascii="宋体" w:hAnsi="宋体" w:eastAsia="宋体" w:cs="宋体"/>
          <w:spacing w:val="-3"/>
          <w:sz w:val="28"/>
          <w:szCs w:val="28"/>
          <w:highlight w:val="none"/>
        </w:rPr>
        <w:t>应在当月</w:t>
      </w:r>
      <w:r>
        <w:rPr>
          <w:rFonts w:hint="eastAsia" w:ascii="宋体" w:hAnsi="宋体" w:eastAsia="宋体" w:cs="宋体"/>
          <w:sz w:val="28"/>
          <w:szCs w:val="28"/>
          <w:highlight w:val="none"/>
        </w:rPr>
        <w:t>对账，确</w:t>
      </w:r>
      <w:r>
        <w:rPr>
          <w:rFonts w:hint="eastAsia" w:ascii="宋体" w:hAnsi="宋体" w:eastAsia="宋体" w:cs="宋体"/>
          <w:spacing w:val="-13"/>
          <w:sz w:val="28"/>
          <w:szCs w:val="28"/>
          <w:highlight w:val="none"/>
        </w:rPr>
        <w:t>认《劳务人员及费用明细》。</w:t>
      </w:r>
      <w:r>
        <w:rPr>
          <w:rFonts w:hint="eastAsia" w:ascii="宋体" w:hAnsi="宋体" w:eastAsia="宋体" w:cs="宋体"/>
          <w:sz w:val="28"/>
          <w:szCs w:val="28"/>
          <w:highlight w:val="none"/>
          <w:lang w:val="en-US" w:eastAsia="zh-CN"/>
        </w:rPr>
        <w:t>中标人</w:t>
      </w:r>
      <w:r>
        <w:rPr>
          <w:rFonts w:hint="eastAsia" w:ascii="宋体" w:hAnsi="宋体" w:eastAsia="宋体" w:cs="宋体"/>
          <w:spacing w:val="-5"/>
          <w:sz w:val="28"/>
          <w:szCs w:val="28"/>
          <w:highlight w:val="none"/>
        </w:rPr>
        <w:t>应在</w:t>
      </w:r>
      <w:r>
        <w:rPr>
          <w:rFonts w:hint="eastAsia" w:ascii="宋体" w:hAnsi="宋体" w:eastAsia="宋体" w:cs="宋体"/>
          <w:sz w:val="28"/>
          <w:szCs w:val="28"/>
          <w:highlight w:val="none"/>
          <w:lang w:val="en-US" w:eastAsia="zh-CN"/>
        </w:rPr>
        <w:t>招标人</w:t>
      </w:r>
      <w:r>
        <w:rPr>
          <w:rFonts w:hint="eastAsia" w:ascii="宋体" w:hAnsi="宋体" w:eastAsia="宋体" w:cs="宋体"/>
          <w:spacing w:val="-5"/>
          <w:sz w:val="28"/>
          <w:szCs w:val="28"/>
          <w:highlight w:val="none"/>
        </w:rPr>
        <w:t>每次付费前开具合格、等额增</w:t>
      </w:r>
      <w:r>
        <w:rPr>
          <w:rFonts w:hint="eastAsia" w:ascii="宋体" w:hAnsi="宋体" w:eastAsia="宋体" w:cs="宋体"/>
          <w:sz w:val="28"/>
          <w:szCs w:val="28"/>
          <w:highlight w:val="none"/>
        </w:rPr>
        <w:t>值税专用发票。</w:t>
      </w:r>
      <w:r>
        <w:rPr>
          <w:rFonts w:hint="eastAsia" w:ascii="宋体" w:hAnsi="宋体" w:eastAsia="宋体" w:cs="宋体"/>
          <w:color w:val="000000" w:themeColor="text1"/>
          <w:highlight w:val="none"/>
          <w14:textFill>
            <w14:solidFill>
              <w14:schemeClr w14:val="tx1"/>
            </w14:solidFill>
          </w14:textFill>
        </w:rPr>
        <w:br w:type="page"/>
      </w:r>
    </w:p>
    <w:p w14:paraId="25306652">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87" w:name="_Toc1695"/>
      <w:r>
        <w:rPr>
          <w:rFonts w:hint="eastAsia" w:ascii="宋体" w:hAnsi="宋体" w:eastAsia="宋体" w:cs="宋体"/>
          <w:color w:val="000000" w:themeColor="text1"/>
          <w:highlight w:val="none"/>
          <w14:textFill>
            <w14:solidFill>
              <w14:schemeClr w14:val="tx1"/>
            </w14:solidFill>
          </w14:textFill>
        </w:rPr>
        <w:t>第五章  投标文件格式</w:t>
      </w:r>
      <w:bookmarkEnd w:id="87"/>
    </w:p>
    <w:p w14:paraId="00CDB517">
      <w:pPr>
        <w:pageBreakBefore w:val="0"/>
        <w:kinsoku/>
        <w:overflowPunct/>
        <w:topLinePunct w:val="0"/>
        <w:bidi w:val="0"/>
        <w:adjustRightInd/>
        <w:snapToGrid/>
        <w:jc w:val="center"/>
        <w:rPr>
          <w:rFonts w:hint="eastAsia" w:ascii="宋体" w:hAnsi="宋体" w:eastAsia="宋体" w:cs="宋体"/>
          <w:bCs/>
          <w:color w:val="000000" w:themeColor="text1"/>
          <w:sz w:val="84"/>
          <w:highlight w:val="none"/>
          <w14:textFill>
            <w14:solidFill>
              <w14:schemeClr w14:val="tx1"/>
            </w14:solidFill>
          </w14:textFill>
        </w:rPr>
      </w:pPr>
      <w:r>
        <w:rPr>
          <w:rFonts w:hint="eastAsia" w:ascii="宋体" w:hAnsi="宋体" w:eastAsia="宋体" w:cs="宋体"/>
          <w:bCs/>
          <w:color w:val="000000" w:themeColor="text1"/>
          <w:sz w:val="84"/>
          <w:highlight w:val="none"/>
          <w14:textFill>
            <w14:solidFill>
              <w14:schemeClr w14:val="tx1"/>
            </w14:solidFill>
          </w14:textFill>
        </w:rPr>
        <w:t>投 标 文 件</w:t>
      </w:r>
    </w:p>
    <w:p w14:paraId="49EEBA8B">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p>
    <w:p w14:paraId="09B03154">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r>
        <w:rPr>
          <w:rFonts w:hint="eastAsia" w:ascii="宋体" w:hAnsi="宋体" w:eastAsia="宋体" w:cs="宋体"/>
          <w:color w:val="000000" w:themeColor="text1"/>
          <w:sz w:val="72"/>
          <w:highlight w:val="none"/>
          <w14:textFill>
            <w14:solidFill>
              <w14:schemeClr w14:val="tx1"/>
            </w14:solidFill>
          </w14:textFill>
        </w:rPr>
        <w:t>（第一册）</w:t>
      </w:r>
    </w:p>
    <w:p w14:paraId="6021C8F3">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p>
    <w:p w14:paraId="5F35FC63">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p>
    <w:p w14:paraId="506B857D">
      <w:pPr>
        <w:pageBreakBefore w:val="0"/>
        <w:kinsoku/>
        <w:overflowPunct/>
        <w:topLinePunct w:val="0"/>
        <w:bidi w:val="0"/>
        <w:adjustRightInd/>
        <w:snapToGrid/>
        <w:ind w:firstLine="1080" w:firstLineChars="300"/>
        <w:jc w:val="left"/>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bCs/>
          <w:color w:val="000000" w:themeColor="text1"/>
          <w:sz w:val="36"/>
          <w:szCs w:val="36"/>
          <w:highlight w:val="none"/>
          <w14:textFill>
            <w14:solidFill>
              <w14:schemeClr w14:val="tx1"/>
            </w14:solidFill>
          </w14:textFill>
        </w:rPr>
        <w:t>项目名称：</w:t>
      </w:r>
    </w:p>
    <w:p w14:paraId="1AB8C4CD">
      <w:pPr>
        <w:pageBreakBefore w:val="0"/>
        <w:kinsoku/>
        <w:overflowPunct/>
        <w:topLinePunct w:val="0"/>
        <w:bidi w:val="0"/>
        <w:adjustRightInd/>
        <w:snapToGrid/>
        <w:ind w:firstLine="1080" w:firstLineChars="300"/>
        <w:jc w:val="left"/>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bCs/>
          <w:color w:val="000000" w:themeColor="text1"/>
          <w:sz w:val="36"/>
          <w:szCs w:val="36"/>
          <w:highlight w:val="none"/>
          <w14:textFill>
            <w14:solidFill>
              <w14:schemeClr w14:val="tx1"/>
            </w14:solidFill>
          </w14:textFill>
        </w:rPr>
        <w:t>招标编号：</w:t>
      </w:r>
    </w:p>
    <w:p w14:paraId="71980B7A">
      <w:pPr>
        <w:pageBreakBefore w:val="0"/>
        <w:kinsoku/>
        <w:overflowPunct/>
        <w:topLinePunct w:val="0"/>
        <w:bidi w:val="0"/>
        <w:adjustRightInd/>
        <w:snapToGrid/>
        <w:jc w:val="left"/>
        <w:rPr>
          <w:rFonts w:hint="eastAsia" w:ascii="宋体" w:hAnsi="宋体" w:eastAsia="宋体" w:cs="宋体"/>
          <w:color w:val="000000" w:themeColor="text1"/>
          <w:sz w:val="44"/>
          <w:highlight w:val="none"/>
          <w14:textFill>
            <w14:solidFill>
              <w14:schemeClr w14:val="tx1"/>
            </w14:solidFill>
          </w14:textFill>
        </w:rPr>
      </w:pPr>
    </w:p>
    <w:p w14:paraId="0FEA2AB9">
      <w:pPr>
        <w:pageBreakBefore w:val="0"/>
        <w:kinsoku/>
        <w:overflowPunct/>
        <w:topLinePunct w:val="0"/>
        <w:bidi w:val="0"/>
        <w:adjustRightInd/>
        <w:snapToGrid/>
        <w:jc w:val="left"/>
        <w:rPr>
          <w:rFonts w:hint="eastAsia" w:ascii="宋体" w:hAnsi="宋体" w:eastAsia="宋体" w:cs="宋体"/>
          <w:color w:val="000000" w:themeColor="text1"/>
          <w:sz w:val="36"/>
          <w:highlight w:val="none"/>
          <w14:textFill>
            <w14:solidFill>
              <w14:schemeClr w14:val="tx1"/>
            </w14:solidFill>
          </w14:textFill>
        </w:rPr>
      </w:pPr>
    </w:p>
    <w:p w14:paraId="3E02E76E">
      <w:pPr>
        <w:pageBreakBefore w:val="0"/>
        <w:tabs>
          <w:tab w:val="left" w:pos="580"/>
        </w:tabs>
        <w:kinsoku/>
        <w:overflowPunct/>
        <w:topLinePunct w:val="0"/>
        <w:bidi w:val="0"/>
        <w:adjustRightInd/>
        <w:snapToGrid/>
        <w:ind w:left="185" w:leftChars="88" w:firstLine="1800" w:firstLineChars="500"/>
        <w:rPr>
          <w:rFonts w:hint="eastAsia" w:ascii="宋体" w:hAnsi="宋体" w:eastAsia="宋体" w:cs="宋体"/>
          <w:color w:val="000000" w:themeColor="text1"/>
          <w:kern w:val="0"/>
          <w:sz w:val="36"/>
          <w:szCs w:val="21"/>
          <w:highlight w:val="none"/>
          <w14:textFill>
            <w14:solidFill>
              <w14:schemeClr w14:val="tx1"/>
            </w14:solidFill>
          </w14:textFill>
        </w:rPr>
      </w:pPr>
    </w:p>
    <w:p w14:paraId="2D9394FC">
      <w:pPr>
        <w:pageBreakBefore w:val="0"/>
        <w:tabs>
          <w:tab w:val="left" w:pos="580"/>
        </w:tabs>
        <w:kinsoku/>
        <w:overflowPunct/>
        <w:topLinePunct w:val="0"/>
        <w:bidi w:val="0"/>
        <w:adjustRightInd/>
        <w:snapToGrid/>
        <w:ind w:left="185" w:leftChars="88" w:firstLine="1800" w:firstLineChars="500"/>
        <w:rPr>
          <w:rFonts w:hint="eastAsia" w:ascii="宋体" w:hAnsi="宋体" w:eastAsia="宋体" w:cs="宋体"/>
          <w:color w:val="000000" w:themeColor="text1"/>
          <w:kern w:val="0"/>
          <w:sz w:val="36"/>
          <w:szCs w:val="36"/>
          <w:highlight w:val="none"/>
          <w14:textFill>
            <w14:solidFill>
              <w14:schemeClr w14:val="tx1"/>
            </w14:solidFill>
          </w14:textFill>
        </w:rPr>
      </w:pPr>
    </w:p>
    <w:p w14:paraId="2339F8C7">
      <w:pPr>
        <w:pageBreakBefore w:val="0"/>
        <w:tabs>
          <w:tab w:val="left" w:pos="580"/>
        </w:tabs>
        <w:kinsoku/>
        <w:overflowPunct/>
        <w:topLinePunct w:val="0"/>
        <w:bidi w:val="0"/>
        <w:adjustRightInd/>
        <w:snapToGrid/>
        <w:ind w:firstLine="1800" w:firstLineChars="500"/>
        <w:rPr>
          <w:rFonts w:hint="eastAsia" w:ascii="宋体" w:hAnsi="宋体" w:eastAsia="宋体" w:cs="宋体"/>
          <w:color w:val="000000" w:themeColor="text1"/>
          <w:kern w:val="0"/>
          <w:sz w:val="36"/>
          <w:szCs w:val="36"/>
          <w:highlight w:val="none"/>
          <w:lang w:eastAsia="zh-CN"/>
          <w14:textFill>
            <w14:solidFill>
              <w14:schemeClr w14:val="tx1"/>
            </w14:solidFill>
          </w14:textFill>
        </w:rPr>
      </w:pPr>
      <w:r>
        <w:rPr>
          <w:rFonts w:hint="eastAsia" w:ascii="宋体" w:hAnsi="宋体" w:eastAsia="宋体" w:cs="宋体"/>
          <w:color w:val="000000" w:themeColor="text1"/>
          <w:kern w:val="0"/>
          <w:sz w:val="36"/>
          <w:szCs w:val="36"/>
          <w:highlight w:val="none"/>
          <w14:textFill>
            <w14:solidFill>
              <w14:schemeClr w14:val="tx1"/>
            </w14:solidFill>
          </w14:textFill>
        </w:rPr>
        <w:t>投标人名称：</w:t>
      </w:r>
      <w:r>
        <w:rPr>
          <w:rFonts w:hint="eastAsia" w:ascii="宋体" w:hAnsi="宋体" w:eastAsia="宋体" w:cs="宋体"/>
          <w:color w:val="000000" w:themeColor="text1"/>
          <w:kern w:val="0"/>
          <w:sz w:val="36"/>
          <w:szCs w:val="36"/>
          <w:highlight w:val="none"/>
          <w:lang w:eastAsia="zh-CN"/>
          <w14:textFill>
            <w14:solidFill>
              <w14:schemeClr w14:val="tx1"/>
            </w14:solidFill>
          </w14:textFill>
        </w:rPr>
        <w:t>PURM202604070001</w:t>
      </w:r>
    </w:p>
    <w:p w14:paraId="41379C3C">
      <w:pPr>
        <w:pageBreakBefore w:val="0"/>
        <w:tabs>
          <w:tab w:val="left" w:pos="580"/>
        </w:tabs>
        <w:kinsoku/>
        <w:overflowPunct/>
        <w:topLinePunct w:val="0"/>
        <w:bidi w:val="0"/>
        <w:adjustRightInd/>
        <w:snapToGrid/>
        <w:ind w:firstLine="1800" w:firstLineChars="500"/>
        <w:rPr>
          <w:rFonts w:hint="eastAsia" w:ascii="宋体" w:hAnsi="宋体" w:eastAsia="宋体" w:cs="宋体"/>
          <w:color w:val="000000" w:themeColor="text1"/>
          <w:kern w:val="0"/>
          <w:sz w:val="36"/>
          <w:szCs w:val="36"/>
          <w:highlight w:val="none"/>
          <w14:textFill>
            <w14:solidFill>
              <w14:schemeClr w14:val="tx1"/>
            </w14:solidFill>
          </w14:textFill>
        </w:rPr>
      </w:pPr>
      <w:r>
        <w:rPr>
          <w:rFonts w:hint="eastAsia" w:ascii="宋体" w:hAnsi="宋体" w:eastAsia="宋体" w:cs="宋体"/>
          <w:color w:val="000000" w:themeColor="text1"/>
          <w:kern w:val="0"/>
          <w:sz w:val="36"/>
          <w:szCs w:val="36"/>
          <w:highlight w:val="none"/>
          <w14:textFill>
            <w14:solidFill>
              <w14:schemeClr w14:val="tx1"/>
            </w14:solidFill>
          </w14:textFill>
        </w:rPr>
        <w:t>日期：   年  月  日</w:t>
      </w:r>
    </w:p>
    <w:p w14:paraId="0C42B42E">
      <w:pPr>
        <w:pageBreakBefore w:val="0"/>
        <w:tabs>
          <w:tab w:val="left" w:pos="580"/>
        </w:tabs>
        <w:kinsoku/>
        <w:overflowPunct/>
        <w:topLinePunct w:val="0"/>
        <w:bidi w:val="0"/>
        <w:adjustRightInd/>
        <w:snapToGrid/>
        <w:ind w:firstLine="1800" w:firstLineChars="500"/>
        <w:rPr>
          <w:rFonts w:hint="eastAsia" w:ascii="宋体" w:hAnsi="宋体" w:eastAsia="宋体" w:cs="宋体"/>
          <w:color w:val="000000" w:themeColor="text1"/>
          <w:kern w:val="0"/>
          <w:sz w:val="36"/>
          <w:szCs w:val="36"/>
          <w:highlight w:val="none"/>
          <w14:textFill>
            <w14:solidFill>
              <w14:schemeClr w14:val="tx1"/>
            </w14:solidFill>
          </w14:textFill>
        </w:rPr>
      </w:pPr>
    </w:p>
    <w:p w14:paraId="128A1929">
      <w:pPr>
        <w:pStyle w:val="2"/>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406DD356">
      <w:pPr>
        <w:pStyle w:val="27"/>
        <w:pageBreakBefore w:val="0"/>
        <w:kinsoku/>
        <w:overflowPunct/>
        <w:topLinePunct w:val="0"/>
        <w:bidi w:val="0"/>
        <w:adjustRightInd/>
        <w:snapToGrid/>
        <w:ind w:left="5250"/>
        <w:rPr>
          <w:rFonts w:hint="eastAsia" w:ascii="宋体" w:hAnsi="宋体" w:eastAsia="宋体" w:cs="宋体"/>
          <w:highlight w:val="none"/>
        </w:rPr>
      </w:pPr>
    </w:p>
    <w:p w14:paraId="2E91996B">
      <w:pPr>
        <w:pStyle w:val="2"/>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67CC4B4A">
      <w:pPr>
        <w:pageBreakBefore w:val="0"/>
        <w:kinsoku/>
        <w:overflowPunct/>
        <w:topLinePunct w:val="0"/>
        <w:bidi w:val="0"/>
        <w:adjustRightInd/>
        <w:snapToGrid/>
        <w:rPr>
          <w:rFonts w:hint="eastAsia" w:ascii="宋体" w:hAnsi="宋体" w:eastAsia="宋体" w:cs="宋体"/>
          <w:highlight w:val="none"/>
        </w:rPr>
      </w:pPr>
    </w:p>
    <w:p w14:paraId="0E2AA32B">
      <w:pPr>
        <w:pStyle w:val="2"/>
        <w:pageBreakBefore w:val="0"/>
        <w:kinsoku/>
        <w:overflowPunct/>
        <w:topLinePunct w:val="0"/>
        <w:bidi w:val="0"/>
        <w:adjustRightInd/>
        <w:snapToGrid/>
        <w:rPr>
          <w:rFonts w:hint="eastAsia" w:ascii="宋体" w:hAnsi="宋体" w:eastAsia="宋体" w:cs="宋体"/>
          <w:highlight w:val="none"/>
        </w:rPr>
      </w:pPr>
    </w:p>
    <w:p w14:paraId="4E538282">
      <w:pPr>
        <w:pageBreakBefore w:val="0"/>
        <w:kinsoku/>
        <w:overflowPunct/>
        <w:topLinePunct w:val="0"/>
        <w:bidi w:val="0"/>
        <w:adjustRightInd/>
        <w:snapToGrid/>
        <w:jc w:val="center"/>
        <w:rPr>
          <w:rFonts w:hint="eastAsia"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color w:val="000000" w:themeColor="text1"/>
          <w:sz w:val="44"/>
          <w:szCs w:val="44"/>
          <w:highlight w:val="none"/>
          <w14:textFill>
            <w14:solidFill>
              <w14:schemeClr w14:val="tx1"/>
            </w14:solidFill>
          </w14:textFill>
        </w:rPr>
        <w:t>目录</w:t>
      </w:r>
    </w:p>
    <w:p w14:paraId="04C8FED5">
      <w:pPr>
        <w:pageBreakBefore w:val="0"/>
        <w:kinsoku/>
        <w:overflowPunct/>
        <w:topLinePunct w:val="0"/>
        <w:bidi w:val="0"/>
        <w:adjustRightInd/>
        <w:snapToGrid/>
        <w:jc w:val="center"/>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（由投标人自行编制）</w:t>
      </w:r>
    </w:p>
    <w:p w14:paraId="1664FFCE">
      <w:pPr>
        <w:pStyle w:val="2"/>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0EC5D6C1">
      <w:pPr>
        <w:pStyle w:val="27"/>
        <w:pageBreakBefore w:val="0"/>
        <w:kinsoku/>
        <w:overflowPunct/>
        <w:topLinePunct w:val="0"/>
        <w:bidi w:val="0"/>
        <w:adjustRightInd/>
        <w:snapToGrid/>
        <w:ind w:left="5250"/>
        <w:rPr>
          <w:rFonts w:hint="eastAsia" w:ascii="宋体" w:hAnsi="宋体" w:eastAsia="宋体" w:cs="宋体"/>
          <w:color w:val="000000" w:themeColor="text1"/>
          <w:highlight w:val="none"/>
          <w14:textFill>
            <w14:solidFill>
              <w14:schemeClr w14:val="tx1"/>
            </w14:solidFill>
          </w14:textFill>
        </w:rPr>
      </w:pPr>
    </w:p>
    <w:p w14:paraId="7FA6BB4C">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10F89B0">
      <w:pPr>
        <w:pStyle w:val="46"/>
        <w:pageBreakBefore w:val="0"/>
        <w:kinsoku/>
        <w:overflowPunct/>
        <w:topLinePunct w:val="0"/>
        <w:bidi w:val="0"/>
        <w:adjustRightInd/>
        <w:snapToGrid/>
        <w:rPr>
          <w:rFonts w:hint="eastAsia" w:ascii="宋体" w:hAnsi="宋体" w:eastAsia="宋体" w:cs="宋体"/>
          <w:highlight w:val="none"/>
          <w:lang w:eastAsia="zh-CN"/>
        </w:rPr>
      </w:pPr>
    </w:p>
    <w:p w14:paraId="322D921C">
      <w:pPr>
        <w:pStyle w:val="46"/>
        <w:pageBreakBefore w:val="0"/>
        <w:kinsoku/>
        <w:overflowPunct/>
        <w:topLinePunct w:val="0"/>
        <w:bidi w:val="0"/>
        <w:adjustRightInd/>
        <w:snapToGrid/>
        <w:rPr>
          <w:rFonts w:hint="eastAsia" w:ascii="宋体" w:hAnsi="宋体" w:eastAsia="宋体" w:cs="宋体"/>
          <w:highlight w:val="none"/>
          <w:lang w:eastAsia="zh-CN"/>
        </w:rPr>
      </w:pPr>
    </w:p>
    <w:p w14:paraId="32D72AA7">
      <w:pPr>
        <w:pStyle w:val="46"/>
        <w:pageBreakBefore w:val="0"/>
        <w:kinsoku/>
        <w:overflowPunct/>
        <w:topLinePunct w:val="0"/>
        <w:bidi w:val="0"/>
        <w:adjustRightInd/>
        <w:snapToGrid/>
        <w:rPr>
          <w:rFonts w:hint="eastAsia" w:ascii="宋体" w:hAnsi="宋体" w:eastAsia="宋体" w:cs="宋体"/>
          <w:highlight w:val="none"/>
          <w:lang w:eastAsia="zh-CN"/>
        </w:rPr>
      </w:pPr>
    </w:p>
    <w:p w14:paraId="0B4B98F4">
      <w:pPr>
        <w:pStyle w:val="46"/>
        <w:pageBreakBefore w:val="0"/>
        <w:kinsoku/>
        <w:overflowPunct/>
        <w:topLinePunct w:val="0"/>
        <w:bidi w:val="0"/>
        <w:adjustRightInd/>
        <w:snapToGrid/>
        <w:rPr>
          <w:rFonts w:hint="eastAsia" w:ascii="宋体" w:hAnsi="宋体" w:eastAsia="宋体" w:cs="宋体"/>
          <w:highlight w:val="none"/>
          <w:lang w:eastAsia="zh-CN"/>
        </w:rPr>
      </w:pPr>
    </w:p>
    <w:p w14:paraId="33B62F60">
      <w:pPr>
        <w:pStyle w:val="46"/>
        <w:pageBreakBefore w:val="0"/>
        <w:kinsoku/>
        <w:overflowPunct/>
        <w:topLinePunct w:val="0"/>
        <w:bidi w:val="0"/>
        <w:adjustRightInd/>
        <w:snapToGrid/>
        <w:rPr>
          <w:rFonts w:hint="eastAsia" w:ascii="宋体" w:hAnsi="宋体" w:eastAsia="宋体" w:cs="宋体"/>
          <w:highlight w:val="none"/>
          <w:lang w:eastAsia="zh-CN"/>
        </w:rPr>
      </w:pPr>
    </w:p>
    <w:p w14:paraId="00C73EF4">
      <w:pPr>
        <w:pStyle w:val="46"/>
        <w:pageBreakBefore w:val="0"/>
        <w:kinsoku/>
        <w:overflowPunct/>
        <w:topLinePunct w:val="0"/>
        <w:bidi w:val="0"/>
        <w:adjustRightInd/>
        <w:snapToGrid/>
        <w:rPr>
          <w:rFonts w:hint="eastAsia" w:ascii="宋体" w:hAnsi="宋体" w:eastAsia="宋体" w:cs="宋体"/>
          <w:highlight w:val="none"/>
          <w:lang w:eastAsia="zh-CN"/>
        </w:rPr>
      </w:pPr>
    </w:p>
    <w:p w14:paraId="0236CE8E">
      <w:pPr>
        <w:pStyle w:val="46"/>
        <w:pageBreakBefore w:val="0"/>
        <w:kinsoku/>
        <w:overflowPunct/>
        <w:topLinePunct w:val="0"/>
        <w:bidi w:val="0"/>
        <w:adjustRightInd/>
        <w:snapToGrid/>
        <w:rPr>
          <w:rFonts w:hint="eastAsia" w:ascii="宋体" w:hAnsi="宋体" w:eastAsia="宋体" w:cs="宋体"/>
          <w:highlight w:val="none"/>
          <w:lang w:eastAsia="zh-CN"/>
        </w:rPr>
      </w:pPr>
    </w:p>
    <w:p w14:paraId="60BD0EC0">
      <w:pPr>
        <w:pStyle w:val="46"/>
        <w:pageBreakBefore w:val="0"/>
        <w:kinsoku/>
        <w:overflowPunct/>
        <w:topLinePunct w:val="0"/>
        <w:bidi w:val="0"/>
        <w:adjustRightInd/>
        <w:snapToGrid/>
        <w:rPr>
          <w:rFonts w:hint="eastAsia" w:ascii="宋体" w:hAnsi="宋体" w:eastAsia="宋体" w:cs="宋体"/>
          <w:highlight w:val="none"/>
          <w:lang w:eastAsia="zh-CN"/>
        </w:rPr>
      </w:pPr>
    </w:p>
    <w:p w14:paraId="0725D026">
      <w:pPr>
        <w:pageBreakBefore w:val="0"/>
        <w:kinsoku/>
        <w:overflowPunct/>
        <w:topLinePunct w:val="0"/>
        <w:bidi w:val="0"/>
        <w:adjustRightInd/>
        <w:snapToGrid/>
        <w:spacing w:line="360" w:lineRule="auto"/>
        <w:ind w:right="1204"/>
        <w:jc w:val="center"/>
        <w:rPr>
          <w:rFonts w:hint="eastAsia" w:ascii="宋体" w:hAnsi="宋体" w:eastAsia="宋体" w:cs="宋体"/>
          <w:bCs/>
          <w:color w:val="000000" w:themeColor="text1"/>
          <w:sz w:val="44"/>
          <w:szCs w:val="32"/>
          <w:highlight w:val="none"/>
          <w14:textFill>
            <w14:solidFill>
              <w14:schemeClr w14:val="tx1"/>
            </w14:solidFill>
          </w14:textFill>
        </w:rPr>
      </w:pPr>
      <w:bookmarkStart w:id="88" w:name="_Toc524682807"/>
    </w:p>
    <w:p w14:paraId="32E37A87">
      <w:pP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br w:type="page"/>
      </w:r>
    </w:p>
    <w:p w14:paraId="63E53837">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投标承诺函</w:t>
      </w:r>
      <w:bookmarkEnd w:id="88"/>
    </w:p>
    <w:p w14:paraId="1859CD29">
      <w:pPr>
        <w:pageBreakBefore w:val="0"/>
        <w:kinsoku/>
        <w:overflowPunct/>
        <w:topLinePunct w:val="0"/>
        <w:bidi w:val="0"/>
        <w:adjustRightInd/>
        <w:snapToGrid/>
        <w:spacing w:line="360" w:lineRule="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山东同力建设项目管理有限公司</w:t>
      </w:r>
      <w:r>
        <w:rPr>
          <w:rFonts w:hint="eastAsia" w:ascii="宋体" w:hAnsi="宋体" w:eastAsia="宋体" w:cs="宋体"/>
          <w:color w:val="000000" w:themeColor="text1"/>
          <w:kern w:val="0"/>
          <w:sz w:val="28"/>
          <w:szCs w:val="28"/>
          <w:highlight w:val="none"/>
          <w14:textFill>
            <w14:solidFill>
              <w14:schemeClr w14:val="tx1"/>
            </w14:solidFill>
          </w14:textFill>
        </w:rPr>
        <w:t>：</w:t>
      </w:r>
    </w:p>
    <w:p w14:paraId="7FA2EDD2">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我方根据编号为</w:t>
      </w:r>
      <w:r>
        <w:rPr>
          <w:rFonts w:hint="eastAsia" w:ascii="宋体" w:hAnsi="宋体" w:eastAsia="宋体" w:cs="宋体"/>
          <w:color w:val="000000" w:themeColor="text1"/>
          <w:kern w:val="0"/>
          <w:sz w:val="28"/>
          <w:szCs w:val="28"/>
          <w:highlight w:val="none"/>
          <w:lang w:eastAsia="zh-CN"/>
          <w14:textFill>
            <w14:solidFill>
              <w14:schemeClr w14:val="tx1"/>
            </w14:solidFill>
          </w14:textFill>
        </w:rPr>
        <w:t>PURM202604070001</w:t>
      </w:r>
      <w:r>
        <w:rPr>
          <w:rFonts w:hint="eastAsia" w:ascii="宋体" w:hAnsi="宋体" w:eastAsia="宋体" w:cs="宋体"/>
          <w:color w:val="000000" w:themeColor="text1"/>
          <w:kern w:val="0"/>
          <w:sz w:val="28"/>
          <w:szCs w:val="28"/>
          <w:highlight w:val="none"/>
          <w14:textFill>
            <w14:solidFill>
              <w14:schemeClr w14:val="tx1"/>
            </w14:solidFill>
          </w14:textFill>
        </w:rPr>
        <w:t>的招标文件的要求，经详细研究决定参加投标。</w:t>
      </w:r>
    </w:p>
    <w:p w14:paraId="24AA6D1A">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1.我方接受本招标文件中关于电子招投标的各项规定，遵守《中华人民共和国电子签名法》关于电子签名的各项规定。我方愿意按照招标文件的规定和要求提供服务，报价详见《投标（报价）一览表》。</w:t>
      </w:r>
    </w:p>
    <w:p w14:paraId="2BAD8AD0">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27FB9ADB">
      <w:pPr>
        <w:pageBreakBefore w:val="0"/>
        <w:kinsoku/>
        <w:overflowPunct/>
        <w:topLinePunct w:val="0"/>
        <w:bidi w:val="0"/>
        <w:adjustRightInd/>
        <w:snapToGrid/>
        <w:spacing w:line="360" w:lineRule="auto"/>
        <w:ind w:firstLine="560" w:firstLineChars="200"/>
        <w:rPr>
          <w:rFonts w:hint="eastAsia" w:ascii="宋体" w:hAnsi="宋体" w:eastAsia="宋体" w:cs="宋体"/>
          <w:b/>
          <w:strike/>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11301CB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4.如果我方中标：</w:t>
      </w:r>
    </w:p>
    <w:p w14:paraId="625C9093">
      <w:pPr>
        <w:pageBreakBefore w:val="0"/>
        <w:kinsoku/>
        <w:overflowPunct/>
        <w:topLinePunct w:val="0"/>
        <w:bidi w:val="0"/>
        <w:adjustRightInd/>
        <w:snapToGrid/>
        <w:spacing w:line="360" w:lineRule="auto"/>
        <w:ind w:firstLine="420" w:firstLineChars="15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（1）我方承诺在中标通知书发出后，在规定期限内与招标人签订合同；</w:t>
      </w:r>
    </w:p>
    <w:p w14:paraId="5AF431BF">
      <w:pPr>
        <w:pageBreakBefore w:val="0"/>
        <w:kinsoku/>
        <w:overflowPunct/>
        <w:topLinePunct w:val="0"/>
        <w:bidi w:val="0"/>
        <w:adjustRightInd/>
        <w:snapToGrid/>
        <w:spacing w:line="360" w:lineRule="auto"/>
        <w:ind w:firstLine="420" w:firstLineChars="15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（2）我方承诺在合同约定的期限内，按期、保质、保量完成项目任务；</w:t>
      </w:r>
    </w:p>
    <w:p w14:paraId="7D071705">
      <w:pPr>
        <w:pageBreakBefore w:val="0"/>
        <w:kinsoku/>
        <w:overflowPunct/>
        <w:topLinePunct w:val="0"/>
        <w:bidi w:val="0"/>
        <w:adjustRightInd/>
        <w:snapToGrid/>
        <w:spacing w:line="360" w:lineRule="auto"/>
        <w:ind w:firstLine="420" w:firstLineChars="15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（3）我方承诺将按照招标文件的规定全额交纳代理服务费。</w:t>
      </w:r>
    </w:p>
    <w:p w14:paraId="26DE99BF">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5.我方在此声明，所提交的投标文件及有关资料内容完整、真实和准确，如有弄虚作假，一旦中标将取消中标资格。</w:t>
      </w:r>
    </w:p>
    <w:p w14:paraId="75B08B11">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6.所有有关本投标的函电，请按下列地址联系：</w:t>
      </w:r>
    </w:p>
    <w:p w14:paraId="0A2BBB94">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单位：                     邮政编码：</w:t>
      </w:r>
    </w:p>
    <w:p w14:paraId="6C175EDF">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地址：                     联系人：</w:t>
      </w:r>
    </w:p>
    <w:p w14:paraId="169C690F">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电话：                     传真：</w:t>
      </w:r>
    </w:p>
    <w:p w14:paraId="6B75E9C2">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开户名称：</w:t>
      </w:r>
    </w:p>
    <w:p w14:paraId="17E1F0FE">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开户银行：</w:t>
      </w:r>
    </w:p>
    <w:p w14:paraId="6D457024">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开户账号：</w:t>
      </w:r>
    </w:p>
    <w:p w14:paraId="04D4E9B4">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投标人（盖章）：</w:t>
      </w:r>
    </w:p>
    <w:p w14:paraId="1F38214B">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法定代表人（盖章）：</w:t>
      </w:r>
    </w:p>
    <w:p w14:paraId="736706B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报价日期：</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highlight w:val="none"/>
          <w14:textFill>
            <w14:solidFill>
              <w14:schemeClr w14:val="tx1"/>
            </w14:solidFill>
          </w14:textFill>
        </w:rPr>
        <w:t>年</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highlight w:val="none"/>
          <w14:textFill>
            <w14:solidFill>
              <w14:schemeClr w14:val="tx1"/>
            </w14:solidFill>
          </w14:textFill>
        </w:rPr>
        <w:t>月</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highlight w:val="none"/>
          <w14:textFill>
            <w14:solidFill>
              <w14:schemeClr w14:val="tx1"/>
            </w14:solidFill>
          </w14:textFill>
        </w:rPr>
        <w:t>日</w:t>
      </w:r>
    </w:p>
    <w:p w14:paraId="3B0DC9AD">
      <w:pPr>
        <w:pageBreakBefore w:val="0"/>
        <w:kinsoku/>
        <w:overflowPunct/>
        <w:topLinePunct w:val="0"/>
        <w:bidi w:val="0"/>
        <w:adjustRightInd/>
        <w:snapToGrid/>
        <w:spacing w:line="360" w:lineRule="auto"/>
        <w:ind w:firstLine="640"/>
        <w:rPr>
          <w:rFonts w:hint="eastAsia" w:ascii="宋体" w:hAnsi="宋体" w:eastAsia="宋体" w:cs="宋体"/>
          <w:color w:val="000000" w:themeColor="text1"/>
          <w:kern w:val="0"/>
          <w:sz w:val="28"/>
          <w:szCs w:val="28"/>
          <w:highlight w:val="none"/>
          <w14:textFill>
            <w14:solidFill>
              <w14:schemeClr w14:val="tx1"/>
            </w14:solidFill>
          </w14:textFill>
        </w:rPr>
      </w:pPr>
    </w:p>
    <w:p w14:paraId="74B215A4">
      <w:pPr>
        <w:pageBreakBefore w:val="0"/>
        <w:kinsoku/>
        <w:overflowPunct/>
        <w:topLinePunct w:val="0"/>
        <w:bidi w:val="0"/>
        <w:adjustRightInd/>
        <w:snapToGrid/>
        <w:spacing w:line="480" w:lineRule="exact"/>
        <w:ind w:firstLine="600" w:firstLineChars="200"/>
        <w:jc w:val="center"/>
        <w:rPr>
          <w:rFonts w:hint="eastAsia" w:ascii="宋体" w:hAnsi="宋体" w:eastAsia="宋体" w:cs="宋体"/>
          <w:bCs/>
          <w:color w:val="000000" w:themeColor="text1"/>
          <w:sz w:val="30"/>
          <w:szCs w:val="30"/>
          <w:highlight w:val="none"/>
          <w14:textFill>
            <w14:solidFill>
              <w14:schemeClr w14:val="tx1"/>
            </w14:solidFill>
          </w14:textFill>
        </w:rPr>
      </w:pPr>
      <w:r>
        <w:rPr>
          <w:rFonts w:hint="eastAsia" w:ascii="宋体" w:hAnsi="宋体" w:eastAsia="宋体" w:cs="宋体"/>
          <w:bCs/>
          <w:color w:val="000000" w:themeColor="text1"/>
          <w:sz w:val="30"/>
          <w:szCs w:val="30"/>
          <w:highlight w:val="none"/>
          <w14:textFill>
            <w14:solidFill>
              <w14:schemeClr w14:val="tx1"/>
            </w14:solidFill>
          </w14:textFill>
        </w:rPr>
        <w:br w:type="page"/>
      </w:r>
      <w:bookmarkEnd w:id="86"/>
      <w:bookmarkStart w:id="89" w:name="_Toc523388132"/>
    </w:p>
    <w:p w14:paraId="0708B017">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投标（报价）一览表</w:t>
      </w:r>
    </w:p>
    <w:p w14:paraId="42A7FC98">
      <w:pPr>
        <w:pStyle w:val="25"/>
        <w:pageBreakBefore w:val="0"/>
        <w:kinsoku/>
        <w:overflowPunct/>
        <w:topLinePunct w:val="0"/>
        <w:bidi w:val="0"/>
        <w:adjustRightInd/>
        <w:snapToGrid/>
        <w:spacing w:line="520" w:lineRule="exac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招标编号：</w:t>
      </w:r>
      <w:r>
        <w:rPr>
          <w:rFonts w:hint="eastAsia" w:hAnsi="宋体" w:eastAsia="宋体" w:cs="宋体"/>
          <w:color w:val="000000" w:themeColor="text1"/>
          <w:sz w:val="28"/>
          <w:szCs w:val="28"/>
          <w:highlight w:val="none"/>
          <w:lang w:eastAsia="zh-CN"/>
          <w14:textFill>
            <w14:solidFill>
              <w14:schemeClr w14:val="tx1"/>
            </w14:solidFill>
          </w14:textFill>
        </w:rPr>
        <w:t>PURM202604070001</w:t>
      </w:r>
    </w:p>
    <w:p w14:paraId="376ED386">
      <w:pPr>
        <w:pStyle w:val="25"/>
        <w:pageBreakBefore w:val="0"/>
        <w:kinsoku/>
        <w:overflowPunct/>
        <w:topLinePunct w:val="0"/>
        <w:bidi w:val="0"/>
        <w:adjustRightInd/>
        <w:snapToGrid/>
        <w:spacing w:line="520" w:lineRule="exac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r>
        <w:rPr>
          <w:rFonts w:hint="eastAsia" w:ascii="宋体" w:hAnsi="宋体" w:eastAsia="宋体" w:cs="宋体"/>
          <w:color w:val="000000" w:themeColor="text1"/>
          <w:sz w:val="28"/>
          <w:szCs w:val="28"/>
          <w:highlight w:val="none"/>
          <w:lang w:eastAsia="zh-CN"/>
          <w14:textFill>
            <w14:solidFill>
              <w14:schemeClr w14:val="tx1"/>
            </w14:solidFill>
          </w14:textFill>
        </w:rPr>
        <w:t>选定劳务服务供应商</w:t>
      </w:r>
    </w:p>
    <w:tbl>
      <w:tblPr>
        <w:tblStyle w:val="52"/>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33"/>
        <w:gridCol w:w="1200"/>
        <w:gridCol w:w="1617"/>
        <w:gridCol w:w="2054"/>
        <w:gridCol w:w="1221"/>
      </w:tblGrid>
      <w:tr w14:paraId="5C8C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17" w:type="dxa"/>
            <w:noWrap w:val="0"/>
            <w:vAlign w:val="center"/>
          </w:tcPr>
          <w:p w14:paraId="55DE7AAE">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szCs w:val="24"/>
                <w:highlight w:val="none"/>
              </w:rPr>
              <w:t>序号</w:t>
            </w:r>
          </w:p>
        </w:tc>
        <w:tc>
          <w:tcPr>
            <w:tcW w:w="2433" w:type="dxa"/>
            <w:noWrap w:val="0"/>
            <w:vAlign w:val="center"/>
          </w:tcPr>
          <w:p w14:paraId="494CEF77">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szCs w:val="24"/>
                <w:highlight w:val="none"/>
              </w:rPr>
              <w:t>主要内容</w:t>
            </w:r>
          </w:p>
        </w:tc>
        <w:tc>
          <w:tcPr>
            <w:tcW w:w="1200" w:type="dxa"/>
            <w:noWrap w:val="0"/>
            <w:vAlign w:val="center"/>
          </w:tcPr>
          <w:p w14:paraId="7C81B673">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sz w:val="28"/>
                <w:szCs w:val="28"/>
                <w:highlight w:val="none"/>
              </w:rPr>
              <w:t>单位</w:t>
            </w:r>
          </w:p>
        </w:tc>
        <w:tc>
          <w:tcPr>
            <w:tcW w:w="1617" w:type="dxa"/>
            <w:noWrap w:val="0"/>
            <w:vAlign w:val="center"/>
          </w:tcPr>
          <w:p w14:paraId="743DC3AF">
            <w:pPr>
              <w:widowControl/>
              <w:spacing w:line="40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单项控制价</w:t>
            </w:r>
          </w:p>
          <w:p w14:paraId="27036E38">
            <w:pPr>
              <w:widowControl/>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sz w:val="24"/>
                <w:szCs w:val="24"/>
                <w:highlight w:val="none"/>
              </w:rPr>
              <w:t>（元）</w:t>
            </w:r>
          </w:p>
        </w:tc>
        <w:tc>
          <w:tcPr>
            <w:tcW w:w="2054" w:type="dxa"/>
            <w:noWrap w:val="0"/>
            <w:vAlign w:val="center"/>
          </w:tcPr>
          <w:p w14:paraId="5F871E6F">
            <w:pPr>
              <w:widowControl/>
              <w:spacing w:line="40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单项报价</w:t>
            </w:r>
          </w:p>
          <w:p w14:paraId="76F66DB3">
            <w:pPr>
              <w:widowControl/>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sz w:val="24"/>
                <w:szCs w:val="24"/>
                <w:highlight w:val="none"/>
              </w:rPr>
              <w:t>（元）</w:t>
            </w:r>
          </w:p>
        </w:tc>
        <w:tc>
          <w:tcPr>
            <w:tcW w:w="1221" w:type="dxa"/>
            <w:noWrap w:val="0"/>
            <w:vAlign w:val="center"/>
          </w:tcPr>
          <w:p w14:paraId="21891B0F">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8"/>
                <w:szCs w:val="28"/>
                <w:highlight w:val="none"/>
              </w:rPr>
              <w:t>备注</w:t>
            </w:r>
          </w:p>
        </w:tc>
      </w:tr>
      <w:tr w14:paraId="141A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7" w:type="dxa"/>
            <w:noWrap w:val="0"/>
            <w:vAlign w:val="center"/>
          </w:tcPr>
          <w:p w14:paraId="1576548D">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rPr>
              <w:t>1</w:t>
            </w:r>
          </w:p>
        </w:tc>
        <w:tc>
          <w:tcPr>
            <w:tcW w:w="2433" w:type="dxa"/>
            <w:noWrap w:val="0"/>
            <w:vAlign w:val="center"/>
          </w:tcPr>
          <w:p w14:paraId="020DE8DA">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sz w:val="28"/>
                <w:szCs w:val="28"/>
                <w:highlight w:val="none"/>
              </w:rPr>
              <w:t>混凝土站、砂浆站、水稳站、沥青站辅助工</w:t>
            </w:r>
          </w:p>
        </w:tc>
        <w:tc>
          <w:tcPr>
            <w:tcW w:w="1200" w:type="dxa"/>
            <w:noWrap w:val="0"/>
            <w:vAlign w:val="center"/>
          </w:tcPr>
          <w:p w14:paraId="38F661E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sz w:val="28"/>
                <w:szCs w:val="28"/>
                <w:highlight w:val="none"/>
                <w:lang w:val="en-US" w:eastAsia="zh-CN"/>
              </w:rPr>
              <w:t>工时</w:t>
            </w:r>
          </w:p>
        </w:tc>
        <w:tc>
          <w:tcPr>
            <w:tcW w:w="1617" w:type="dxa"/>
            <w:noWrap w:val="0"/>
            <w:vAlign w:val="center"/>
          </w:tcPr>
          <w:p w14:paraId="1C600DE2">
            <w:pPr>
              <w:widowControl/>
              <w:spacing w:line="400" w:lineRule="exact"/>
              <w:jc w:val="center"/>
              <w:rPr>
                <w:rFonts w:hint="default" w:ascii="宋体" w:hAnsi="宋体" w:eastAsia="宋体" w:cs="宋体"/>
                <w:color w:val="auto"/>
                <w:sz w:val="24"/>
                <w:szCs w:val="24"/>
                <w:highlight w:val="none"/>
                <w:lang w:val="en-US"/>
              </w:rPr>
            </w:pPr>
            <w:r>
              <w:rPr>
                <w:rFonts w:hint="eastAsia" w:ascii="宋体" w:hAnsi="宋体" w:eastAsia="宋体" w:cs="宋体"/>
                <w:sz w:val="28"/>
                <w:szCs w:val="28"/>
                <w:highlight w:val="none"/>
                <w:lang w:val="en-US" w:eastAsia="zh-CN"/>
              </w:rPr>
              <w:t>28</w:t>
            </w:r>
          </w:p>
        </w:tc>
        <w:tc>
          <w:tcPr>
            <w:tcW w:w="2054" w:type="dxa"/>
            <w:noWrap w:val="0"/>
            <w:vAlign w:val="center"/>
          </w:tcPr>
          <w:p w14:paraId="370E30F0">
            <w:pPr>
              <w:widowControl/>
              <w:spacing w:line="400" w:lineRule="exact"/>
              <w:jc w:val="center"/>
              <w:rPr>
                <w:rFonts w:hint="eastAsia" w:ascii="宋体" w:hAnsi="宋体" w:eastAsia="宋体" w:cs="宋体"/>
                <w:color w:val="auto"/>
                <w:sz w:val="24"/>
                <w:szCs w:val="24"/>
                <w:highlight w:val="none"/>
              </w:rPr>
            </w:pPr>
          </w:p>
        </w:tc>
        <w:tc>
          <w:tcPr>
            <w:tcW w:w="1221" w:type="dxa"/>
            <w:noWrap w:val="0"/>
            <w:vAlign w:val="center"/>
          </w:tcPr>
          <w:p w14:paraId="7E8159F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sz w:val="28"/>
                <w:szCs w:val="28"/>
                <w:highlight w:val="none"/>
              </w:rPr>
              <w:t>包吃住</w:t>
            </w:r>
          </w:p>
        </w:tc>
      </w:tr>
      <w:tr w14:paraId="5E0B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250" w:type="dxa"/>
            <w:gridSpan w:val="2"/>
            <w:noWrap w:val="0"/>
            <w:vAlign w:val="center"/>
          </w:tcPr>
          <w:p w14:paraId="164D950C">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rPr>
              <w:t>项目负责人</w:t>
            </w:r>
          </w:p>
        </w:tc>
        <w:tc>
          <w:tcPr>
            <w:tcW w:w="6092" w:type="dxa"/>
            <w:gridSpan w:val="4"/>
            <w:noWrap w:val="0"/>
            <w:vAlign w:val="center"/>
          </w:tcPr>
          <w:p w14:paraId="6DE08758">
            <w:pPr>
              <w:ind w:firstLine="192" w:firstLineChars="8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联系电话：</w:t>
            </w:r>
            <w:r>
              <w:rPr>
                <w:rFonts w:hint="eastAsia" w:ascii="宋体" w:hAnsi="宋体" w:eastAsia="宋体" w:cs="宋体"/>
                <w:sz w:val="24"/>
                <w:szCs w:val="24"/>
                <w:highlight w:val="none"/>
                <w:u w:val="single"/>
              </w:rPr>
              <w:t xml:space="preserve">          </w:t>
            </w:r>
          </w:p>
        </w:tc>
      </w:tr>
      <w:tr w14:paraId="5882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3250" w:type="dxa"/>
            <w:gridSpan w:val="2"/>
            <w:noWrap w:val="0"/>
            <w:vAlign w:val="center"/>
          </w:tcPr>
          <w:p w14:paraId="0AB277BA">
            <w:pPr>
              <w:pStyle w:val="25"/>
              <w:pageBreakBefore w:val="0"/>
              <w:shd w:val="clear" w:color="auto" w:fill="auto"/>
              <w:kinsoku/>
              <w:overflowPunct/>
              <w:topLinePunct w:val="0"/>
              <w:bidi w:val="0"/>
              <w:adjustRightInd/>
              <w:snapToGrid/>
              <w:spacing w:line="520" w:lineRule="exact"/>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服务期限</w:t>
            </w:r>
          </w:p>
        </w:tc>
        <w:tc>
          <w:tcPr>
            <w:tcW w:w="6092" w:type="dxa"/>
            <w:gridSpan w:val="4"/>
            <w:noWrap w:val="0"/>
            <w:vAlign w:val="center"/>
          </w:tcPr>
          <w:p w14:paraId="45CFF5E2">
            <w:pPr>
              <w:pStyle w:val="46"/>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p>
        </w:tc>
      </w:tr>
      <w:tr w14:paraId="1CBD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9342" w:type="dxa"/>
            <w:gridSpan w:val="6"/>
            <w:noWrap w:val="0"/>
            <w:vAlign w:val="center"/>
          </w:tcPr>
          <w:p w14:paraId="24C806C1">
            <w:pPr>
              <w:pStyle w:val="25"/>
              <w:pageBreakBefore w:val="0"/>
              <w:shd w:val="clear" w:color="auto" w:fill="auto"/>
              <w:kinsoku/>
              <w:overflowPunct/>
              <w:topLinePunct w:val="0"/>
              <w:bidi w:val="0"/>
              <w:adjustRightInd/>
              <w:snapToGrid/>
              <w:spacing w:line="520" w:lineRule="exact"/>
              <w:ind w:firstLine="240" w:firstLineChars="1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投标声明：</w:t>
            </w:r>
          </w:p>
        </w:tc>
      </w:tr>
    </w:tbl>
    <w:p w14:paraId="12646670">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宋体" w:hAnsi="宋体" w:eastAsia="宋体" w:cs="宋体"/>
          <w:color w:val="000000" w:themeColor="text1"/>
          <w:kern w:val="0"/>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bidi="ar-SA"/>
          <w14:textFill>
            <w14:solidFill>
              <w14:schemeClr w14:val="tx1"/>
            </w14:solidFill>
          </w14:textFill>
        </w:rPr>
        <w:t>注：单项报价不得超过单项控制价否则否决投标。</w:t>
      </w:r>
    </w:p>
    <w:p w14:paraId="546790E3">
      <w:pPr>
        <w:pageBreakBefore w:val="0"/>
        <w:kinsoku/>
        <w:overflowPunct/>
        <w:topLinePunct w:val="0"/>
        <w:bidi w:val="0"/>
        <w:adjustRightInd/>
        <w:snapToGrid/>
        <w:spacing w:line="520" w:lineRule="exact"/>
        <w:rPr>
          <w:rFonts w:hint="eastAsia" w:ascii="宋体" w:hAnsi="宋体" w:eastAsia="宋体" w:cs="宋体"/>
          <w:color w:val="000000" w:themeColor="text1"/>
          <w:sz w:val="28"/>
          <w:highlight w:val="none"/>
          <w14:textFill>
            <w14:solidFill>
              <w14:schemeClr w14:val="tx1"/>
            </w14:solidFill>
          </w14:textFill>
        </w:rPr>
      </w:pPr>
    </w:p>
    <w:p w14:paraId="703B7203">
      <w:pPr>
        <w:pageBreakBefore w:val="0"/>
        <w:kinsoku/>
        <w:overflowPunct/>
        <w:topLinePunct w:val="0"/>
        <w:bidi w:val="0"/>
        <w:adjustRightInd/>
        <w:snapToGrid/>
        <w:spacing w:line="520" w:lineRule="exact"/>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1EE20B98">
      <w:pPr>
        <w:pageBreakBefore w:val="0"/>
        <w:kinsoku/>
        <w:overflowPunct/>
        <w:topLinePunct w:val="0"/>
        <w:bidi w:val="0"/>
        <w:adjustRightInd/>
        <w:snapToGrid/>
        <w:spacing w:line="520" w:lineRule="exact"/>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p>
    <w:p w14:paraId="193845C6">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sectPr>
          <w:headerReference r:id="rId9" w:type="first"/>
          <w:headerReference r:id="rId8" w:type="even"/>
          <w:pgSz w:w="11906" w:h="16838"/>
          <w:pgMar w:top="1440" w:right="1083" w:bottom="1440" w:left="1083" w:header="850" w:footer="1134" w:gutter="0"/>
          <w:cols w:space="720" w:num="1"/>
          <w:docGrid w:type="lines" w:linePitch="314" w:charSpace="0"/>
        </w:sectPr>
      </w:pPr>
    </w:p>
    <w:p w14:paraId="18E6D248">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pPr>
      <w: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t>数据文件填写说明</w:t>
      </w:r>
    </w:p>
    <w:p w14:paraId="08651B75">
      <w:pPr>
        <w:pStyle w:val="25"/>
        <w:pageBreakBefore w:val="0"/>
        <w:kinsoku/>
        <w:overflowPunct/>
        <w:topLinePunct w:val="0"/>
        <w:bidi w:val="0"/>
        <w:adjustRightInd/>
        <w:snapToGrid/>
        <w:jc w:val="both"/>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pPr>
      <w:r>
        <w:drawing>
          <wp:inline distT="0" distB="0" distL="114300" distR="114300">
            <wp:extent cx="8862695" cy="3831590"/>
            <wp:effectExtent l="0" t="0" r="1460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8862695" cy="3831590"/>
                    </a:xfrm>
                    <a:prstGeom prst="rect">
                      <a:avLst/>
                    </a:prstGeom>
                    <a:noFill/>
                    <a:ln>
                      <a:noFill/>
                    </a:ln>
                  </pic:spPr>
                </pic:pic>
              </a:graphicData>
            </a:graphic>
          </wp:inline>
        </w:drawing>
      </w:r>
    </w:p>
    <w:p w14:paraId="636635BF">
      <w:pPr>
        <w:pStyle w:val="25"/>
        <w:pageBreakBefore w:val="0"/>
        <w:kinsoku/>
        <w:overflowPunct/>
        <w:topLinePunct w:val="0"/>
        <w:bidi w:val="0"/>
        <w:adjustRightInd/>
        <w:snapToGrid/>
        <w:jc w:val="both"/>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t>1.交付期、服务期可填写响应招标文件要求；</w:t>
      </w:r>
    </w:p>
    <w:p w14:paraId="10BAFB83">
      <w:pPr>
        <w:pStyle w:val="25"/>
        <w:pageBreakBefore w:val="0"/>
        <w:kinsoku/>
        <w:overflowPunct/>
        <w:topLinePunct w:val="0"/>
        <w:bidi w:val="0"/>
        <w:adjustRightInd/>
        <w:snapToGrid/>
        <w:jc w:val="both"/>
        <w:rPr>
          <w:rFonts w:hint="default" w:ascii="宋体" w:hAnsi="宋体" w:eastAsia="宋体" w:cs="宋体"/>
          <w:bCs/>
          <w:color w:val="000000" w:themeColor="text1"/>
          <w:kern w:val="2"/>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t>2.单价填写投标（报价）一览表</w:t>
      </w:r>
      <w:r>
        <w:rPr>
          <w:rFonts w:hint="eastAsia" w:hAnsi="宋体" w:eastAsia="宋体" w:cs="宋体"/>
          <w:bCs/>
          <w:color w:val="000000" w:themeColor="text1"/>
          <w:kern w:val="2"/>
          <w:sz w:val="28"/>
          <w:szCs w:val="28"/>
          <w:highlight w:val="none"/>
          <w:lang w:val="en-US" w:eastAsia="zh-CN"/>
          <w14:textFill>
            <w14:solidFill>
              <w14:schemeClr w14:val="tx1"/>
            </w14:solidFill>
          </w14:textFill>
        </w:rPr>
        <w:t>中的单项报价</w:t>
      </w:r>
      <w:bookmarkStart w:id="99" w:name="_GoBack"/>
      <w:bookmarkEnd w:id="99"/>
    </w:p>
    <w:p w14:paraId="19B88B46">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pPr>
    </w:p>
    <w:p w14:paraId="4559A538">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sectPr>
          <w:footerReference r:id="rId10" w:type="default"/>
          <w:pgSz w:w="16838" w:h="11906" w:orient="landscape"/>
          <w:pgMar w:top="1083" w:right="1440" w:bottom="1083" w:left="1440" w:header="850" w:footer="1134" w:gutter="0"/>
          <w:cols w:space="720" w:num="1"/>
          <w:docGrid w:type="lines" w:linePitch="314" w:charSpace="0"/>
        </w:sectPr>
      </w:pPr>
    </w:p>
    <w:p w14:paraId="36BB9EEC">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pPr>
      <w:bookmarkStart w:id="90" w:name="_Toc66864055"/>
      <w:r>
        <w:rPr>
          <w:rFonts w:hint="eastAsia" w:ascii="宋体" w:hAnsi="宋体" w:eastAsia="宋体" w:cs="宋体"/>
          <w:bCs/>
          <w:color w:val="000000" w:themeColor="text1"/>
          <w:kern w:val="2"/>
          <w:sz w:val="44"/>
          <w:szCs w:val="32"/>
          <w:highlight w:val="none"/>
          <w14:textFill>
            <w14:solidFill>
              <w14:schemeClr w14:val="tx1"/>
            </w14:solidFill>
          </w14:textFill>
        </w:rPr>
        <w:t>投标偏离表</w:t>
      </w:r>
    </w:p>
    <w:p w14:paraId="5404C195">
      <w:pPr>
        <w:pageBreakBefore w:val="0"/>
        <w:kinsoku/>
        <w:overflowPunct/>
        <w:topLinePunct w:val="0"/>
        <w:bidi w:val="0"/>
        <w:adjustRightInd/>
        <w:snapToGrid/>
        <w:spacing w:line="360" w:lineRule="exact"/>
        <w:jc w:val="cente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w:t>
      </w:r>
      <w:r>
        <w:rPr>
          <w:rFonts w:hint="eastAsia" w:ascii="宋体" w:hAnsi="宋体" w:eastAsia="宋体" w:cs="宋体"/>
          <w:bCs/>
          <w:sz w:val="28"/>
          <w:szCs w:val="28"/>
          <w:highlight w:val="none"/>
        </w:rPr>
        <w:t>包括技术规格、参数和商务条款偏离</w:t>
      </w:r>
      <w:r>
        <w:rPr>
          <w:rFonts w:hint="eastAsia" w:ascii="宋体" w:hAnsi="宋体" w:eastAsia="宋体" w:cs="宋体"/>
          <w:bCs/>
          <w:color w:val="000000" w:themeColor="text1"/>
          <w:sz w:val="28"/>
          <w:szCs w:val="28"/>
          <w:highlight w:val="none"/>
          <w14:textFill>
            <w14:solidFill>
              <w14:schemeClr w14:val="tx1"/>
            </w14:solidFill>
          </w14:textFill>
        </w:rPr>
        <w:t>）</w:t>
      </w:r>
    </w:p>
    <w:tbl>
      <w:tblPr>
        <w:tblStyle w:val="52"/>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327A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1BA8A249">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4228" w:type="dxa"/>
            <w:gridSpan w:val="2"/>
            <w:vAlign w:val="center"/>
          </w:tcPr>
          <w:p w14:paraId="30C1DFB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招标文件条款</w:t>
            </w:r>
          </w:p>
        </w:tc>
        <w:tc>
          <w:tcPr>
            <w:tcW w:w="3959" w:type="dxa"/>
            <w:gridSpan w:val="2"/>
            <w:vAlign w:val="center"/>
          </w:tcPr>
          <w:p w14:paraId="17C4766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投标文件条款</w:t>
            </w:r>
          </w:p>
        </w:tc>
        <w:tc>
          <w:tcPr>
            <w:tcW w:w="850" w:type="dxa"/>
            <w:vMerge w:val="restart"/>
            <w:vAlign w:val="center"/>
          </w:tcPr>
          <w:p w14:paraId="68E8BD32">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偏离</w:t>
            </w:r>
          </w:p>
          <w:p w14:paraId="7FEAC616">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情况</w:t>
            </w:r>
          </w:p>
        </w:tc>
      </w:tr>
      <w:tr w14:paraId="2B25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271FAC27">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vAlign w:val="center"/>
          </w:tcPr>
          <w:p w14:paraId="285ACF36">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条款号</w:t>
            </w:r>
          </w:p>
        </w:tc>
        <w:tc>
          <w:tcPr>
            <w:tcW w:w="2857" w:type="dxa"/>
            <w:vAlign w:val="center"/>
          </w:tcPr>
          <w:p w14:paraId="06A25450">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招标文件的内容</w:t>
            </w:r>
          </w:p>
        </w:tc>
        <w:tc>
          <w:tcPr>
            <w:tcW w:w="1323" w:type="dxa"/>
            <w:vAlign w:val="center"/>
          </w:tcPr>
          <w:p w14:paraId="0606507F">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条款号</w:t>
            </w:r>
          </w:p>
        </w:tc>
        <w:tc>
          <w:tcPr>
            <w:tcW w:w="2636" w:type="dxa"/>
            <w:vAlign w:val="center"/>
          </w:tcPr>
          <w:p w14:paraId="7C3FD839">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投标文件偏离内容</w:t>
            </w:r>
          </w:p>
        </w:tc>
        <w:tc>
          <w:tcPr>
            <w:tcW w:w="850" w:type="dxa"/>
            <w:vMerge w:val="continue"/>
          </w:tcPr>
          <w:p w14:paraId="3CBB78C2">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4A01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8005279">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vAlign w:val="center"/>
          </w:tcPr>
          <w:p w14:paraId="0F4C0B42">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vAlign w:val="center"/>
          </w:tcPr>
          <w:p w14:paraId="40D88A5F">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vAlign w:val="center"/>
          </w:tcPr>
          <w:p w14:paraId="666E9D5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vAlign w:val="center"/>
          </w:tcPr>
          <w:p w14:paraId="5C16E20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53AE32D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07F9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4B4B6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35BB715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418E16C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61F9587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0B9AEB3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540B7BA4">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14CE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68AE4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65C72F0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10E3B4B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1E60891C">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4A47675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18E697D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6522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01A791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28E34FF8">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3DC4E72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5B70CBF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12F6A6A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7AB0D6AD">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7646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22FCDC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0F4FEC20">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2510E61C">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0637B48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500A3CD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03C66398">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13D0C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F0B06A4">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68AD7F53">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18665AF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56F01100">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2486DA7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3E82D5D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68B9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3973AF6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42CC48F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52FA690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7FA3C103">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78CEB334">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7CCBCB7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0B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2D29FAE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7CA16258">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3D4754B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389C16D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770B205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6C3B7C7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3809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523E2C81">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p w14:paraId="7F229F8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60861AE1">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7B74FF0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2B33A83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2CDA000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15FE8B6C">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bl>
    <w:p w14:paraId="7AEAEAAE">
      <w:pPr>
        <w:pStyle w:val="25"/>
        <w:pageBreakBefore w:val="0"/>
        <w:kinsoku/>
        <w:overflowPunct/>
        <w:topLinePunct w:val="0"/>
        <w:bidi w:val="0"/>
        <w:adjustRightInd/>
        <w:snapToGrid/>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注：无偏离可填写“无”字，有偏离必须在本表列明，实际存在负偏离而在本表内没有列明的，视为虚假投标。</w:t>
      </w:r>
    </w:p>
    <w:p w14:paraId="6054108E">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613572CA">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222B9EE6">
      <w:pPr>
        <w:pStyle w:val="25"/>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p>
    <w:p w14:paraId="2191B565">
      <w:pP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br w:type="page"/>
      </w:r>
    </w:p>
    <w:p w14:paraId="2A5FE066">
      <w:pPr>
        <w:pStyle w:val="25"/>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投标人信用承诺书</w:t>
      </w:r>
    </w:p>
    <w:p w14:paraId="33389D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43F2AC1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一、我方在此声明，本次采购活动中申报的所有资料都是真实、准确完整的，如发现提供虚假资料，或与事实不符而导致投标（报价）无效，甚至造成任何法律和经济责任，完全由我方负责。</w:t>
      </w:r>
    </w:p>
    <w:p w14:paraId="539847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二、我方在本次采购活动中绝无资质挂靠、串标、围标情形，若经贵方查出，立即取消我方中标（成交）资格并承担相应的法律责任。</w:t>
      </w:r>
    </w:p>
    <w:p w14:paraId="2E674CC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三、我方在以往的采购活动中，无重大违法、违规的不良记录；或虽有不良记录，但已超过处理期限。</w:t>
      </w:r>
    </w:p>
    <w:p w14:paraId="7ACB87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四、我方一旦中标（成交），将按规定及时与贵方签订合同，严格按照投标（报价）文件中所承诺的报价、质量、服务期等内容组织实施。</w:t>
      </w:r>
    </w:p>
    <w:p w14:paraId="746719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五、自觉接受社会各界的监督，依法接受有关行政机关的事中事后监管和执法检查，并如实提供有关情况和材料。</w:t>
      </w:r>
    </w:p>
    <w:p w14:paraId="1B07C38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六、严格遵守国家法律、法规、规章和相关政策的规定，积极参与社会信用体系建设，倡导树立以信笃行，以诚兴业的传统美德，争当信用市民，争创信用企业。</w:t>
      </w:r>
    </w:p>
    <w:p w14:paraId="42FB49D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七、我方承诺我单位、法定代表人、授权委托人近三年内（若单位成立时间不足三年，则自成立时间至今）无行贿犯罪记录。如有不实，愿意承担一切后果。</w:t>
      </w:r>
    </w:p>
    <w:p w14:paraId="0D3F8BB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八</w:t>
      </w:r>
      <w:r>
        <w:rPr>
          <w:rFonts w:hint="eastAsia" w:ascii="宋体" w:hAnsi="宋体" w:eastAsia="宋体" w:cs="宋体"/>
          <w:color w:val="000000" w:themeColor="text1"/>
          <w:kern w:val="0"/>
          <w:sz w:val="28"/>
          <w:szCs w:val="28"/>
          <w:highlight w:val="none"/>
          <w14:textFill>
            <w14:solidFill>
              <w14:schemeClr w14:val="tx1"/>
            </w14:solidFill>
          </w14:textFill>
        </w:rPr>
        <w:t>、本《信用承诺书》同意向社会公开。</w:t>
      </w:r>
    </w:p>
    <w:p w14:paraId="2478B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特别声明：上述《信用承诺书》系我单位真实意思表示，我单位已仔细阅读，充分理解并认识到须承担的法律责任和义务，自愿承担相应的法律风险。</w:t>
      </w:r>
    </w:p>
    <w:p w14:paraId="1DDA404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p>
    <w:p w14:paraId="21AC00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p>
    <w:p w14:paraId="285BAB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承诺单位：                          （盖章）</w:t>
      </w:r>
    </w:p>
    <w:p w14:paraId="1C39C1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p>
    <w:p w14:paraId="755A4F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 xml:space="preserve">                                     年    月    日</w:t>
      </w:r>
      <w:bookmarkStart w:id="91" w:name="_Toc130651408"/>
    </w:p>
    <w:p w14:paraId="6CBCF05C">
      <w:pPr>
        <w:rPr>
          <w:rFonts w:hint="eastAsia"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color w:val="000000" w:themeColor="text1"/>
          <w:sz w:val="44"/>
          <w:szCs w:val="44"/>
          <w:highlight w:val="none"/>
          <w14:textFill>
            <w14:solidFill>
              <w14:schemeClr w14:val="tx1"/>
            </w14:solidFill>
          </w14:textFill>
        </w:rPr>
        <w:br w:type="page"/>
      </w:r>
    </w:p>
    <w:p w14:paraId="6F37B089">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color w:val="000000" w:themeColor="text1"/>
          <w:sz w:val="44"/>
          <w:szCs w:val="44"/>
          <w:highlight w:val="none"/>
          <w14:textFill>
            <w14:solidFill>
              <w14:schemeClr w14:val="tx1"/>
            </w14:solidFill>
          </w14:textFill>
        </w:rPr>
        <w:t>投标人资格证明文件</w:t>
      </w:r>
      <w:bookmarkEnd w:id="89"/>
      <w:bookmarkEnd w:id="90"/>
      <w:bookmarkEnd w:id="91"/>
    </w:p>
    <w:p w14:paraId="5DA78DF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投标人有效的营业执照扫描件</w:t>
      </w:r>
    </w:p>
    <w:p w14:paraId="3AD69A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30"/>
          <w:szCs w:val="30"/>
          <w:highlight w:val="none"/>
          <w14:textFill>
            <w14:solidFill>
              <w14:schemeClr w14:val="tx1"/>
            </w14:solidFill>
          </w14:textFill>
        </w:rPr>
      </w:pPr>
    </w:p>
    <w:p w14:paraId="00DE63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30"/>
          <w:szCs w:val="30"/>
          <w:highlight w:val="none"/>
          <w14:textFill>
            <w14:solidFill>
              <w14:schemeClr w14:val="tx1"/>
            </w14:solidFill>
          </w14:textFill>
        </w:rPr>
      </w:pPr>
    </w:p>
    <w:p w14:paraId="53DB30CE">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color w:val="000000" w:themeColor="text1"/>
          <w:highlight w:val="none"/>
          <w14:textFill>
            <w14:solidFill>
              <w14:schemeClr w14:val="tx1"/>
            </w14:solidFill>
          </w14:textFill>
        </w:rPr>
      </w:pPr>
    </w:p>
    <w:p w14:paraId="7B6173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32426B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3422D4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181035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00B8A3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294EE6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41F5ED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6B400E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6BE2C9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2A7F70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48603E6A">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投标人（盖章）</w:t>
      </w:r>
    </w:p>
    <w:p w14:paraId="7DFB0D68">
      <w:pPr>
        <w:pStyle w:val="46"/>
        <w:pageBreakBefore w:val="0"/>
        <w:kinsoku/>
        <w:overflowPunct/>
        <w:topLinePunct w:val="0"/>
        <w:bidi w:val="0"/>
        <w:adjustRightInd/>
        <w:snapToGrid/>
        <w:rPr>
          <w:rFonts w:hint="eastAsia" w:ascii="宋体" w:hAnsi="宋体" w:eastAsia="宋体" w:cs="宋体"/>
          <w:highlight w:val="none"/>
          <w:lang w:eastAsia="zh-CN"/>
        </w:rPr>
      </w:pPr>
    </w:p>
    <w:p w14:paraId="01815450">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4A8CC1D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法定代表人身份证明</w:t>
      </w:r>
    </w:p>
    <w:p w14:paraId="7718B15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投标人名称：</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w:t>
      </w:r>
    </w:p>
    <w:p w14:paraId="6C8EE5E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单位性质：</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w:t>
      </w:r>
    </w:p>
    <w:p w14:paraId="18EE7E8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6B16E4E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成立时间：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7058E24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经营期限：</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4DA4864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姓名：</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性别：</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年龄：</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职务：</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7D52DAE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系</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（投标人名称）的法定代表人。</w:t>
      </w:r>
    </w:p>
    <w:p w14:paraId="480EA751">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特此证明。</w:t>
      </w:r>
    </w:p>
    <w:p w14:paraId="5D62F1D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（盖单位章）</w:t>
      </w:r>
    </w:p>
    <w:p w14:paraId="3B3A9647">
      <w:pPr>
        <w:pStyle w:val="25"/>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10D6F9DD">
      <w:pPr>
        <w:pStyle w:val="25"/>
        <w:pageBreakBefore w:val="0"/>
        <w:kinsoku/>
        <w:overflowPunct/>
        <w:topLinePunct w:val="0"/>
        <w:bidi w:val="0"/>
        <w:adjustRightInd/>
        <w:snapToGrid/>
        <w:spacing w:line="360" w:lineRule="auto"/>
        <w:ind w:firstLine="560" w:firstLineChars="200"/>
        <w:jc w:val="center"/>
        <w:rPr>
          <w:rFonts w:hint="eastAsia" w:ascii="宋体" w:hAnsi="宋体" w:eastAsia="宋体" w:cs="宋体"/>
          <w:color w:val="000000" w:themeColor="text1"/>
          <w:sz w:val="28"/>
          <w:szCs w:val="28"/>
          <w:highlight w:val="none"/>
          <w14:textFill>
            <w14:solidFill>
              <w14:schemeClr w14:val="tx1"/>
            </w14:solidFill>
          </w14:textFill>
        </w:rPr>
      </w:pPr>
    </w:p>
    <w:p w14:paraId="22EBAC04">
      <w:pPr>
        <w:pStyle w:val="25"/>
        <w:pageBreakBefore w:val="0"/>
        <w:kinsoku/>
        <w:overflowPunct/>
        <w:topLinePunct w:val="0"/>
        <w:bidi w:val="0"/>
        <w:adjustRightInd/>
        <w:snapToGrid/>
        <w:spacing w:line="360" w:lineRule="auto"/>
        <w:ind w:firstLine="560" w:firstLineChars="200"/>
        <w:jc w:val="center"/>
        <w:rPr>
          <w:rFonts w:hint="eastAsia" w:ascii="宋体" w:hAnsi="宋体" w:eastAsia="宋体" w:cs="宋体"/>
          <w:color w:val="000000" w:themeColor="text1"/>
          <w:sz w:val="28"/>
          <w:szCs w:val="28"/>
          <w:highlight w:val="none"/>
          <w14:textFill>
            <w14:solidFill>
              <w14:schemeClr w14:val="tx1"/>
            </w14:solidFill>
          </w14:textFill>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71D3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5BE2049C">
            <w:pPr>
              <w:pStyle w:val="47"/>
              <w:pageBreakBefore w:val="0"/>
              <w:kinsoku/>
              <w:overflowPunct/>
              <w:topLinePunct w:val="0"/>
              <w:bidi w:val="0"/>
              <w:adjustRightInd/>
              <w:snapToGrid/>
              <w:spacing w:beforeAutospacing="0" w:afterAutospacing="0"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（法定代表人身份证</w:t>
            </w:r>
            <w:r>
              <w:rPr>
                <w:rFonts w:hint="eastAsia" w:ascii="宋体" w:hAnsi="宋体" w:eastAsia="宋体" w:cs="宋体"/>
                <w:color w:val="000000" w:themeColor="text1"/>
                <w:sz w:val="28"/>
                <w:szCs w:val="28"/>
                <w:highlight w:val="none"/>
                <w:lang w:val="en-US" w:eastAsia="zh-CN"/>
                <w14:textFill>
                  <w14:solidFill>
                    <w14:schemeClr w14:val="tx1"/>
                  </w14:solidFill>
                </w14:textFill>
              </w:rPr>
              <w:t>双面</w:t>
            </w:r>
            <w:r>
              <w:rPr>
                <w:rFonts w:hint="eastAsia" w:ascii="宋体" w:hAnsi="宋体" w:eastAsia="宋体" w:cs="宋体"/>
                <w:color w:val="000000" w:themeColor="text1"/>
                <w:sz w:val="28"/>
                <w:szCs w:val="28"/>
                <w:highlight w:val="none"/>
                <w14:textFill>
                  <w14:solidFill>
                    <w14:schemeClr w14:val="tx1"/>
                  </w14:solidFill>
                </w14:textFill>
              </w:rPr>
              <w:t>扫描件）</w:t>
            </w:r>
          </w:p>
        </w:tc>
      </w:tr>
    </w:tbl>
    <w:p w14:paraId="742B0B82">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47BE2DE6">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7BDCAC39">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342C73D1">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0B9B3E37">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DEE78E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7CC03C6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1E3A7BE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25981948">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5CBFC314">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4049D20F">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4EC447CA">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6CF7116">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5C62EEAB">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E81EBDE">
      <w:pPr>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p>
    <w:p w14:paraId="51F8BCBA">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32C9D7D4">
      <w:pPr>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法定代表人授权委托书</w:t>
      </w:r>
    </w:p>
    <w:p w14:paraId="6CB23A48">
      <w:pPr>
        <w:pageBreakBefore w:val="0"/>
        <w:widowControl/>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本授权书声明：注册于</w:t>
      </w:r>
      <w:r>
        <w:rPr>
          <w:rFonts w:hint="eastAsia" w:ascii="宋体" w:hAnsi="宋体" w:eastAsia="宋体" w:cs="宋体"/>
          <w:color w:val="000000" w:themeColor="text1"/>
          <w:sz w:val="28"/>
          <w:szCs w:val="28"/>
          <w:highlight w:val="none"/>
          <w:u w:val="single"/>
          <w14:textFill>
            <w14:solidFill>
              <w14:schemeClr w14:val="tx1"/>
            </w14:solidFill>
          </w14:textFill>
        </w:rPr>
        <w:t xml:space="preserve">   （国家或地区的名称）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u w:val="single"/>
          <w14:textFill>
            <w14:solidFill>
              <w14:schemeClr w14:val="tx1"/>
            </w14:solidFill>
          </w14:textFill>
        </w:rPr>
        <w:t xml:space="preserve">  （公司名称）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u w:val="single"/>
          <w14:textFill>
            <w14:solidFill>
              <w14:schemeClr w14:val="tx1"/>
            </w14:solidFill>
          </w14:textFill>
        </w:rPr>
        <w:t xml:space="preserve"> （姓名、职务）  </w:t>
      </w:r>
      <w:r>
        <w:rPr>
          <w:rFonts w:hint="eastAsia" w:ascii="宋体" w:hAnsi="宋体" w:eastAsia="宋体" w:cs="宋体"/>
          <w:color w:val="000000" w:themeColor="text1"/>
          <w:sz w:val="28"/>
          <w:szCs w:val="28"/>
          <w:highlight w:val="none"/>
          <w14:textFill>
            <w14:solidFill>
              <w14:schemeClr w14:val="tx1"/>
            </w14:solidFill>
          </w14:textFill>
        </w:rPr>
        <w:t>，代表本公司授权</w:t>
      </w:r>
      <w:r>
        <w:rPr>
          <w:rFonts w:hint="eastAsia" w:ascii="宋体" w:hAnsi="宋体" w:eastAsia="宋体" w:cs="宋体"/>
          <w:color w:val="000000" w:themeColor="text1"/>
          <w:sz w:val="28"/>
          <w:szCs w:val="28"/>
          <w:highlight w:val="none"/>
          <w:u w:val="single"/>
          <w14:textFill>
            <w14:solidFill>
              <w14:schemeClr w14:val="tx1"/>
            </w14:solidFill>
          </w14:textFill>
        </w:rPr>
        <w:t xml:space="preserve"> （被授权人的姓名、职务）</w:t>
      </w:r>
      <w:r>
        <w:rPr>
          <w:rFonts w:hint="eastAsia" w:ascii="宋体" w:hAnsi="宋体" w:eastAsia="宋体" w:cs="宋体"/>
          <w:color w:val="000000" w:themeColor="text1"/>
          <w:sz w:val="28"/>
          <w:szCs w:val="28"/>
          <w:highlight w:val="none"/>
          <w14:textFill>
            <w14:solidFill>
              <w14:schemeClr w14:val="tx1"/>
            </w14:solidFill>
          </w14:textFill>
        </w:rPr>
        <w:t>联系电话为</w:t>
      </w:r>
      <w:r>
        <w:rPr>
          <w:rFonts w:hint="eastAsia" w:ascii="宋体" w:hAnsi="宋体" w:eastAsia="宋体" w:cs="宋体"/>
          <w:color w:val="000000" w:themeColor="text1"/>
          <w:sz w:val="28"/>
          <w:szCs w:val="28"/>
          <w:highlight w:val="none"/>
          <w:u w:val="single"/>
          <w14:textFill>
            <w14:solidFill>
              <w14:schemeClr w14:val="tx1"/>
            </w14:solidFill>
          </w14:textFill>
        </w:rPr>
        <w:t xml:space="preserve">（手机号码） </w:t>
      </w:r>
      <w:r>
        <w:rPr>
          <w:rFonts w:hint="eastAsia" w:ascii="宋体" w:hAnsi="宋体" w:eastAsia="宋体" w:cs="宋体"/>
          <w:color w:val="000000" w:themeColor="text1"/>
          <w:sz w:val="28"/>
          <w:szCs w:val="28"/>
          <w:highlight w:val="none"/>
          <w14:textFill>
            <w14:solidFill>
              <w14:schemeClr w14:val="tx1"/>
            </w14:solidFill>
          </w14:textFill>
        </w:rPr>
        <w:t>邮箱号为为本公司的合法代理人，参加编号为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PURM202604070001</w:t>
      </w:r>
      <w:r>
        <w:rPr>
          <w:rFonts w:hint="eastAsia" w:ascii="宋体" w:hAnsi="宋体" w:eastAsia="宋体" w:cs="宋体"/>
          <w:color w:val="000000" w:themeColor="text1"/>
          <w:sz w:val="28"/>
          <w:szCs w:val="28"/>
          <w:highlight w:val="none"/>
          <w14:textFill>
            <w14:solidFill>
              <w14:schemeClr w14:val="tx1"/>
            </w14:solidFill>
          </w14:textFill>
        </w:rPr>
        <w:t>号的采购活动，以本公司名义处理一切与之有关的事宜。</w:t>
      </w:r>
    </w:p>
    <w:p w14:paraId="2F03E04A">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如果本公司在此次采购活动中中标，被授权人有权代表本公司签署采购合同。</w:t>
      </w:r>
    </w:p>
    <w:p w14:paraId="20D9682A">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本授权书于</w:t>
      </w:r>
      <w:r>
        <w:rPr>
          <w:rFonts w:hint="eastAsia" w:ascii="宋体" w:hAnsi="宋体" w:eastAsia="宋体" w:cs="宋体"/>
          <w:color w:val="000000" w:themeColor="text1"/>
          <w:kern w:val="0"/>
          <w:sz w:val="28"/>
          <w:szCs w:val="28"/>
          <w:highlight w:val="none"/>
          <w:u w:val="single"/>
          <w14:textFill>
            <w14:solidFill>
              <w14:schemeClr w14:val="tx1"/>
            </w14:solidFill>
          </w14:textFill>
        </w:rPr>
        <w:t xml:space="preserve">    年   月   日</w:t>
      </w:r>
      <w:r>
        <w:rPr>
          <w:rFonts w:hint="eastAsia" w:ascii="宋体" w:hAnsi="宋体" w:eastAsia="宋体" w:cs="宋体"/>
          <w:color w:val="000000" w:themeColor="text1"/>
          <w:kern w:val="0"/>
          <w:sz w:val="28"/>
          <w:szCs w:val="28"/>
          <w:highlight w:val="none"/>
          <w14:textFill>
            <w14:solidFill>
              <w14:schemeClr w14:val="tx1"/>
            </w14:solidFill>
          </w14:textFill>
        </w:rPr>
        <w:t>法定代表人签字或盖章并由单位盖章生效，特此声明。</w:t>
      </w:r>
    </w:p>
    <w:p w14:paraId="66DA544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被授权人无转委托权。</w:t>
      </w:r>
    </w:p>
    <w:p w14:paraId="57E34839">
      <w:pPr>
        <w:pageBreakBefore w:val="0"/>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法定代表人</w:t>
      </w:r>
      <w:r>
        <w:rPr>
          <w:rFonts w:hint="eastAsia" w:ascii="宋体" w:hAnsi="宋体" w:eastAsia="宋体" w:cs="宋体"/>
          <w:color w:val="000000" w:themeColor="text1"/>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14:textFill>
            <w14:solidFill>
              <w14:schemeClr w14:val="tx1"/>
            </w14:solidFill>
          </w14:textFill>
        </w:rPr>
        <w:t>盖章</w:t>
      </w:r>
      <w:r>
        <w:rPr>
          <w:rFonts w:hint="eastAsia" w:ascii="宋体" w:hAnsi="宋体" w:eastAsia="宋体" w:cs="宋体"/>
          <w:color w:val="000000" w:themeColor="text1"/>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14:textFill>
            <w14:solidFill>
              <w14:schemeClr w14:val="tx1"/>
            </w14:solidFill>
          </w14:textFill>
        </w:rPr>
        <w:t>：</w:t>
      </w:r>
    </w:p>
    <w:p w14:paraId="0AE47AD1">
      <w:pPr>
        <w:pageBreakBefore w:val="0"/>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投标人（公章）:</w:t>
      </w:r>
    </w:p>
    <w:p w14:paraId="5F5BD2FF">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720F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5E71E69">
            <w:pPr>
              <w:pageBreakBefore w:val="0"/>
              <w:widowControl/>
              <w:kinsoku/>
              <w:overflowPunct/>
              <w:topLinePunct w:val="0"/>
              <w:bidi w:val="0"/>
              <w:adjustRightInd/>
              <w:snapToGrid/>
              <w:spacing w:beforeAutospacing="1" w:afterAutospacing="1" w:line="360" w:lineRule="auto"/>
              <w:jc w:val="center"/>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（被授权人身份证</w:t>
            </w:r>
            <w:r>
              <w:rPr>
                <w:rFonts w:hint="eastAsia" w:ascii="宋体" w:hAnsi="宋体" w:eastAsia="宋体" w:cs="宋体"/>
                <w:color w:val="000000" w:themeColor="text1"/>
                <w:sz w:val="28"/>
                <w:szCs w:val="28"/>
                <w:highlight w:val="none"/>
                <w:lang w:val="en-US" w:eastAsia="zh-CN"/>
                <w14:textFill>
                  <w14:solidFill>
                    <w14:schemeClr w14:val="tx1"/>
                  </w14:solidFill>
                </w14:textFill>
              </w:rPr>
              <w:t>双面</w:t>
            </w:r>
            <w:r>
              <w:rPr>
                <w:rFonts w:hint="eastAsia" w:ascii="宋体" w:hAnsi="宋体" w:eastAsia="宋体" w:cs="宋体"/>
                <w:color w:val="000000" w:themeColor="text1"/>
                <w:sz w:val="28"/>
                <w:szCs w:val="28"/>
                <w:highlight w:val="none"/>
                <w14:textFill>
                  <w14:solidFill>
                    <w14:schemeClr w14:val="tx1"/>
                  </w14:solidFill>
                </w14:textFill>
              </w:rPr>
              <w:t>扫描件）</w:t>
            </w:r>
          </w:p>
        </w:tc>
      </w:tr>
    </w:tbl>
    <w:p w14:paraId="78BB47F4">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9DD7560">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B19C6AC">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64D089AC">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15FD3B8E">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1E7F80C7">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4E121A28">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F205248">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20EF1CA5">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D03DA1F">
      <w:pPr>
        <w:pageBreakBefore w:val="0"/>
        <w:kinsoku/>
        <w:overflowPunct/>
        <w:topLinePunct w:val="0"/>
        <w:bidi w:val="0"/>
        <w:adjustRightInd/>
        <w:snapToGrid/>
        <w:spacing w:line="560" w:lineRule="exact"/>
        <w:ind w:firstLine="562" w:firstLineChars="201"/>
        <w:rPr>
          <w:rFonts w:hint="eastAsia" w:ascii="宋体" w:hAnsi="宋体" w:eastAsia="宋体" w:cs="宋体"/>
          <w:color w:val="000000"/>
          <w:sz w:val="28"/>
          <w:szCs w:val="28"/>
          <w:highlight w:val="none"/>
        </w:rPr>
      </w:pPr>
      <w:bookmarkStart w:id="92" w:name="_Hlk183433789"/>
      <w:r>
        <w:rPr>
          <w:rFonts w:hint="eastAsia" w:ascii="宋体" w:hAnsi="宋体" w:eastAsia="宋体" w:cs="宋体"/>
          <w:color w:val="000000"/>
          <w:sz w:val="28"/>
          <w:szCs w:val="28"/>
          <w:highlight w:val="none"/>
        </w:rPr>
        <w:t>注：若由法定代表人亲自签署投标文件并参与相关活动，则无需提供授权委托书；若为授权委托代理人，则需提供授权委托书。</w:t>
      </w:r>
      <w:bookmarkEnd w:id="92"/>
    </w:p>
    <w:p w14:paraId="23C52A6B">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7C51BB56">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交纳投标保证金的证明材料（两者缺一不可）：</w:t>
      </w:r>
    </w:p>
    <w:p w14:paraId="6510C0E0">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（1）企业银行基本账户开户证明（如开户许可证或银行开户证明等）；</w:t>
      </w:r>
    </w:p>
    <w:p w14:paraId="65DF70FB">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（2）电汇凭证或电子汇款截图扫描件。</w:t>
      </w:r>
    </w:p>
    <w:p w14:paraId="55F77535">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F617D3D">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32CC6313">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487EB5B1">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029CC9CC">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441C0FB4">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99F81BD">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493507D3">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722DB152">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75B76DED">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6C2BDA62">
      <w:pPr>
        <w:pStyle w:val="27"/>
        <w:pageBreakBefore w:val="0"/>
        <w:kinsoku/>
        <w:overflowPunct/>
        <w:topLinePunct w:val="0"/>
        <w:bidi w:val="0"/>
        <w:adjustRightInd/>
        <w:snapToGrid/>
        <w:spacing w:line="360" w:lineRule="auto"/>
        <w:ind w:left="5250"/>
        <w:jc w:val="righ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328682E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6F2558DB">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1ACE366D">
      <w:pPr>
        <w:pageBreakBefore w:val="0"/>
        <w:kinsoku/>
        <w:overflowPunct/>
        <w:topLinePunct w:val="0"/>
        <w:bidi w:val="0"/>
        <w:adjustRightInd/>
        <w:snapToGrid/>
        <w:spacing w:line="360" w:lineRule="auto"/>
        <w:ind w:firstLine="602" w:firstLineChars="201"/>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投标人参与投标的声明函</w:t>
      </w:r>
    </w:p>
    <w:p w14:paraId="030D6367">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本单位郑重承诺如下：</w:t>
      </w:r>
    </w:p>
    <w:p w14:paraId="2783CA0F">
      <w:pPr>
        <w:pageBreakBefore w:val="0"/>
        <w:widowControl/>
        <w:kinsoku/>
        <w:overflowPunct/>
        <w:topLinePunct w:val="0"/>
        <w:bidi w:val="0"/>
        <w:adjustRightInd/>
        <w:snapToGrid/>
        <w:spacing w:line="360" w:lineRule="auto"/>
        <w:ind w:firstLine="592"/>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（1）我单位具有独立承担民事责任的能力；</w:t>
      </w:r>
    </w:p>
    <w:p w14:paraId="23BA0A8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具有履行合同所必须的专业技术能力，并能提供优质的服务</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p>
    <w:p w14:paraId="480C8B87">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参加本次采购活动前三年内，在经营活动中没有重大违法记录。近三年没有发生过与用工单位有关的劳务纠纷、农民工上访、较大及以上安全生产事故等</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p>
    <w:p w14:paraId="4E65B1F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pacing w:val="8"/>
          <w:kern w:val="0"/>
          <w:sz w:val="28"/>
          <w:szCs w:val="28"/>
          <w:highlight w:val="none"/>
          <w14:textFill>
            <w14:solidFill>
              <w14:schemeClr w14:val="tx1"/>
            </w14:solidFill>
          </w14:textFill>
        </w:rPr>
        <w:t>）我单位及法定代表人、委托代理人未被最高法院列入失信被执行人</w:t>
      </w:r>
      <w:r>
        <w:rPr>
          <w:rFonts w:hint="eastAsia" w:ascii="宋体" w:hAnsi="宋体" w:eastAsia="宋体" w:cs="宋体"/>
          <w:spacing w:val="8"/>
          <w:kern w:val="0"/>
          <w:sz w:val="28"/>
          <w:szCs w:val="28"/>
          <w:highlight w:val="none"/>
        </w:rPr>
        <w:t>；</w:t>
      </w:r>
    </w:p>
    <w:p w14:paraId="2C325F1B">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5</w:t>
      </w:r>
      <w:r>
        <w:rPr>
          <w:rFonts w:hint="eastAsia" w:ascii="宋体" w:hAnsi="宋体" w:eastAsia="宋体" w:cs="宋体"/>
          <w:color w:val="000000" w:themeColor="text1"/>
          <w:spacing w:val="8"/>
          <w:kern w:val="0"/>
          <w:sz w:val="28"/>
          <w:szCs w:val="28"/>
          <w:highlight w:val="none"/>
          <w14:textFill>
            <w14:solidFill>
              <w14:schemeClr w14:val="tx1"/>
            </w14:solidFill>
          </w14:textFill>
        </w:rPr>
        <w:t>）我单位近一年在“信用中国”或“信用中国（山东）”无严重失信记录；</w:t>
      </w:r>
    </w:p>
    <w:p w14:paraId="1F7FE1AA">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spacing w:val="8"/>
          <w:kern w:val="0"/>
          <w:sz w:val="28"/>
          <w:szCs w:val="28"/>
          <w:highlight w:val="none"/>
        </w:rPr>
        <w:t>投标人及其法定代表人、委托代理人近三年内无行贿犯罪行为记录（若投标人成立时间不足三年，则承诺自成立时间至今，无行贿犯罪行为记录）</w:t>
      </w:r>
      <w:r>
        <w:rPr>
          <w:rFonts w:hint="eastAsia" w:ascii="宋体" w:hAnsi="宋体" w:eastAsia="宋体" w:cs="宋体"/>
          <w:color w:val="000000" w:themeColor="text1"/>
          <w:spacing w:val="8"/>
          <w:kern w:val="0"/>
          <w:sz w:val="28"/>
          <w:szCs w:val="28"/>
          <w:highlight w:val="none"/>
          <w:lang w:val="zh-CN"/>
          <w14:textFill>
            <w14:solidFill>
              <w14:schemeClr w14:val="tx1"/>
            </w14:solidFill>
          </w14:textFill>
        </w:rPr>
        <w:t>；</w:t>
      </w:r>
    </w:p>
    <w:p w14:paraId="6BF51BE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pacing w:val="8"/>
          <w:kern w:val="0"/>
          <w:sz w:val="28"/>
          <w:szCs w:val="28"/>
          <w:highlight w:val="none"/>
          <w14:textFill>
            <w14:solidFill>
              <w14:schemeClr w14:val="tx1"/>
            </w14:solidFill>
          </w14:textFill>
        </w:rPr>
        <w:t>）我单位本次非联合体投标。</w:t>
      </w:r>
    </w:p>
    <w:p w14:paraId="3033286E">
      <w:pPr>
        <w:pageBreakBefore w:val="0"/>
        <w:widowControl/>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26B35F1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bookmarkStart w:id="93" w:name="_Hlk72505594"/>
    </w:p>
    <w:p w14:paraId="72E4FC09">
      <w:pPr>
        <w:pageBreakBefore w:val="0"/>
        <w:kinsoku/>
        <w:overflowPunct/>
        <w:topLinePunct w:val="0"/>
        <w:bidi w:val="0"/>
        <w:adjustRightInd/>
        <w:snapToGrid/>
        <w:spacing w:line="360" w:lineRule="auto"/>
        <w:ind w:firstLine="562" w:firstLineChars="201"/>
        <w:jc w:val="righ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投标人（盖章）</w:t>
      </w:r>
      <w:bookmarkEnd w:id="93"/>
      <w:bookmarkStart w:id="94" w:name="_Toc523388197"/>
    </w:p>
    <w:p w14:paraId="738F9BF1">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1594FC1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投标人认为需要提供的资质资格证明文件</w:t>
      </w:r>
    </w:p>
    <w:p w14:paraId="01423F8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包括但不限于：</w:t>
      </w:r>
      <w:r>
        <w:rPr>
          <w:rFonts w:hint="eastAsia" w:ascii="宋体" w:hAnsi="宋体" w:eastAsia="宋体" w:cs="宋体"/>
          <w:color w:val="000000" w:themeColor="text1"/>
          <w:sz w:val="28"/>
          <w:szCs w:val="28"/>
          <w:highlight w:val="none"/>
          <w14:textFill>
            <w14:solidFill>
              <w14:schemeClr w14:val="tx1"/>
            </w14:solidFill>
          </w14:textFill>
        </w:rPr>
        <w:t>投标人及其法定代表人、委托代理人未被最高法院（查询网址为：http://zxgk.court.gov.cn/shixin/）列入失信被执行人</w:t>
      </w:r>
      <w:r>
        <w:rPr>
          <w:rFonts w:hint="eastAsia" w:ascii="宋体" w:hAnsi="宋体" w:eastAsia="宋体" w:cs="宋体"/>
          <w:color w:val="000000" w:themeColor="text1"/>
          <w:sz w:val="28"/>
          <w:szCs w:val="28"/>
          <w:highlight w:val="none"/>
          <w:lang w:val="en-US" w:eastAsia="zh-CN"/>
          <w14:textFill>
            <w14:solidFill>
              <w14:schemeClr w14:val="tx1"/>
            </w14:solidFill>
          </w14:textFill>
        </w:rPr>
        <w:t>查询</w:t>
      </w:r>
      <w:r>
        <w:rPr>
          <w:rFonts w:hint="eastAsia" w:ascii="宋体" w:hAnsi="宋体" w:eastAsia="宋体" w:cs="宋体"/>
          <w:color w:val="000000" w:themeColor="text1"/>
          <w:sz w:val="28"/>
          <w:szCs w:val="28"/>
          <w:highlight w:val="none"/>
          <w14:textFill>
            <w14:solidFill>
              <w14:schemeClr w14:val="tx1"/>
            </w14:solidFill>
          </w14:textFill>
        </w:rPr>
        <w:t>截图（省份</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全部）；投标人近一年在“信用中国”或“信用中国（山东）”无严重失信记录，附通过信用中国（查询网址：https://www.creditchina.gov.cn）或信用中国（山东）（查询网址：https://credit.shandong.gov.cn）查询的信用报告（近一年指从开标日向前推算一年，查询日期不早于招标文件开始获取时间。）；</w:t>
      </w:r>
    </w:p>
    <w:p w14:paraId="67FDDFC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5F00F00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0879752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35541D9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060823A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7303316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3F0E39D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35F973A8">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0B66952B">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6C18B62B">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50BCB132">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0B60D86C">
      <w:pPr>
        <w:pageBreakBefore w:val="0"/>
        <w:kinsoku/>
        <w:overflowPunct/>
        <w:topLinePunct w:val="0"/>
        <w:bidi w:val="0"/>
        <w:adjustRightInd/>
        <w:snapToGrid/>
        <w:spacing w:line="360" w:lineRule="auto"/>
        <w:ind w:firstLine="562" w:firstLineChars="201"/>
        <w:jc w:val="righ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296EFFCC">
      <w:pP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br w:type="page"/>
      </w:r>
    </w:p>
    <w:p w14:paraId="05E4CB6E">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投标人基本情况表</w:t>
      </w:r>
      <w:bookmarkEnd w:id="94"/>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593"/>
        <w:gridCol w:w="548"/>
        <w:gridCol w:w="1062"/>
        <w:gridCol w:w="548"/>
        <w:gridCol w:w="636"/>
        <w:gridCol w:w="1550"/>
        <w:gridCol w:w="487"/>
        <w:gridCol w:w="2583"/>
      </w:tblGrid>
      <w:tr w14:paraId="348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141" w:type="dxa"/>
            <w:gridSpan w:val="2"/>
            <w:vAlign w:val="center"/>
          </w:tcPr>
          <w:p w14:paraId="533CB4DB">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单位名称</w:t>
            </w:r>
          </w:p>
        </w:tc>
        <w:tc>
          <w:tcPr>
            <w:tcW w:w="2794" w:type="dxa"/>
            <w:gridSpan w:val="4"/>
            <w:vAlign w:val="center"/>
          </w:tcPr>
          <w:p w14:paraId="297B433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037" w:type="dxa"/>
            <w:gridSpan w:val="2"/>
            <w:vAlign w:val="center"/>
          </w:tcPr>
          <w:p w14:paraId="24CEC1AD">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p>
        </w:tc>
        <w:tc>
          <w:tcPr>
            <w:tcW w:w="2583" w:type="dxa"/>
            <w:vAlign w:val="center"/>
          </w:tcPr>
          <w:p w14:paraId="3436B30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3B92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141" w:type="dxa"/>
            <w:gridSpan w:val="2"/>
            <w:vAlign w:val="center"/>
          </w:tcPr>
          <w:p w14:paraId="54871E6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办公电话/传真</w:t>
            </w:r>
          </w:p>
        </w:tc>
        <w:tc>
          <w:tcPr>
            <w:tcW w:w="2794" w:type="dxa"/>
            <w:gridSpan w:val="4"/>
            <w:vAlign w:val="center"/>
          </w:tcPr>
          <w:p w14:paraId="4C113C10">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037" w:type="dxa"/>
            <w:gridSpan w:val="2"/>
            <w:vAlign w:val="center"/>
          </w:tcPr>
          <w:p w14:paraId="3715841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p>
        </w:tc>
        <w:tc>
          <w:tcPr>
            <w:tcW w:w="2583" w:type="dxa"/>
            <w:vAlign w:val="center"/>
          </w:tcPr>
          <w:p w14:paraId="270E307E">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32CA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2141" w:type="dxa"/>
            <w:gridSpan w:val="2"/>
            <w:vAlign w:val="center"/>
          </w:tcPr>
          <w:p w14:paraId="01CF264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总经理</w:t>
            </w:r>
          </w:p>
        </w:tc>
        <w:tc>
          <w:tcPr>
            <w:tcW w:w="1610" w:type="dxa"/>
            <w:gridSpan w:val="2"/>
            <w:vAlign w:val="center"/>
          </w:tcPr>
          <w:p w14:paraId="696DE68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734" w:type="dxa"/>
            <w:gridSpan w:val="3"/>
            <w:vAlign w:val="center"/>
          </w:tcPr>
          <w:p w14:paraId="3D51D7F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固定办公面积</w:t>
            </w:r>
          </w:p>
          <w:p w14:paraId="50A86FCB">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（平米）</w:t>
            </w:r>
          </w:p>
        </w:tc>
        <w:tc>
          <w:tcPr>
            <w:tcW w:w="3070" w:type="dxa"/>
            <w:gridSpan w:val="2"/>
            <w:vAlign w:val="center"/>
          </w:tcPr>
          <w:p w14:paraId="377D7E2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09B1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548" w:type="dxa"/>
            <w:vMerge w:val="restart"/>
            <w:vAlign w:val="center"/>
          </w:tcPr>
          <w:p w14:paraId="0E45CC2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注册情况</w:t>
            </w:r>
          </w:p>
        </w:tc>
        <w:tc>
          <w:tcPr>
            <w:tcW w:w="2141" w:type="dxa"/>
            <w:gridSpan w:val="2"/>
            <w:vAlign w:val="center"/>
          </w:tcPr>
          <w:p w14:paraId="4C89E923">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工商注册号</w:t>
            </w:r>
          </w:p>
        </w:tc>
        <w:tc>
          <w:tcPr>
            <w:tcW w:w="6866" w:type="dxa"/>
            <w:gridSpan w:val="6"/>
            <w:vAlign w:val="center"/>
          </w:tcPr>
          <w:p w14:paraId="6E7938D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0D8E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8" w:type="dxa"/>
            <w:vMerge w:val="continue"/>
            <w:textDirection w:val="tbRlV"/>
            <w:vAlign w:val="center"/>
          </w:tcPr>
          <w:p w14:paraId="13F060C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2B2C93F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注册资本</w:t>
            </w:r>
          </w:p>
          <w:p w14:paraId="01EE5A3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（万元）</w:t>
            </w:r>
          </w:p>
        </w:tc>
        <w:tc>
          <w:tcPr>
            <w:tcW w:w="6866" w:type="dxa"/>
            <w:gridSpan w:val="6"/>
            <w:vAlign w:val="center"/>
          </w:tcPr>
          <w:p w14:paraId="65EC2A7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2C10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48" w:type="dxa"/>
            <w:vMerge w:val="continue"/>
            <w:textDirection w:val="tbRlV"/>
            <w:vAlign w:val="center"/>
          </w:tcPr>
          <w:p w14:paraId="43989BF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5973707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w:t>
            </w:r>
          </w:p>
        </w:tc>
        <w:tc>
          <w:tcPr>
            <w:tcW w:w="1610" w:type="dxa"/>
            <w:gridSpan w:val="2"/>
            <w:vAlign w:val="center"/>
          </w:tcPr>
          <w:p w14:paraId="40139E4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86" w:type="dxa"/>
            <w:gridSpan w:val="2"/>
            <w:vAlign w:val="center"/>
          </w:tcPr>
          <w:p w14:paraId="42CFAE17">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单位类型</w:t>
            </w:r>
          </w:p>
        </w:tc>
        <w:tc>
          <w:tcPr>
            <w:tcW w:w="3070" w:type="dxa"/>
            <w:gridSpan w:val="2"/>
            <w:vAlign w:val="center"/>
          </w:tcPr>
          <w:p w14:paraId="58DEF4FE">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7EDC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548" w:type="dxa"/>
            <w:vMerge w:val="continue"/>
            <w:textDirection w:val="tbRlV"/>
            <w:vAlign w:val="center"/>
          </w:tcPr>
          <w:p w14:paraId="69F41C0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34CE2B9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成立时间</w:t>
            </w:r>
          </w:p>
        </w:tc>
        <w:tc>
          <w:tcPr>
            <w:tcW w:w="1610" w:type="dxa"/>
            <w:gridSpan w:val="2"/>
            <w:vAlign w:val="center"/>
          </w:tcPr>
          <w:p w14:paraId="0FA1BD7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86" w:type="dxa"/>
            <w:gridSpan w:val="2"/>
            <w:vAlign w:val="center"/>
          </w:tcPr>
          <w:p w14:paraId="335B34C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营业期限</w:t>
            </w:r>
          </w:p>
        </w:tc>
        <w:tc>
          <w:tcPr>
            <w:tcW w:w="3070" w:type="dxa"/>
            <w:gridSpan w:val="2"/>
            <w:vAlign w:val="center"/>
          </w:tcPr>
          <w:p w14:paraId="59445737">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5559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48" w:type="dxa"/>
            <w:vMerge w:val="continue"/>
            <w:textDirection w:val="tbRlV"/>
            <w:vAlign w:val="center"/>
          </w:tcPr>
          <w:p w14:paraId="17DEEA7F">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26F04FB3">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经营范围</w:t>
            </w:r>
          </w:p>
        </w:tc>
        <w:tc>
          <w:tcPr>
            <w:tcW w:w="6866" w:type="dxa"/>
            <w:gridSpan w:val="6"/>
            <w:vAlign w:val="center"/>
          </w:tcPr>
          <w:p w14:paraId="6E540D97">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004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689" w:type="dxa"/>
            <w:gridSpan w:val="3"/>
            <w:vAlign w:val="center"/>
          </w:tcPr>
          <w:p w14:paraId="726E6CE8">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与投标人关联单位情况</w:t>
            </w:r>
          </w:p>
        </w:tc>
        <w:tc>
          <w:tcPr>
            <w:tcW w:w="6866" w:type="dxa"/>
            <w:gridSpan w:val="6"/>
            <w:vAlign w:val="center"/>
          </w:tcPr>
          <w:p w14:paraId="231CC57D">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1.与我单位法定代表人（负责人）为同一人的其他单位为：</w:t>
            </w:r>
          </w:p>
          <w:p w14:paraId="5EFA93F7">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2.与我单位存在直接控股、管理关系的其他单位为：</w:t>
            </w:r>
          </w:p>
        </w:tc>
      </w:tr>
      <w:tr w14:paraId="1EC9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9555" w:type="dxa"/>
            <w:gridSpan w:val="9"/>
            <w:vAlign w:val="center"/>
          </w:tcPr>
          <w:p w14:paraId="301D2FB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投标人情况简介</w:t>
            </w:r>
          </w:p>
        </w:tc>
      </w:tr>
      <w:tr w14:paraId="64A0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9555" w:type="dxa"/>
            <w:gridSpan w:val="9"/>
          </w:tcPr>
          <w:p w14:paraId="709EC3F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bl>
    <w:p w14:paraId="72F8EEAB">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6EC4D58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bookmarkStart w:id="95" w:name="_Toc523388144"/>
    </w:p>
    <w:p w14:paraId="1A8A1682">
      <w:pP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br w:type="page"/>
      </w:r>
    </w:p>
    <w:bookmarkEnd w:id="95"/>
    <w:p w14:paraId="4F43BC84">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46F0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5A3EDC4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2115" w:type="dxa"/>
            <w:vAlign w:val="center"/>
          </w:tcPr>
          <w:p w14:paraId="482C67E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w:t>
            </w:r>
          </w:p>
        </w:tc>
        <w:tc>
          <w:tcPr>
            <w:tcW w:w="2019" w:type="dxa"/>
            <w:vAlign w:val="center"/>
          </w:tcPr>
          <w:p w14:paraId="56577B29">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p>
        </w:tc>
        <w:tc>
          <w:tcPr>
            <w:tcW w:w="1169" w:type="dxa"/>
            <w:vAlign w:val="center"/>
          </w:tcPr>
          <w:p w14:paraId="782610F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合同签订日期</w:t>
            </w:r>
          </w:p>
        </w:tc>
        <w:tc>
          <w:tcPr>
            <w:tcW w:w="1426" w:type="dxa"/>
            <w:vAlign w:val="center"/>
          </w:tcPr>
          <w:p w14:paraId="466BACF0">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合同金额</w:t>
            </w:r>
          </w:p>
        </w:tc>
        <w:tc>
          <w:tcPr>
            <w:tcW w:w="1602" w:type="dxa"/>
            <w:vAlign w:val="center"/>
          </w:tcPr>
          <w:p w14:paraId="487BD1A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电话/联系人</w:t>
            </w:r>
          </w:p>
        </w:tc>
      </w:tr>
      <w:tr w14:paraId="0D74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3F3B02CD">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14BFB08E">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65A1C42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6FF3A5A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2D3136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E00489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1BC4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2CF188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1DB4603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7FAB479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31ED5AD9">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7227B381">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7B40C51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683F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1195D79">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4DE8CEC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1FCF158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013FA5C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3AE2311">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B3B580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69A6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3CE2119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66B0324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7F7D092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5404A4BD">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2A36CA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17679B7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4455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218455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46C7676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7055E26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4E61570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A20155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20D56C4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08ED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69FFA8D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775262C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56E95C4D">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084E65F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7544BD3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2F4A42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35F4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4D9260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5B7624A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0736D77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074E518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04CE133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59D6F7A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70DC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128465">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38D8F645">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4017FD6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2B0B58F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B01BFF5">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4BFAA1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bl>
    <w:p w14:paraId="494419A8">
      <w:pPr>
        <w:pageBreakBefore w:val="0"/>
        <w:kinsoku/>
        <w:overflowPunct/>
        <w:topLinePunct w:val="0"/>
        <w:bidi w:val="0"/>
        <w:adjustRightInd/>
        <w:snapToGrid/>
        <w:spacing w:line="360" w:lineRule="auto"/>
        <w:jc w:val="lef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附：</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评标办法要求的</w:t>
      </w:r>
      <w:r>
        <w:rPr>
          <w:rFonts w:hint="eastAsia" w:ascii="宋体" w:hAnsi="宋体" w:eastAsia="宋体" w:cs="宋体"/>
          <w:bCs/>
          <w:color w:val="000000" w:themeColor="text1"/>
          <w:sz w:val="28"/>
          <w:szCs w:val="28"/>
          <w:highlight w:val="none"/>
          <w14:textFill>
            <w14:solidFill>
              <w14:schemeClr w14:val="tx1"/>
            </w14:solidFill>
          </w14:textFill>
        </w:rPr>
        <w:t>证明材料</w:t>
      </w:r>
      <w:r>
        <w:rPr>
          <w:rFonts w:hint="eastAsia" w:ascii="宋体" w:hAnsi="宋体" w:eastAsia="宋体" w:cs="宋体"/>
          <w:bCs/>
          <w:color w:val="000000" w:themeColor="text1"/>
          <w:sz w:val="28"/>
          <w:szCs w:val="28"/>
          <w:highlight w:val="none"/>
          <w:lang w:eastAsia="zh-CN"/>
          <w14:textFill>
            <w14:solidFill>
              <w14:schemeClr w14:val="tx1"/>
            </w14:solidFill>
          </w14:textFill>
        </w:rPr>
        <w:t>，</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否则不得分</w:t>
      </w:r>
      <w:r>
        <w:rPr>
          <w:rFonts w:hint="eastAsia" w:ascii="宋体" w:hAnsi="宋体" w:eastAsia="宋体" w:cs="宋体"/>
          <w:bCs/>
          <w:color w:val="000000" w:themeColor="text1"/>
          <w:sz w:val="28"/>
          <w:szCs w:val="28"/>
          <w:highlight w:val="none"/>
          <w14:textFill>
            <w14:solidFill>
              <w14:schemeClr w14:val="tx1"/>
            </w14:solidFill>
          </w14:textFill>
        </w:rPr>
        <w:t>。</w:t>
      </w:r>
    </w:p>
    <w:p w14:paraId="2D815B51">
      <w:pPr>
        <w:pageBreakBefore w:val="0"/>
        <w:kinsoku/>
        <w:overflowPunct/>
        <w:topLinePunct w:val="0"/>
        <w:bidi w:val="0"/>
        <w:adjustRightInd/>
        <w:snapToGrid/>
        <w:spacing w:line="360" w:lineRule="auto"/>
        <w:rPr>
          <w:rFonts w:hint="eastAsia" w:ascii="宋体" w:hAnsi="宋体" w:eastAsia="宋体" w:cs="宋体"/>
          <w:color w:val="000000" w:themeColor="text1"/>
          <w:sz w:val="24"/>
          <w:highlight w:val="none"/>
          <w14:textFill>
            <w14:solidFill>
              <w14:schemeClr w14:val="tx1"/>
            </w14:solidFill>
          </w14:textFill>
        </w:rPr>
      </w:pPr>
    </w:p>
    <w:p w14:paraId="2C19B875">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596E9864">
      <w:pPr>
        <w:pageBreakBefore w:val="0"/>
        <w:kinsoku/>
        <w:overflowPunct/>
        <w:topLinePunct w:val="0"/>
        <w:bidi w:val="0"/>
        <w:adjustRightInd/>
        <w:snapToGrid/>
        <w:spacing w:line="360" w:lineRule="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p>
    <w:p w14:paraId="1A3133C9">
      <w:pPr>
        <w:pStyle w:val="25"/>
        <w:pageBreakBefore w:val="0"/>
        <w:kinsoku/>
        <w:overflowPunct/>
        <w:topLinePunct w:val="0"/>
        <w:bidi w:val="0"/>
        <w:adjustRightInd/>
        <w:snapToGrid/>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br w:type="page"/>
      </w:r>
      <w:r>
        <w:rPr>
          <w:rFonts w:hint="eastAsia" w:ascii="宋体" w:hAnsi="宋体" w:eastAsia="宋体" w:cs="宋体"/>
          <w:bCs/>
          <w:color w:val="000000" w:themeColor="text1"/>
          <w:sz w:val="44"/>
          <w:szCs w:val="32"/>
          <w:highlight w:val="none"/>
          <w14:textFill>
            <w14:solidFill>
              <w14:schemeClr w14:val="tx1"/>
            </w14:solidFill>
          </w14:textFill>
        </w:rPr>
        <w:t>服务方案</w:t>
      </w:r>
    </w:p>
    <w:p w14:paraId="60072D35">
      <w:pPr>
        <w:pStyle w:val="27"/>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宋体" w:hAnsi="宋体" w:eastAsia="宋体" w:cs="宋体"/>
          <w:color w:val="000000" w:themeColor="text1"/>
          <w:highlight w:val="none"/>
          <w14:textFill>
            <w14:solidFill>
              <w14:schemeClr w14:val="tx1"/>
            </w14:solidFill>
          </w14:textFill>
        </w:rPr>
      </w:pPr>
    </w:p>
    <w:p w14:paraId="310E3078">
      <w:pPr>
        <w:rPr>
          <w:rFonts w:hint="eastAsia" w:ascii="宋体" w:hAnsi="宋体" w:eastAsia="宋体" w:cs="宋体"/>
          <w:color w:val="000000" w:themeColor="text1"/>
          <w:highlight w:val="none"/>
          <w14:textFill>
            <w14:solidFill>
              <w14:schemeClr w14:val="tx1"/>
            </w14:solidFill>
          </w14:textFill>
        </w:rPr>
      </w:pPr>
    </w:p>
    <w:p w14:paraId="643DAD65">
      <w:pPr>
        <w:pStyle w:val="2"/>
        <w:rPr>
          <w:rFonts w:hint="eastAsia" w:ascii="宋体" w:hAnsi="宋体" w:eastAsia="宋体" w:cs="宋体"/>
          <w:color w:val="000000" w:themeColor="text1"/>
          <w:highlight w:val="none"/>
          <w14:textFill>
            <w14:solidFill>
              <w14:schemeClr w14:val="tx1"/>
            </w14:solidFill>
          </w14:textFill>
        </w:rPr>
      </w:pPr>
    </w:p>
    <w:p w14:paraId="7B904C32">
      <w:pPr>
        <w:pStyle w:val="27"/>
        <w:ind w:left="5250"/>
        <w:rPr>
          <w:rFonts w:hint="eastAsia" w:ascii="宋体" w:hAnsi="宋体" w:eastAsia="宋体" w:cs="宋体"/>
          <w:color w:val="000000" w:themeColor="text1"/>
          <w:highlight w:val="none"/>
          <w14:textFill>
            <w14:solidFill>
              <w14:schemeClr w14:val="tx1"/>
            </w14:solidFill>
          </w14:textFill>
        </w:rPr>
      </w:pPr>
    </w:p>
    <w:p w14:paraId="536050AD">
      <w:pPr>
        <w:rPr>
          <w:rFonts w:hint="eastAsia" w:ascii="宋体" w:hAnsi="宋体" w:eastAsia="宋体" w:cs="宋体"/>
          <w:color w:val="000000" w:themeColor="text1"/>
          <w:highlight w:val="none"/>
          <w14:textFill>
            <w14:solidFill>
              <w14:schemeClr w14:val="tx1"/>
            </w14:solidFill>
          </w14:textFill>
        </w:rPr>
      </w:pPr>
    </w:p>
    <w:p w14:paraId="7EE9400E">
      <w:pPr>
        <w:pStyle w:val="2"/>
        <w:rPr>
          <w:rFonts w:hint="eastAsia" w:ascii="宋体" w:hAnsi="宋体" w:eastAsia="宋体" w:cs="宋体"/>
          <w:color w:val="000000" w:themeColor="text1"/>
          <w:highlight w:val="none"/>
          <w14:textFill>
            <w14:solidFill>
              <w14:schemeClr w14:val="tx1"/>
            </w14:solidFill>
          </w14:textFill>
        </w:rPr>
      </w:pPr>
    </w:p>
    <w:p w14:paraId="58A11CF6">
      <w:pPr>
        <w:rPr>
          <w:rFonts w:hint="eastAsia" w:ascii="宋体" w:hAnsi="宋体" w:eastAsia="宋体" w:cs="宋体"/>
          <w:color w:val="000000" w:themeColor="text1"/>
          <w:highlight w:val="none"/>
          <w14:textFill>
            <w14:solidFill>
              <w14:schemeClr w14:val="tx1"/>
            </w14:solidFill>
          </w14:textFill>
        </w:rPr>
      </w:pPr>
    </w:p>
    <w:p w14:paraId="53A5269C">
      <w:pPr>
        <w:pStyle w:val="2"/>
        <w:rPr>
          <w:rFonts w:hint="eastAsia" w:ascii="宋体" w:hAnsi="宋体" w:eastAsia="宋体" w:cs="宋体"/>
          <w:color w:val="000000" w:themeColor="text1"/>
          <w:highlight w:val="none"/>
          <w14:textFill>
            <w14:solidFill>
              <w14:schemeClr w14:val="tx1"/>
            </w14:solidFill>
          </w14:textFill>
        </w:rPr>
      </w:pPr>
    </w:p>
    <w:p w14:paraId="4AADDDD1">
      <w:pPr>
        <w:pStyle w:val="27"/>
        <w:ind w:left="5250"/>
        <w:rPr>
          <w:rFonts w:hint="eastAsia" w:ascii="宋体" w:hAnsi="宋体" w:eastAsia="宋体" w:cs="宋体"/>
          <w:color w:val="000000" w:themeColor="text1"/>
          <w:highlight w:val="none"/>
          <w14:textFill>
            <w14:solidFill>
              <w14:schemeClr w14:val="tx1"/>
            </w14:solidFill>
          </w14:textFill>
        </w:rPr>
      </w:pPr>
    </w:p>
    <w:p w14:paraId="28FD7AB9">
      <w:pPr>
        <w:rPr>
          <w:rFonts w:hint="eastAsia" w:ascii="宋体" w:hAnsi="宋体" w:eastAsia="宋体" w:cs="宋体"/>
          <w:color w:val="000000" w:themeColor="text1"/>
          <w:highlight w:val="none"/>
          <w14:textFill>
            <w14:solidFill>
              <w14:schemeClr w14:val="tx1"/>
            </w14:solidFill>
          </w14:textFill>
        </w:rPr>
      </w:pPr>
    </w:p>
    <w:p w14:paraId="5CA96798">
      <w:pPr>
        <w:pStyle w:val="2"/>
        <w:rPr>
          <w:rFonts w:hint="eastAsia" w:ascii="宋体" w:hAnsi="宋体" w:eastAsia="宋体" w:cs="宋体"/>
          <w:color w:val="000000" w:themeColor="text1"/>
          <w:highlight w:val="none"/>
          <w14:textFill>
            <w14:solidFill>
              <w14:schemeClr w14:val="tx1"/>
            </w14:solidFill>
          </w14:textFill>
        </w:rPr>
      </w:pPr>
    </w:p>
    <w:p w14:paraId="69F2EE20">
      <w:pPr>
        <w:pStyle w:val="27"/>
        <w:ind w:left="5250"/>
        <w:rPr>
          <w:rFonts w:hint="eastAsia" w:ascii="宋体" w:hAnsi="宋体" w:eastAsia="宋体" w:cs="宋体"/>
          <w:color w:val="000000" w:themeColor="text1"/>
          <w:highlight w:val="none"/>
          <w14:textFill>
            <w14:solidFill>
              <w14:schemeClr w14:val="tx1"/>
            </w14:solidFill>
          </w14:textFill>
        </w:rPr>
      </w:pPr>
    </w:p>
    <w:p w14:paraId="25BAE237">
      <w:pPr>
        <w:pStyle w:val="2"/>
        <w:rPr>
          <w:rFonts w:hint="eastAsia" w:ascii="宋体" w:hAnsi="宋体" w:eastAsia="宋体" w:cs="宋体"/>
          <w:color w:val="000000" w:themeColor="text1"/>
          <w:highlight w:val="none"/>
          <w14:textFill>
            <w14:solidFill>
              <w14:schemeClr w14:val="tx1"/>
            </w14:solidFill>
          </w14:textFill>
        </w:rPr>
      </w:pPr>
    </w:p>
    <w:p w14:paraId="1DAB7F5B">
      <w:pPr>
        <w:pStyle w:val="27"/>
        <w:ind w:left="5250"/>
        <w:rPr>
          <w:rFonts w:hint="eastAsia" w:ascii="宋体" w:hAnsi="宋体" w:eastAsia="宋体" w:cs="宋体"/>
          <w:highlight w:val="none"/>
        </w:rPr>
      </w:pPr>
    </w:p>
    <w:p w14:paraId="5B8CB8A6">
      <w:pPr>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6152A6BC">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注：按评标办法要求编制</w:t>
      </w:r>
    </w:p>
    <w:p w14:paraId="5AFCCA78">
      <w:pPr>
        <w:pageBreakBefore w:val="0"/>
        <w:kinsoku/>
        <w:overflowPunct/>
        <w:topLinePunct w:val="0"/>
        <w:bidi w:val="0"/>
        <w:adjustRightInd/>
        <w:snapToGrid/>
        <w:rPr>
          <w:rFonts w:hint="eastAsia" w:ascii="宋体" w:hAnsi="宋体" w:eastAsia="宋体" w:cs="宋体"/>
          <w:highlight w:val="none"/>
        </w:rPr>
      </w:pPr>
    </w:p>
    <w:p w14:paraId="3F171483">
      <w:pPr>
        <w:pageBreakBefore w:val="0"/>
        <w:kinsoku/>
        <w:overflowPunct/>
        <w:topLinePunct w:val="0"/>
        <w:bidi w:val="0"/>
        <w:adjustRightInd/>
        <w:snapToGrid/>
        <w:rPr>
          <w:rFonts w:hint="eastAsia" w:ascii="宋体" w:hAnsi="宋体" w:eastAsia="宋体" w:cs="宋体"/>
          <w:highlight w:val="none"/>
        </w:rPr>
      </w:pPr>
    </w:p>
    <w:p w14:paraId="6FB04954">
      <w:pPr>
        <w:rPr>
          <w:rFonts w:hint="eastAsia" w:ascii="宋体" w:hAnsi="宋体" w:eastAsia="宋体" w:cs="宋体"/>
          <w:color w:val="000000" w:themeColor="text1"/>
          <w:highlight w:val="none"/>
          <w14:textFill>
            <w14:solidFill>
              <w14:schemeClr w14:val="tx1"/>
            </w14:solidFill>
          </w14:textFill>
        </w:rPr>
      </w:pPr>
      <w:bookmarkStart w:id="96" w:name="_Toc66864056"/>
      <w:bookmarkStart w:id="97" w:name="_Toc851"/>
      <w:r>
        <w:rPr>
          <w:rFonts w:hint="eastAsia" w:ascii="宋体" w:hAnsi="宋体" w:eastAsia="宋体" w:cs="宋体"/>
          <w:color w:val="000000" w:themeColor="text1"/>
          <w:highlight w:val="none"/>
          <w14:textFill>
            <w14:solidFill>
              <w14:schemeClr w14:val="tx1"/>
            </w14:solidFill>
          </w14:textFill>
        </w:rPr>
        <w:br w:type="page"/>
      </w:r>
    </w:p>
    <w:p w14:paraId="3B1236FF">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制度建设</w:t>
      </w:r>
    </w:p>
    <w:p w14:paraId="15840301">
      <w:pPr>
        <w:pStyle w:val="27"/>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宋体" w:hAnsi="宋体" w:eastAsia="宋体" w:cs="宋体"/>
          <w:color w:val="000000" w:themeColor="text1"/>
          <w:highlight w:val="none"/>
          <w14:textFill>
            <w14:solidFill>
              <w14:schemeClr w14:val="tx1"/>
            </w14:solidFill>
          </w14:textFill>
        </w:rPr>
      </w:pPr>
    </w:p>
    <w:p w14:paraId="39977860">
      <w:pPr>
        <w:rPr>
          <w:rFonts w:hint="eastAsia" w:ascii="宋体" w:hAnsi="宋体" w:eastAsia="宋体" w:cs="宋体"/>
          <w:color w:val="000000" w:themeColor="text1"/>
          <w:highlight w:val="none"/>
          <w14:textFill>
            <w14:solidFill>
              <w14:schemeClr w14:val="tx1"/>
            </w14:solidFill>
          </w14:textFill>
        </w:rPr>
      </w:pPr>
    </w:p>
    <w:p w14:paraId="19454720">
      <w:pPr>
        <w:pStyle w:val="2"/>
        <w:rPr>
          <w:rFonts w:hint="eastAsia" w:ascii="宋体" w:hAnsi="宋体" w:eastAsia="宋体" w:cs="宋体"/>
          <w:color w:val="000000" w:themeColor="text1"/>
          <w:highlight w:val="none"/>
          <w14:textFill>
            <w14:solidFill>
              <w14:schemeClr w14:val="tx1"/>
            </w14:solidFill>
          </w14:textFill>
        </w:rPr>
      </w:pPr>
    </w:p>
    <w:p w14:paraId="44DC46AE">
      <w:pPr>
        <w:pStyle w:val="27"/>
        <w:ind w:left="5250"/>
        <w:rPr>
          <w:rFonts w:hint="eastAsia" w:ascii="宋体" w:hAnsi="宋体" w:eastAsia="宋体" w:cs="宋体"/>
          <w:color w:val="000000" w:themeColor="text1"/>
          <w:highlight w:val="none"/>
          <w14:textFill>
            <w14:solidFill>
              <w14:schemeClr w14:val="tx1"/>
            </w14:solidFill>
          </w14:textFill>
        </w:rPr>
      </w:pPr>
    </w:p>
    <w:p w14:paraId="4E4D1D6C">
      <w:pPr>
        <w:rPr>
          <w:rFonts w:hint="eastAsia" w:ascii="宋体" w:hAnsi="宋体" w:eastAsia="宋体" w:cs="宋体"/>
          <w:color w:val="000000" w:themeColor="text1"/>
          <w:highlight w:val="none"/>
          <w14:textFill>
            <w14:solidFill>
              <w14:schemeClr w14:val="tx1"/>
            </w14:solidFill>
          </w14:textFill>
        </w:rPr>
      </w:pPr>
    </w:p>
    <w:p w14:paraId="07A2FD9E">
      <w:pPr>
        <w:pStyle w:val="2"/>
        <w:rPr>
          <w:rFonts w:hint="eastAsia" w:ascii="宋体" w:hAnsi="宋体" w:eastAsia="宋体" w:cs="宋体"/>
          <w:color w:val="000000" w:themeColor="text1"/>
          <w:highlight w:val="none"/>
          <w14:textFill>
            <w14:solidFill>
              <w14:schemeClr w14:val="tx1"/>
            </w14:solidFill>
          </w14:textFill>
        </w:rPr>
      </w:pPr>
    </w:p>
    <w:p w14:paraId="54C1A216">
      <w:pPr>
        <w:rPr>
          <w:rFonts w:hint="eastAsia" w:ascii="宋体" w:hAnsi="宋体" w:eastAsia="宋体" w:cs="宋体"/>
          <w:color w:val="000000" w:themeColor="text1"/>
          <w:highlight w:val="none"/>
          <w14:textFill>
            <w14:solidFill>
              <w14:schemeClr w14:val="tx1"/>
            </w14:solidFill>
          </w14:textFill>
        </w:rPr>
      </w:pPr>
    </w:p>
    <w:p w14:paraId="4816CCBA">
      <w:pPr>
        <w:pStyle w:val="2"/>
        <w:rPr>
          <w:rFonts w:hint="eastAsia" w:ascii="宋体" w:hAnsi="宋体" w:eastAsia="宋体" w:cs="宋体"/>
          <w:color w:val="000000" w:themeColor="text1"/>
          <w:highlight w:val="none"/>
          <w14:textFill>
            <w14:solidFill>
              <w14:schemeClr w14:val="tx1"/>
            </w14:solidFill>
          </w14:textFill>
        </w:rPr>
      </w:pPr>
    </w:p>
    <w:p w14:paraId="6A3ED884">
      <w:pPr>
        <w:pStyle w:val="27"/>
        <w:ind w:left="5250"/>
        <w:rPr>
          <w:rFonts w:hint="eastAsia" w:ascii="宋体" w:hAnsi="宋体" w:eastAsia="宋体" w:cs="宋体"/>
          <w:color w:val="000000" w:themeColor="text1"/>
          <w:highlight w:val="none"/>
          <w14:textFill>
            <w14:solidFill>
              <w14:schemeClr w14:val="tx1"/>
            </w14:solidFill>
          </w14:textFill>
        </w:rPr>
      </w:pPr>
    </w:p>
    <w:p w14:paraId="0F3BCE68">
      <w:pPr>
        <w:rPr>
          <w:rFonts w:hint="eastAsia" w:ascii="宋体" w:hAnsi="宋体" w:eastAsia="宋体" w:cs="宋体"/>
          <w:color w:val="000000" w:themeColor="text1"/>
          <w:highlight w:val="none"/>
          <w14:textFill>
            <w14:solidFill>
              <w14:schemeClr w14:val="tx1"/>
            </w14:solidFill>
          </w14:textFill>
        </w:rPr>
      </w:pPr>
    </w:p>
    <w:p w14:paraId="54F77BC6">
      <w:pPr>
        <w:pStyle w:val="2"/>
        <w:rPr>
          <w:rFonts w:hint="eastAsia" w:ascii="宋体" w:hAnsi="宋体" w:eastAsia="宋体" w:cs="宋体"/>
          <w:color w:val="000000" w:themeColor="text1"/>
          <w:highlight w:val="none"/>
          <w14:textFill>
            <w14:solidFill>
              <w14:schemeClr w14:val="tx1"/>
            </w14:solidFill>
          </w14:textFill>
        </w:rPr>
      </w:pPr>
    </w:p>
    <w:p w14:paraId="1EE172E9">
      <w:pPr>
        <w:pStyle w:val="27"/>
        <w:ind w:left="5250"/>
        <w:rPr>
          <w:rFonts w:hint="eastAsia" w:ascii="宋体" w:hAnsi="宋体" w:eastAsia="宋体" w:cs="宋体"/>
          <w:color w:val="000000" w:themeColor="text1"/>
          <w:highlight w:val="none"/>
          <w14:textFill>
            <w14:solidFill>
              <w14:schemeClr w14:val="tx1"/>
            </w14:solidFill>
          </w14:textFill>
        </w:rPr>
      </w:pPr>
    </w:p>
    <w:p w14:paraId="4685484E">
      <w:pPr>
        <w:pStyle w:val="2"/>
        <w:rPr>
          <w:rFonts w:hint="eastAsia" w:ascii="宋体" w:hAnsi="宋体" w:eastAsia="宋体" w:cs="宋体"/>
          <w:color w:val="000000" w:themeColor="text1"/>
          <w:highlight w:val="none"/>
          <w14:textFill>
            <w14:solidFill>
              <w14:schemeClr w14:val="tx1"/>
            </w14:solidFill>
          </w14:textFill>
        </w:rPr>
      </w:pPr>
    </w:p>
    <w:p w14:paraId="268555F4">
      <w:pPr>
        <w:pStyle w:val="27"/>
        <w:ind w:left="5250"/>
        <w:rPr>
          <w:rFonts w:hint="eastAsia" w:ascii="宋体" w:hAnsi="宋体" w:eastAsia="宋体" w:cs="宋体"/>
          <w:highlight w:val="none"/>
        </w:rPr>
      </w:pPr>
    </w:p>
    <w:p w14:paraId="0825A68D">
      <w:pPr>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08024C90">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注：按评标办法要求编制</w:t>
      </w:r>
    </w:p>
    <w:p w14:paraId="06F886C8">
      <w:pPr>
        <w:pageBreakBefore w:val="0"/>
        <w:kinsoku/>
        <w:overflowPunct/>
        <w:topLinePunct w:val="0"/>
        <w:bidi w:val="0"/>
        <w:adjustRightInd/>
        <w:snapToGrid/>
        <w:rPr>
          <w:rFonts w:hint="eastAsia" w:ascii="宋体" w:hAnsi="宋体" w:eastAsia="宋体" w:cs="宋体"/>
          <w:highlight w:val="none"/>
        </w:rPr>
      </w:pPr>
    </w:p>
    <w:p w14:paraId="78F91414">
      <w:pPr>
        <w:pageBreakBefore w:val="0"/>
        <w:kinsoku/>
        <w:overflowPunct/>
        <w:topLinePunct w:val="0"/>
        <w:bidi w:val="0"/>
        <w:adjustRightInd/>
        <w:snapToGrid/>
        <w:rPr>
          <w:rFonts w:hint="eastAsia" w:ascii="宋体" w:hAnsi="宋体" w:eastAsia="宋体" w:cs="宋体"/>
          <w:highlight w:val="none"/>
        </w:rPr>
      </w:pPr>
    </w:p>
    <w:p w14:paraId="4A479092">
      <w:pP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0197AEB">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人员选派方案</w:t>
      </w:r>
    </w:p>
    <w:p w14:paraId="5CF2167E">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0E85E6B2">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6A72919B">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783F3915">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3494B538">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59E44460">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4DB49AE8">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2923E07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6D64C441">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注：</w:t>
      </w:r>
      <w:r>
        <w:rPr>
          <w:rFonts w:hint="eastAsia" w:ascii="宋体" w:hAnsi="宋体" w:eastAsia="宋体" w:cs="宋体"/>
          <w:color w:val="000000" w:themeColor="text1"/>
          <w:sz w:val="28"/>
          <w:szCs w:val="28"/>
          <w:highlight w:val="none"/>
          <w:lang w:val="en-US" w:eastAsia="zh-CN"/>
          <w14:textFill>
            <w14:solidFill>
              <w14:schemeClr w14:val="tx1"/>
            </w14:solidFill>
          </w14:textFill>
        </w:rPr>
        <w:t>按评标办法要求编制；</w:t>
      </w:r>
    </w:p>
    <w:p w14:paraId="69CD16C3">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01DDA3E4">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p>
    <w:p w14:paraId="103E08E5">
      <w:pPr>
        <w:pageBreakBefore w:val="0"/>
        <w:kinsoku/>
        <w:overflowPunct/>
        <w:topLinePunct w:val="0"/>
        <w:bidi w:val="0"/>
        <w:adjustRightInd/>
        <w:snapToGrid/>
        <w:rPr>
          <w:rFonts w:hint="eastAsia" w:ascii="宋体" w:hAnsi="宋体" w:eastAsia="宋体" w:cs="宋体"/>
          <w:highlight w:val="none"/>
        </w:rPr>
      </w:pPr>
    </w:p>
    <w:p w14:paraId="2E72E6A8">
      <w:pPr>
        <w:pageBreakBefore w:val="0"/>
        <w:kinsoku/>
        <w:overflowPunct/>
        <w:topLinePunct w:val="0"/>
        <w:bidi w:val="0"/>
        <w:adjustRightInd/>
        <w:snapToGrid/>
        <w:rPr>
          <w:rFonts w:hint="eastAsia" w:ascii="宋体" w:hAnsi="宋体" w:eastAsia="宋体" w:cs="宋体"/>
          <w:highlight w:val="none"/>
        </w:rPr>
      </w:pPr>
    </w:p>
    <w:p w14:paraId="373B4561">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3F9C665">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服务承诺</w:t>
      </w:r>
    </w:p>
    <w:p w14:paraId="7987C652">
      <w:pPr>
        <w:pStyle w:val="27"/>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宋体" w:hAnsi="宋体" w:eastAsia="宋体" w:cs="宋体"/>
          <w:color w:val="000000" w:themeColor="text1"/>
          <w:highlight w:val="none"/>
          <w14:textFill>
            <w14:solidFill>
              <w14:schemeClr w14:val="tx1"/>
            </w14:solidFill>
          </w14:textFill>
        </w:rPr>
      </w:pPr>
    </w:p>
    <w:p w14:paraId="4C7EBE5C">
      <w:pPr>
        <w:rPr>
          <w:rFonts w:hint="eastAsia" w:ascii="宋体" w:hAnsi="宋体" w:eastAsia="宋体" w:cs="宋体"/>
          <w:color w:val="000000" w:themeColor="text1"/>
          <w:highlight w:val="none"/>
          <w14:textFill>
            <w14:solidFill>
              <w14:schemeClr w14:val="tx1"/>
            </w14:solidFill>
          </w14:textFill>
        </w:rPr>
      </w:pPr>
    </w:p>
    <w:p w14:paraId="35FAF891">
      <w:pPr>
        <w:pStyle w:val="2"/>
        <w:rPr>
          <w:rFonts w:hint="eastAsia" w:ascii="宋体" w:hAnsi="宋体" w:eastAsia="宋体" w:cs="宋体"/>
          <w:color w:val="000000" w:themeColor="text1"/>
          <w:highlight w:val="none"/>
          <w14:textFill>
            <w14:solidFill>
              <w14:schemeClr w14:val="tx1"/>
            </w14:solidFill>
          </w14:textFill>
        </w:rPr>
      </w:pPr>
    </w:p>
    <w:p w14:paraId="583899A5">
      <w:pPr>
        <w:pStyle w:val="27"/>
        <w:ind w:left="5250"/>
        <w:rPr>
          <w:rFonts w:hint="eastAsia" w:ascii="宋体" w:hAnsi="宋体" w:eastAsia="宋体" w:cs="宋体"/>
          <w:color w:val="000000" w:themeColor="text1"/>
          <w:highlight w:val="none"/>
          <w14:textFill>
            <w14:solidFill>
              <w14:schemeClr w14:val="tx1"/>
            </w14:solidFill>
          </w14:textFill>
        </w:rPr>
      </w:pPr>
    </w:p>
    <w:p w14:paraId="6B059F59">
      <w:pPr>
        <w:rPr>
          <w:rFonts w:hint="eastAsia" w:ascii="宋体" w:hAnsi="宋体" w:eastAsia="宋体" w:cs="宋体"/>
          <w:color w:val="000000" w:themeColor="text1"/>
          <w:highlight w:val="none"/>
          <w14:textFill>
            <w14:solidFill>
              <w14:schemeClr w14:val="tx1"/>
            </w14:solidFill>
          </w14:textFill>
        </w:rPr>
      </w:pPr>
    </w:p>
    <w:p w14:paraId="0E586F7D">
      <w:pPr>
        <w:pStyle w:val="2"/>
        <w:rPr>
          <w:rFonts w:hint="eastAsia" w:ascii="宋体" w:hAnsi="宋体" w:eastAsia="宋体" w:cs="宋体"/>
          <w:color w:val="000000" w:themeColor="text1"/>
          <w:highlight w:val="none"/>
          <w14:textFill>
            <w14:solidFill>
              <w14:schemeClr w14:val="tx1"/>
            </w14:solidFill>
          </w14:textFill>
        </w:rPr>
      </w:pPr>
    </w:p>
    <w:p w14:paraId="490FD4FC">
      <w:pPr>
        <w:rPr>
          <w:rFonts w:hint="eastAsia" w:ascii="宋体" w:hAnsi="宋体" w:eastAsia="宋体" w:cs="宋体"/>
          <w:color w:val="000000" w:themeColor="text1"/>
          <w:highlight w:val="none"/>
          <w14:textFill>
            <w14:solidFill>
              <w14:schemeClr w14:val="tx1"/>
            </w14:solidFill>
          </w14:textFill>
        </w:rPr>
      </w:pPr>
    </w:p>
    <w:p w14:paraId="75B69566">
      <w:pPr>
        <w:pStyle w:val="2"/>
        <w:rPr>
          <w:rFonts w:hint="eastAsia" w:ascii="宋体" w:hAnsi="宋体" w:eastAsia="宋体" w:cs="宋体"/>
          <w:color w:val="000000" w:themeColor="text1"/>
          <w:highlight w:val="none"/>
          <w14:textFill>
            <w14:solidFill>
              <w14:schemeClr w14:val="tx1"/>
            </w14:solidFill>
          </w14:textFill>
        </w:rPr>
      </w:pPr>
    </w:p>
    <w:p w14:paraId="448726E7">
      <w:pPr>
        <w:pStyle w:val="27"/>
        <w:ind w:left="5250"/>
        <w:rPr>
          <w:rFonts w:hint="eastAsia" w:ascii="宋体" w:hAnsi="宋体" w:eastAsia="宋体" w:cs="宋体"/>
          <w:color w:val="000000" w:themeColor="text1"/>
          <w:highlight w:val="none"/>
          <w14:textFill>
            <w14:solidFill>
              <w14:schemeClr w14:val="tx1"/>
            </w14:solidFill>
          </w14:textFill>
        </w:rPr>
      </w:pPr>
    </w:p>
    <w:p w14:paraId="7836991D">
      <w:pPr>
        <w:rPr>
          <w:rFonts w:hint="eastAsia" w:ascii="宋体" w:hAnsi="宋体" w:eastAsia="宋体" w:cs="宋体"/>
          <w:color w:val="000000" w:themeColor="text1"/>
          <w:highlight w:val="none"/>
          <w14:textFill>
            <w14:solidFill>
              <w14:schemeClr w14:val="tx1"/>
            </w14:solidFill>
          </w14:textFill>
        </w:rPr>
      </w:pPr>
    </w:p>
    <w:p w14:paraId="210F993F">
      <w:pPr>
        <w:pStyle w:val="2"/>
        <w:rPr>
          <w:rFonts w:hint="eastAsia" w:ascii="宋体" w:hAnsi="宋体" w:eastAsia="宋体" w:cs="宋体"/>
          <w:color w:val="000000" w:themeColor="text1"/>
          <w:highlight w:val="none"/>
          <w14:textFill>
            <w14:solidFill>
              <w14:schemeClr w14:val="tx1"/>
            </w14:solidFill>
          </w14:textFill>
        </w:rPr>
      </w:pPr>
    </w:p>
    <w:p w14:paraId="767FAFC7">
      <w:pPr>
        <w:pStyle w:val="27"/>
        <w:ind w:left="5250"/>
        <w:rPr>
          <w:rFonts w:hint="eastAsia" w:ascii="宋体" w:hAnsi="宋体" w:eastAsia="宋体" w:cs="宋体"/>
          <w:color w:val="000000" w:themeColor="text1"/>
          <w:highlight w:val="none"/>
          <w14:textFill>
            <w14:solidFill>
              <w14:schemeClr w14:val="tx1"/>
            </w14:solidFill>
          </w14:textFill>
        </w:rPr>
      </w:pPr>
    </w:p>
    <w:p w14:paraId="7D8EEC36">
      <w:pPr>
        <w:pStyle w:val="2"/>
        <w:rPr>
          <w:rFonts w:hint="eastAsia" w:ascii="宋体" w:hAnsi="宋体" w:eastAsia="宋体" w:cs="宋体"/>
          <w:color w:val="000000" w:themeColor="text1"/>
          <w:highlight w:val="none"/>
          <w14:textFill>
            <w14:solidFill>
              <w14:schemeClr w14:val="tx1"/>
            </w14:solidFill>
          </w14:textFill>
        </w:rPr>
      </w:pPr>
    </w:p>
    <w:p w14:paraId="1139CC16">
      <w:pPr>
        <w:pStyle w:val="27"/>
        <w:ind w:left="5250"/>
        <w:rPr>
          <w:rFonts w:hint="eastAsia" w:ascii="宋体" w:hAnsi="宋体" w:eastAsia="宋体" w:cs="宋体"/>
          <w:highlight w:val="none"/>
        </w:rPr>
      </w:pPr>
    </w:p>
    <w:p w14:paraId="50E76FEC">
      <w:pPr>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1C8C7F56">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注：按评标办法要求编制</w:t>
      </w:r>
    </w:p>
    <w:p w14:paraId="30C5C1A7">
      <w:pPr>
        <w:pageBreakBefore w:val="0"/>
        <w:kinsoku/>
        <w:overflowPunct/>
        <w:topLinePunct w:val="0"/>
        <w:bidi w:val="0"/>
        <w:adjustRightInd/>
        <w:snapToGrid/>
        <w:rPr>
          <w:rFonts w:hint="eastAsia" w:ascii="宋体" w:hAnsi="宋体" w:eastAsia="宋体" w:cs="宋体"/>
          <w:highlight w:val="none"/>
        </w:rPr>
      </w:pPr>
    </w:p>
    <w:p w14:paraId="245DBEF5">
      <w:pPr>
        <w:pageBreakBefore w:val="0"/>
        <w:kinsoku/>
        <w:overflowPunct/>
        <w:topLinePunct w:val="0"/>
        <w:bidi w:val="0"/>
        <w:adjustRightInd/>
        <w:snapToGrid/>
        <w:rPr>
          <w:rFonts w:hint="eastAsia" w:ascii="宋体" w:hAnsi="宋体" w:eastAsia="宋体" w:cs="宋体"/>
          <w:highlight w:val="none"/>
        </w:rPr>
      </w:pPr>
    </w:p>
    <w:p w14:paraId="200978B2">
      <w:pP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1C855B93">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第六章  合同（范本）</w:t>
      </w:r>
      <w:bookmarkEnd w:id="96"/>
      <w:bookmarkEnd w:id="97"/>
    </w:p>
    <w:p w14:paraId="223F0AC0">
      <w:pPr>
        <w:autoSpaceDE w:val="0"/>
        <w:autoSpaceDN w:val="0"/>
        <w:adjustRightInd w:val="0"/>
        <w:spacing w:line="460" w:lineRule="exact"/>
        <w:jc w:val="right"/>
        <w:outlineLvl w:val="0"/>
        <w:rPr>
          <w:rFonts w:hint="eastAsia" w:ascii="宋体" w:hAnsi="宋体" w:eastAsia="宋体" w:cs="宋体"/>
          <w:b/>
          <w:sz w:val="32"/>
          <w:szCs w:val="32"/>
          <w:highlight w:val="none"/>
        </w:rPr>
      </w:pPr>
      <w:r>
        <w:rPr>
          <w:rFonts w:hint="eastAsia" w:ascii="宋体" w:hAnsi="宋体" w:eastAsia="宋体" w:cs="宋体"/>
          <w:b/>
          <w:sz w:val="28"/>
          <w:szCs w:val="28"/>
          <w:highlight w:val="none"/>
          <w:lang w:eastAsia="zh-CN"/>
        </w:rPr>
        <w:t xml:space="preserve"> </w:t>
      </w:r>
      <w:r>
        <w:rPr>
          <w:rFonts w:hint="eastAsia" w:ascii="宋体" w:hAnsi="宋体" w:eastAsia="宋体" w:cs="宋体"/>
          <w:b/>
          <w:sz w:val="32"/>
          <w:szCs w:val="32"/>
          <w:highlight w:val="none"/>
        </w:rPr>
        <w:t>合同编号：</w:t>
      </w:r>
    </w:p>
    <w:p w14:paraId="37783CE9">
      <w:pPr>
        <w:autoSpaceDE w:val="0"/>
        <w:autoSpaceDN w:val="0"/>
        <w:adjustRightInd w:val="0"/>
        <w:spacing w:line="460" w:lineRule="exact"/>
        <w:jc w:val="center"/>
        <w:outlineLvl w:val="0"/>
        <w:rPr>
          <w:rFonts w:hint="eastAsia" w:ascii="宋体" w:hAnsi="宋体" w:eastAsia="宋体" w:cs="宋体"/>
          <w:b/>
          <w:sz w:val="32"/>
          <w:szCs w:val="32"/>
          <w:highlight w:val="none"/>
        </w:rPr>
      </w:pPr>
    </w:p>
    <w:p w14:paraId="3E627CFE">
      <w:pPr>
        <w:autoSpaceDE w:val="0"/>
        <w:autoSpaceDN w:val="0"/>
        <w:adjustRightInd w:val="0"/>
        <w:spacing w:line="460" w:lineRule="exact"/>
        <w:jc w:val="center"/>
        <w:outlineLvl w:val="0"/>
        <w:rPr>
          <w:rFonts w:hint="eastAsia" w:ascii="宋体" w:hAnsi="宋体" w:eastAsia="宋体" w:cs="宋体"/>
          <w:b/>
          <w:sz w:val="32"/>
          <w:szCs w:val="32"/>
          <w:highlight w:val="none"/>
        </w:rPr>
      </w:pPr>
    </w:p>
    <w:p w14:paraId="75B243CA">
      <w:pPr>
        <w:autoSpaceDE w:val="0"/>
        <w:autoSpaceDN w:val="0"/>
        <w:adjustRightInd w:val="0"/>
        <w:spacing w:line="460" w:lineRule="exact"/>
        <w:outlineLvl w:val="0"/>
        <w:rPr>
          <w:rFonts w:hint="eastAsia" w:ascii="宋体" w:hAnsi="宋体" w:eastAsia="宋体" w:cs="宋体"/>
          <w:b/>
          <w:sz w:val="32"/>
          <w:szCs w:val="32"/>
          <w:highlight w:val="none"/>
        </w:rPr>
      </w:pPr>
    </w:p>
    <w:p w14:paraId="55305F96">
      <w:pPr>
        <w:pStyle w:val="2"/>
        <w:rPr>
          <w:rFonts w:hint="eastAsia" w:ascii="宋体" w:hAnsi="宋体" w:eastAsia="宋体" w:cs="宋体"/>
          <w:highlight w:val="none"/>
        </w:rPr>
      </w:pPr>
    </w:p>
    <w:p w14:paraId="2CE0FA6B">
      <w:pPr>
        <w:autoSpaceDE w:val="0"/>
        <w:autoSpaceDN w:val="0"/>
        <w:adjustRightInd w:val="0"/>
        <w:spacing w:line="460" w:lineRule="exact"/>
        <w:jc w:val="center"/>
        <w:outlineLvl w:val="0"/>
        <w:rPr>
          <w:rFonts w:hint="eastAsia" w:ascii="宋体" w:hAnsi="宋体" w:eastAsia="宋体" w:cs="宋体"/>
          <w:b/>
          <w:sz w:val="32"/>
          <w:szCs w:val="32"/>
          <w:highlight w:val="none"/>
        </w:rPr>
      </w:pPr>
    </w:p>
    <w:p w14:paraId="539FFEE3">
      <w:pPr>
        <w:autoSpaceDE w:val="0"/>
        <w:autoSpaceDN w:val="0"/>
        <w:adjustRightInd w:val="0"/>
        <w:spacing w:line="640" w:lineRule="exact"/>
        <w:jc w:val="center"/>
        <w:outlineLvl w:val="0"/>
        <w:rPr>
          <w:rFonts w:hint="eastAsia" w:ascii="宋体" w:hAnsi="宋体" w:eastAsia="宋体" w:cs="宋体"/>
          <w:b/>
          <w:sz w:val="44"/>
          <w:szCs w:val="44"/>
          <w:highlight w:val="none"/>
        </w:rPr>
      </w:pPr>
      <w:r>
        <w:rPr>
          <w:rFonts w:hint="eastAsia" w:ascii="宋体" w:hAnsi="宋体" w:eastAsia="宋体" w:cs="宋体"/>
          <w:b/>
          <w:sz w:val="44"/>
          <w:szCs w:val="44"/>
          <w:highlight w:val="none"/>
        </w:rPr>
        <w:t>威海市环翠区环晟建材科技有限公司</w:t>
      </w:r>
    </w:p>
    <w:p w14:paraId="78766D5E">
      <w:pPr>
        <w:autoSpaceDE w:val="0"/>
        <w:autoSpaceDN w:val="0"/>
        <w:adjustRightInd w:val="0"/>
        <w:spacing w:line="640" w:lineRule="exact"/>
        <w:jc w:val="center"/>
        <w:outlineLvl w:val="0"/>
        <w:rPr>
          <w:rFonts w:hint="eastAsia" w:ascii="宋体" w:hAnsi="宋体" w:eastAsia="宋体" w:cs="宋体"/>
          <w:b/>
          <w:sz w:val="44"/>
          <w:szCs w:val="44"/>
          <w:highlight w:val="none"/>
          <w:lang w:val="zh-CN"/>
        </w:rPr>
      </w:pPr>
      <w:r>
        <w:rPr>
          <w:rFonts w:hint="eastAsia" w:ascii="宋体" w:hAnsi="宋体" w:eastAsia="宋体" w:cs="宋体"/>
          <w:b/>
          <w:sz w:val="44"/>
          <w:szCs w:val="44"/>
          <w:highlight w:val="none"/>
        </w:rPr>
        <w:t>劳务服务合同</w:t>
      </w:r>
    </w:p>
    <w:p w14:paraId="1A03DAA7">
      <w:pPr>
        <w:spacing w:line="480" w:lineRule="exact"/>
        <w:ind w:left="945" w:leftChars="450"/>
        <w:rPr>
          <w:rFonts w:hint="eastAsia" w:ascii="宋体" w:hAnsi="宋体" w:eastAsia="宋体" w:cs="宋体"/>
          <w:color w:val="000000"/>
          <w:kern w:val="0"/>
          <w:sz w:val="24"/>
          <w:highlight w:val="none"/>
        </w:rPr>
      </w:pPr>
    </w:p>
    <w:p w14:paraId="17367478">
      <w:pPr>
        <w:spacing w:line="480" w:lineRule="exact"/>
        <w:ind w:left="945" w:leftChars="450"/>
        <w:rPr>
          <w:rFonts w:hint="eastAsia" w:ascii="宋体" w:hAnsi="宋体" w:eastAsia="宋体" w:cs="宋体"/>
          <w:color w:val="000000"/>
          <w:kern w:val="0"/>
          <w:sz w:val="24"/>
          <w:highlight w:val="none"/>
        </w:rPr>
      </w:pPr>
    </w:p>
    <w:p w14:paraId="3D542354">
      <w:pPr>
        <w:spacing w:line="480" w:lineRule="exact"/>
        <w:ind w:left="945" w:leftChars="450"/>
        <w:rPr>
          <w:rFonts w:hint="eastAsia" w:ascii="宋体" w:hAnsi="宋体" w:eastAsia="宋体" w:cs="宋体"/>
          <w:color w:val="000000"/>
          <w:kern w:val="0"/>
          <w:sz w:val="24"/>
          <w:highlight w:val="none"/>
        </w:rPr>
      </w:pPr>
    </w:p>
    <w:p w14:paraId="09115052">
      <w:pPr>
        <w:spacing w:line="480" w:lineRule="exact"/>
        <w:ind w:left="945" w:leftChars="450"/>
        <w:rPr>
          <w:rFonts w:hint="eastAsia" w:ascii="宋体" w:hAnsi="宋体" w:eastAsia="宋体" w:cs="宋体"/>
          <w:color w:val="000000"/>
          <w:kern w:val="0"/>
          <w:sz w:val="24"/>
          <w:highlight w:val="none"/>
        </w:rPr>
      </w:pPr>
    </w:p>
    <w:p w14:paraId="20E1DF5A">
      <w:pPr>
        <w:spacing w:line="480" w:lineRule="exact"/>
        <w:ind w:left="945" w:leftChars="450"/>
        <w:rPr>
          <w:rFonts w:hint="eastAsia" w:ascii="宋体" w:hAnsi="宋体" w:eastAsia="宋体" w:cs="宋体"/>
          <w:color w:val="000000"/>
          <w:kern w:val="0"/>
          <w:sz w:val="24"/>
          <w:highlight w:val="none"/>
        </w:rPr>
      </w:pPr>
    </w:p>
    <w:p w14:paraId="182F6AF4">
      <w:pPr>
        <w:spacing w:line="480" w:lineRule="exact"/>
        <w:ind w:left="945" w:leftChars="450"/>
        <w:rPr>
          <w:rFonts w:hint="eastAsia" w:ascii="宋体" w:hAnsi="宋体" w:eastAsia="宋体" w:cs="宋体"/>
          <w:color w:val="000000"/>
          <w:kern w:val="0"/>
          <w:sz w:val="24"/>
          <w:highlight w:val="none"/>
        </w:rPr>
      </w:pPr>
    </w:p>
    <w:p w14:paraId="5C47D316">
      <w:pPr>
        <w:spacing w:line="480" w:lineRule="exact"/>
        <w:ind w:left="945" w:leftChars="450"/>
        <w:rPr>
          <w:rFonts w:hint="eastAsia" w:ascii="宋体" w:hAnsi="宋体" w:eastAsia="宋体" w:cs="宋体"/>
          <w:color w:val="000000"/>
          <w:kern w:val="0"/>
          <w:sz w:val="24"/>
          <w:highlight w:val="none"/>
        </w:rPr>
      </w:pPr>
    </w:p>
    <w:p w14:paraId="246CC419">
      <w:pPr>
        <w:spacing w:line="480" w:lineRule="exact"/>
        <w:ind w:left="945" w:leftChars="450"/>
        <w:rPr>
          <w:rFonts w:hint="eastAsia" w:ascii="宋体" w:hAnsi="宋体" w:eastAsia="宋体" w:cs="宋体"/>
          <w:color w:val="000000"/>
          <w:kern w:val="0"/>
          <w:sz w:val="24"/>
          <w:highlight w:val="none"/>
        </w:rPr>
      </w:pPr>
    </w:p>
    <w:p w14:paraId="3C8D787B">
      <w:pPr>
        <w:spacing w:line="480" w:lineRule="exact"/>
        <w:ind w:left="945" w:leftChars="450"/>
        <w:rPr>
          <w:rFonts w:hint="eastAsia" w:ascii="宋体" w:hAnsi="宋体" w:eastAsia="宋体" w:cs="宋体"/>
          <w:color w:val="000000"/>
          <w:kern w:val="0"/>
          <w:sz w:val="24"/>
          <w:highlight w:val="none"/>
        </w:rPr>
      </w:pPr>
    </w:p>
    <w:p w14:paraId="6BA3577E">
      <w:pPr>
        <w:spacing w:line="480" w:lineRule="exact"/>
        <w:ind w:left="945" w:leftChars="450"/>
        <w:rPr>
          <w:rFonts w:hint="eastAsia" w:ascii="宋体" w:hAnsi="宋体" w:eastAsia="宋体" w:cs="宋体"/>
          <w:color w:val="000000"/>
          <w:kern w:val="0"/>
          <w:sz w:val="24"/>
          <w:highlight w:val="none"/>
        </w:rPr>
      </w:pPr>
    </w:p>
    <w:p w14:paraId="603C49F1">
      <w:pPr>
        <w:spacing w:line="480" w:lineRule="exact"/>
        <w:ind w:left="945" w:leftChars="450"/>
        <w:rPr>
          <w:rFonts w:hint="eastAsia" w:ascii="宋体" w:hAnsi="宋体" w:eastAsia="宋体" w:cs="宋体"/>
          <w:color w:val="000000"/>
          <w:kern w:val="0"/>
          <w:sz w:val="24"/>
          <w:highlight w:val="none"/>
        </w:rPr>
      </w:pPr>
    </w:p>
    <w:p w14:paraId="2F8FBA61">
      <w:pPr>
        <w:spacing w:line="480" w:lineRule="exact"/>
        <w:ind w:left="945" w:leftChars="450"/>
        <w:rPr>
          <w:rFonts w:hint="eastAsia" w:ascii="宋体" w:hAnsi="宋体" w:eastAsia="宋体" w:cs="宋体"/>
          <w:color w:val="000000"/>
          <w:kern w:val="0"/>
          <w:sz w:val="24"/>
          <w:highlight w:val="none"/>
        </w:rPr>
      </w:pPr>
    </w:p>
    <w:p w14:paraId="04AAFE0F">
      <w:pPr>
        <w:spacing w:line="480" w:lineRule="exact"/>
        <w:ind w:left="945" w:leftChars="450"/>
        <w:rPr>
          <w:rFonts w:hint="eastAsia" w:ascii="宋体" w:hAnsi="宋体" w:eastAsia="宋体" w:cs="宋体"/>
          <w:color w:val="000000"/>
          <w:kern w:val="0"/>
          <w:sz w:val="24"/>
          <w:highlight w:val="none"/>
        </w:rPr>
      </w:pPr>
    </w:p>
    <w:p w14:paraId="50CA6068">
      <w:pPr>
        <w:spacing w:line="480" w:lineRule="exact"/>
        <w:ind w:left="945" w:leftChars="450"/>
        <w:rPr>
          <w:rFonts w:hint="eastAsia" w:ascii="宋体" w:hAnsi="宋体" w:eastAsia="宋体" w:cs="宋体"/>
          <w:color w:val="000000"/>
          <w:kern w:val="0"/>
          <w:sz w:val="24"/>
          <w:highlight w:val="none"/>
        </w:rPr>
      </w:pPr>
    </w:p>
    <w:p w14:paraId="215FC110">
      <w:pPr>
        <w:spacing w:line="480" w:lineRule="exact"/>
        <w:ind w:left="945" w:leftChars="450"/>
        <w:rPr>
          <w:rFonts w:hint="eastAsia" w:ascii="宋体" w:hAnsi="宋体" w:eastAsia="宋体" w:cs="宋体"/>
          <w:color w:val="000000"/>
          <w:kern w:val="0"/>
          <w:sz w:val="32"/>
          <w:szCs w:val="32"/>
          <w:highlight w:val="none"/>
        </w:rPr>
      </w:pPr>
      <w:r>
        <w:rPr>
          <w:rFonts w:hint="eastAsia" w:ascii="宋体" w:hAnsi="宋体" w:eastAsia="宋体" w:cs="宋体"/>
          <w:color w:val="000000"/>
          <w:kern w:val="0"/>
          <w:sz w:val="32"/>
          <w:szCs w:val="32"/>
          <w:highlight w:val="none"/>
        </w:rPr>
        <w:t>甲方：威海市环翠区环晟建材科技有限公司</w:t>
      </w:r>
    </w:p>
    <w:p w14:paraId="2AF1CA2A">
      <w:pPr>
        <w:spacing w:line="480" w:lineRule="exact"/>
        <w:ind w:left="945" w:leftChars="450"/>
        <w:rPr>
          <w:rFonts w:hint="eastAsia" w:ascii="宋体" w:hAnsi="宋体" w:eastAsia="宋体" w:cs="宋体"/>
          <w:color w:val="000000"/>
          <w:kern w:val="0"/>
          <w:sz w:val="32"/>
          <w:szCs w:val="32"/>
          <w:highlight w:val="none"/>
        </w:rPr>
      </w:pPr>
    </w:p>
    <w:p w14:paraId="19FBF56E">
      <w:pPr>
        <w:spacing w:line="480" w:lineRule="exact"/>
        <w:ind w:left="945" w:leftChars="450"/>
        <w:rPr>
          <w:rFonts w:hint="eastAsia" w:ascii="宋体" w:hAnsi="宋体" w:eastAsia="宋体" w:cs="宋体"/>
          <w:color w:val="000000"/>
          <w:kern w:val="0"/>
          <w:sz w:val="32"/>
          <w:szCs w:val="32"/>
          <w:highlight w:val="none"/>
        </w:rPr>
      </w:pPr>
      <w:r>
        <w:rPr>
          <w:rFonts w:hint="eastAsia" w:ascii="宋体" w:hAnsi="宋体" w:eastAsia="宋体" w:cs="宋体"/>
          <w:color w:val="000000"/>
          <w:kern w:val="0"/>
          <w:sz w:val="32"/>
          <w:szCs w:val="32"/>
          <w:highlight w:val="none"/>
        </w:rPr>
        <w:t>乙方：</w:t>
      </w:r>
    </w:p>
    <w:p w14:paraId="4FAB4FC7">
      <w:pPr>
        <w:rPr>
          <w:rFonts w:hint="eastAsia" w:ascii="宋体" w:hAnsi="宋体" w:eastAsia="宋体" w:cs="宋体"/>
          <w:b/>
          <w:sz w:val="36"/>
          <w:szCs w:val="36"/>
          <w:highlight w:val="none"/>
        </w:rPr>
      </w:pPr>
      <w:r>
        <w:rPr>
          <w:rFonts w:hint="eastAsia" w:ascii="宋体" w:hAnsi="宋体" w:eastAsia="宋体" w:cs="宋体"/>
          <w:b/>
          <w:sz w:val="36"/>
          <w:szCs w:val="36"/>
          <w:highlight w:val="none"/>
        </w:rPr>
        <w:br w:type="page"/>
      </w:r>
    </w:p>
    <w:p w14:paraId="10E5A050">
      <w:pPr>
        <w:pStyle w:val="2"/>
        <w:jc w:val="center"/>
        <w:rPr>
          <w:rFonts w:hint="eastAsia" w:ascii="宋体" w:hAnsi="宋体" w:eastAsia="宋体" w:cs="宋体"/>
          <w:b/>
          <w:sz w:val="36"/>
          <w:szCs w:val="36"/>
          <w:highlight w:val="none"/>
          <w:lang w:val="zh-CN"/>
        </w:rPr>
      </w:pPr>
      <w:r>
        <w:rPr>
          <w:rFonts w:hint="eastAsia" w:ascii="宋体" w:hAnsi="宋体" w:eastAsia="宋体" w:cs="宋体"/>
          <w:b/>
          <w:sz w:val="36"/>
          <w:szCs w:val="36"/>
          <w:highlight w:val="none"/>
        </w:rPr>
        <w:t>劳务服务</w:t>
      </w:r>
      <w:r>
        <w:rPr>
          <w:rFonts w:hint="eastAsia" w:ascii="宋体" w:hAnsi="宋体" w:eastAsia="宋体" w:cs="宋体"/>
          <w:b/>
          <w:sz w:val="36"/>
          <w:szCs w:val="36"/>
          <w:highlight w:val="none"/>
          <w:lang w:val="zh-CN"/>
        </w:rPr>
        <w:t>合同</w:t>
      </w:r>
    </w:p>
    <w:p w14:paraId="60E95E01">
      <w:pPr>
        <w:keepNext w:val="0"/>
        <w:keepLines w:val="0"/>
        <w:pageBreakBefore w:val="0"/>
        <w:widowControl w:val="0"/>
        <w:kinsoku/>
        <w:wordWrap/>
        <w:overflowPunct/>
        <w:topLinePunct/>
        <w:bidi w:val="0"/>
        <w:snapToGrid w:val="0"/>
        <w:spacing w:line="520" w:lineRule="exact"/>
        <w:ind w:firstLine="840" w:firstLineChars="3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甲方：威海市环翠区环晟建材科技有限公司</w:t>
      </w:r>
    </w:p>
    <w:p w14:paraId="77005495">
      <w:pPr>
        <w:keepNext w:val="0"/>
        <w:keepLines w:val="0"/>
        <w:pageBreakBefore w:val="0"/>
        <w:widowControl w:val="0"/>
        <w:kinsoku/>
        <w:wordWrap/>
        <w:overflowPunct/>
        <w:topLinePunct/>
        <w:bidi w:val="0"/>
        <w:snapToGrid w:val="0"/>
        <w:spacing w:line="520" w:lineRule="exact"/>
        <w:ind w:firstLine="840" w:firstLineChars="3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乙方：</w:t>
      </w:r>
    </w:p>
    <w:p w14:paraId="0EC61B1D">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根据《中华人民共和国民法典》等有关法律法规的规定，本着诚实信用、平等、自愿、互利等原则，双方根据</w:t>
      </w:r>
      <w:r>
        <w:rPr>
          <w:rFonts w:hint="eastAsia" w:ascii="宋体" w:hAnsi="宋体" w:eastAsia="宋体" w:cs="宋体"/>
          <w:sz w:val="28"/>
          <w:szCs w:val="28"/>
          <w:highlight w:val="none"/>
          <w:u w:val="single"/>
        </w:rPr>
        <w:t xml:space="preserve">  年  月  日</w:t>
      </w:r>
      <w:r>
        <w:rPr>
          <w:rFonts w:hint="eastAsia" w:ascii="宋体" w:hAnsi="宋体" w:eastAsia="宋体" w:cs="宋体"/>
          <w:sz w:val="28"/>
          <w:szCs w:val="28"/>
          <w:highlight w:val="none"/>
        </w:rPr>
        <w:t>威海市环翠区环晟建材科技有限公司选定劳务服务供应商采购招标的结果和</w:t>
      </w:r>
      <w:r>
        <w:rPr>
          <w:rFonts w:hint="eastAsia" w:ascii="宋体" w:hAnsi="宋体" w:eastAsia="宋体" w:cs="宋体"/>
          <w:sz w:val="28"/>
          <w:szCs w:val="28"/>
          <w:highlight w:val="none"/>
          <w:lang w:val="en-US" w:eastAsia="zh-CN"/>
        </w:rPr>
        <w:t>招标</w:t>
      </w:r>
      <w:r>
        <w:rPr>
          <w:rFonts w:hint="eastAsia" w:ascii="宋体" w:hAnsi="宋体" w:eastAsia="宋体" w:cs="宋体"/>
          <w:sz w:val="28"/>
          <w:szCs w:val="28"/>
          <w:highlight w:val="none"/>
        </w:rPr>
        <w:t>文件的要求，特就乙方为甲方提供劳务服务，达成本合同。</w:t>
      </w:r>
    </w:p>
    <w:p w14:paraId="07173E17">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总则</w:t>
      </w:r>
    </w:p>
    <w:p w14:paraId="32C06091">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甲乙双方之间为各自独立的经营主体，双方之间的法律关系为服务合同关系，即由乙方为甲方提供用于厂区生产所需劳务辅助工。本协议的签订及履行，不表示双方建立劳务派遣关系或类似关系，乙方应向其劳务人员承担用人单位的全部责任。甲乙双方之间、甲方与乙方提供的人员之间没有劳动合同关系，亦不存在雇佣关系或其他劳务关系。</w:t>
      </w:r>
    </w:p>
    <w:p w14:paraId="5B2BA54B">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2、甲乙双方不构成代理关系，乙方不得以甲方名义对外签署或发布任何文件、制度等。</w:t>
      </w:r>
    </w:p>
    <w:p w14:paraId="3C890DB1">
      <w:pPr>
        <w:pStyle w:val="2"/>
        <w:keepNext w:val="0"/>
        <w:keepLines w:val="0"/>
        <w:pageBreakBefore w:val="0"/>
        <w:widowControl w:val="0"/>
        <w:kinsoku/>
        <w:wordWrap/>
        <w:overflowPunct/>
        <w:topLinePunct/>
        <w:autoSpaceDE w:val="0"/>
        <w:autoSpaceDN w:val="0"/>
        <w:bidi w:val="0"/>
        <w:adjustRightInd w:val="0"/>
        <w:spacing w:line="520" w:lineRule="exact"/>
        <w:ind w:left="595"/>
        <w:jc w:val="left"/>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第一条  服务地点及人员配置</w:t>
      </w:r>
    </w:p>
    <w:p w14:paraId="23C2FCCE">
      <w:pPr>
        <w:pStyle w:val="2"/>
        <w:keepNext w:val="0"/>
        <w:keepLines w:val="0"/>
        <w:pageBreakBefore w:val="0"/>
        <w:widowControl w:val="0"/>
        <w:kinsoku/>
        <w:wordWrap/>
        <w:overflowPunct/>
        <w:topLinePunct/>
        <w:autoSpaceDE w:val="0"/>
        <w:autoSpaceDN w:val="0"/>
        <w:bidi w:val="0"/>
        <w:adjustRightInd w:val="0"/>
        <w:spacing w:line="520" w:lineRule="exact"/>
        <w:ind w:left="595"/>
        <w:jc w:val="left"/>
        <w:textAlignment w:val="auto"/>
        <w:rPr>
          <w:rFonts w:hint="eastAsia" w:ascii="宋体" w:hAnsi="宋体" w:eastAsia="宋体" w:cs="宋体"/>
          <w:kern w:val="0"/>
          <w:sz w:val="28"/>
          <w:szCs w:val="28"/>
          <w:highlight w:val="none"/>
          <w:lang w:val="en-US" w:eastAsia="zh-CN" w:bidi="ar-SA"/>
        </w:rPr>
      </w:pPr>
      <w:r>
        <w:rPr>
          <w:rFonts w:hint="eastAsia" w:ascii="宋体" w:hAnsi="宋体" w:eastAsia="宋体" w:cs="宋体"/>
          <w:sz w:val="28"/>
          <w:szCs w:val="28"/>
          <w:highlight w:val="none"/>
        </w:rPr>
        <w:t>1、</w:t>
      </w:r>
      <w:r>
        <w:rPr>
          <w:rFonts w:hint="eastAsia" w:ascii="宋体" w:hAnsi="宋体" w:eastAsia="宋体" w:cs="宋体"/>
          <w:kern w:val="0"/>
          <w:sz w:val="28"/>
          <w:szCs w:val="28"/>
          <w:highlight w:val="none"/>
          <w:lang w:val="en-US" w:eastAsia="zh-CN" w:bidi="ar-SA"/>
        </w:rPr>
        <w:t>服务地点：按甲方指定地点。</w:t>
      </w:r>
    </w:p>
    <w:p w14:paraId="1DD54F42">
      <w:pPr>
        <w:pStyle w:val="507"/>
        <w:keepNext w:val="0"/>
        <w:keepLines w:val="0"/>
        <w:pageBreakBefore w:val="0"/>
        <w:widowControl w:val="0"/>
        <w:tabs>
          <w:tab w:val="left" w:pos="567"/>
        </w:tabs>
        <w:kinsoku/>
        <w:wordWrap/>
        <w:overflowPunct/>
        <w:topLinePunct/>
        <w:bidi w:val="0"/>
        <w:spacing w:line="520" w:lineRule="exact"/>
        <w:ind w:firstLine="660" w:firstLineChars="236"/>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2、人员配置：混凝土站、砂浆站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水稳站、沥青站辅助工不超过</w:t>
      </w:r>
      <w:r>
        <w:rPr>
          <w:rFonts w:hint="eastAsia" w:ascii="宋体" w:hAnsi="宋体" w:eastAsia="宋体" w:cs="宋体"/>
          <w:sz w:val="28"/>
          <w:szCs w:val="28"/>
          <w:highlight w:val="none"/>
          <w:lang w:val="en-US" w:eastAsia="zh-CN"/>
        </w:rPr>
        <w:t>18</w:t>
      </w:r>
      <w:r>
        <w:rPr>
          <w:rFonts w:hint="eastAsia" w:ascii="宋体" w:hAnsi="宋体" w:eastAsia="宋体" w:cs="宋体"/>
          <w:sz w:val="28"/>
          <w:szCs w:val="28"/>
          <w:highlight w:val="none"/>
        </w:rPr>
        <w:t>人。具体服务岗位、人数，按甲方要求配备。</w:t>
      </w:r>
    </w:p>
    <w:p w14:paraId="52A24A53">
      <w:pPr>
        <w:pStyle w:val="2"/>
        <w:keepNext w:val="0"/>
        <w:keepLines w:val="0"/>
        <w:pageBreakBefore w:val="0"/>
        <w:widowControl w:val="0"/>
        <w:kinsoku/>
        <w:wordWrap/>
        <w:overflowPunct/>
        <w:topLinePunct/>
        <w:bidi w:val="0"/>
        <w:spacing w:line="520" w:lineRule="exact"/>
        <w:ind w:left="595"/>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第二条  服务标准及范围</w:t>
      </w:r>
    </w:p>
    <w:p w14:paraId="59E5AD80">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乙方为甲方提供约定期限内所需岗位的劳务服务工作，乙方所派出的劳务人员服务标准必须达到甲方要求。</w:t>
      </w:r>
    </w:p>
    <w:p w14:paraId="71F7988E">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（一）劳务人员的服务内容：</w:t>
      </w:r>
    </w:p>
    <w:p w14:paraId="0BCB1373">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1、砂浆站：筛砂、清理筛砂机筛网及散落的废料；清理配料仓及皮带下的散料，清理砂浆站及厂区的环境卫生等工作，保证厂区卫生整洁，无大面积散料堆积。</w:t>
      </w:r>
    </w:p>
    <w:p w14:paraId="474E0C35">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2、混凝土站：清理主机下面及散落的废料，清理配料仓及皮带下的散料，清理混凝土站及厂区的环境卫生等工作，保证厂区卫生干净整洁，无大面积废料散落。</w:t>
      </w:r>
    </w:p>
    <w:p w14:paraId="0B3F5536">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3、水稳站：清理配料仓及皮带下的散料，清洗水稳站搅拌主机，清理水稳站及厂区的环境卫生等工作，保证厂区卫生干净整洁，水稳站搅拌机正常运行。</w:t>
      </w:r>
    </w:p>
    <w:p w14:paraId="24B96DBB">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沥青站：清理设备积料；清理配料仓及提升料斗周围的散料，辅助机修人员对设备修理保养，清理沥青站及厂区的环境卫生等工作，保证厂区沥青站干净整洁，无大面积沥青散料。锅炉加热对锅炉进行巡视，发现问题及时上报。</w:t>
      </w:r>
    </w:p>
    <w:p w14:paraId="733D1855">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（二）劳务人员的服务要求：</w:t>
      </w:r>
    </w:p>
    <w:p w14:paraId="6F2D216E">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为规划、统一化劳务人员服务标准，保障生产安全和服务人员人身安全，提高服务效率，明确责任，乙方派出服务人员应遵守甲方提出的服务要求。</w:t>
      </w:r>
    </w:p>
    <w:p w14:paraId="0A6A9B83">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1、严格执行公司制定的各项规章制度，服从领导，听从指挥。</w:t>
      </w:r>
    </w:p>
    <w:p w14:paraId="70617DCD">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2、对于湿拌砂浆，提前进行筛砂，提前做好（准备）生产用砂，不得影响正常生产。</w:t>
      </w:r>
    </w:p>
    <w:p w14:paraId="36DC0F13">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3、保证生产时各种原材料下料顺畅，不得出现断料情况。</w:t>
      </w:r>
    </w:p>
    <w:p w14:paraId="29F7A6D3">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4、设备出现故障，协助维修人员做好设备的维修、保养等工作。</w:t>
      </w:r>
    </w:p>
    <w:p w14:paraId="1A2114FD">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5、生产过程中发现问题及时向主管领导进行汇报。</w:t>
      </w:r>
    </w:p>
    <w:p w14:paraId="058372E8">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6、按要求及时清理搅拌机及下面散落的废料，保证生产正常运行。</w:t>
      </w:r>
    </w:p>
    <w:p w14:paraId="5D7EF215">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7、加强责任心，对采用人工添加的材料，严格按技术人员的要求计量掺入，不得少掺或多掺，对违反者按有关规定进行处罚，如影响了混凝土（砂浆）等产品质量时追究其责任。</w:t>
      </w:r>
    </w:p>
    <w:p w14:paraId="5CA63FEA">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8、负责保持生产区域以及整个厂区的环境清洁、卫生工作。</w:t>
      </w:r>
    </w:p>
    <w:p w14:paraId="3FAF3320">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9、其他突发的临时工作，如外加剂的取料、装卸工地现场临时用泵管等工作。</w:t>
      </w:r>
    </w:p>
    <w:p w14:paraId="0AD4EE9C">
      <w:pPr>
        <w:pStyle w:val="2"/>
        <w:keepNext w:val="0"/>
        <w:keepLines w:val="0"/>
        <w:pageBreakBefore w:val="0"/>
        <w:widowControl w:val="0"/>
        <w:kinsoku/>
        <w:wordWrap/>
        <w:overflowPunct/>
        <w:topLinePunct/>
        <w:bidi w:val="0"/>
        <w:spacing w:line="520" w:lineRule="exact"/>
        <w:ind w:left="595"/>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第三条  服务期限</w:t>
      </w:r>
    </w:p>
    <w:p w14:paraId="10702630">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服务期限：自合同签订之日起一年，自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年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月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日起至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年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月   日止，服务期满后甲方将根据服务情况考虑是否续签。</w:t>
      </w:r>
    </w:p>
    <w:p w14:paraId="377FDDF4">
      <w:pPr>
        <w:pStyle w:val="2"/>
        <w:tabs>
          <w:tab w:val="left" w:pos="2275"/>
          <w:tab w:val="left" w:pos="2875"/>
          <w:tab w:val="left" w:pos="3475"/>
          <w:tab w:val="left" w:pos="4675"/>
          <w:tab w:val="left" w:pos="5275"/>
          <w:tab w:val="left" w:pos="5875"/>
        </w:tabs>
        <w:topLinePunct/>
        <w:spacing w:line="480" w:lineRule="exact"/>
        <w:ind w:left="595" w:right="2589"/>
        <w:rPr>
          <w:rFonts w:hint="eastAsia" w:ascii="宋体" w:hAnsi="宋体" w:eastAsia="宋体" w:cs="宋体"/>
          <w:b/>
          <w:sz w:val="28"/>
          <w:szCs w:val="28"/>
          <w:highlight w:val="none"/>
        </w:rPr>
      </w:pPr>
      <w:r>
        <w:rPr>
          <w:rFonts w:hint="eastAsia" w:ascii="宋体" w:hAnsi="宋体" w:eastAsia="宋体" w:cs="宋体"/>
          <w:b/>
          <w:sz w:val="28"/>
          <w:szCs w:val="28"/>
          <w:highlight w:val="none"/>
        </w:rPr>
        <w:t>第四条  服务费用及付款方式</w:t>
      </w:r>
    </w:p>
    <w:p w14:paraId="2961D325">
      <w:pPr>
        <w:pStyle w:val="2"/>
        <w:tabs>
          <w:tab w:val="left" w:pos="2275"/>
          <w:tab w:val="left" w:pos="2875"/>
          <w:tab w:val="left" w:pos="3475"/>
          <w:tab w:val="left" w:pos="4675"/>
          <w:tab w:val="left" w:pos="5275"/>
          <w:tab w:val="left" w:pos="5875"/>
        </w:tabs>
        <w:topLinePunct/>
        <w:spacing w:line="480" w:lineRule="exact"/>
        <w:ind w:left="595" w:right="2589"/>
        <w:rPr>
          <w:rFonts w:hint="eastAsia" w:ascii="宋体" w:hAnsi="宋体" w:eastAsia="宋体" w:cs="宋体"/>
          <w:b/>
          <w:sz w:val="28"/>
          <w:szCs w:val="28"/>
          <w:highlight w:val="none"/>
        </w:rPr>
      </w:pPr>
      <w:r>
        <w:rPr>
          <w:rFonts w:hint="eastAsia" w:ascii="宋体" w:hAnsi="宋体" w:eastAsia="宋体" w:cs="宋体"/>
          <w:b/>
          <w:sz w:val="28"/>
          <w:szCs w:val="28"/>
          <w:highlight w:val="none"/>
        </w:rPr>
        <w:t>1、服务费用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3412"/>
        <w:gridCol w:w="1131"/>
        <w:gridCol w:w="1562"/>
        <w:gridCol w:w="1603"/>
      </w:tblGrid>
      <w:tr w14:paraId="7425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noWrap w:val="0"/>
            <w:vAlign w:val="center"/>
          </w:tcPr>
          <w:p w14:paraId="5C6304D3">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序号</w:t>
            </w:r>
          </w:p>
        </w:tc>
        <w:tc>
          <w:tcPr>
            <w:tcW w:w="3412" w:type="dxa"/>
            <w:noWrap w:val="0"/>
            <w:vAlign w:val="center"/>
          </w:tcPr>
          <w:p w14:paraId="3567713C">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主要内容</w:t>
            </w:r>
          </w:p>
        </w:tc>
        <w:tc>
          <w:tcPr>
            <w:tcW w:w="1131" w:type="dxa"/>
            <w:noWrap w:val="0"/>
            <w:vAlign w:val="center"/>
          </w:tcPr>
          <w:p w14:paraId="41B50667">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单位</w:t>
            </w:r>
          </w:p>
        </w:tc>
        <w:tc>
          <w:tcPr>
            <w:tcW w:w="1562" w:type="dxa"/>
            <w:noWrap w:val="0"/>
            <w:vAlign w:val="center"/>
          </w:tcPr>
          <w:p w14:paraId="67473537">
            <w:pPr>
              <w:widowControl/>
              <w:topLinePunct/>
              <w:spacing w:line="400" w:lineRule="exa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单价（元）</w:t>
            </w:r>
          </w:p>
        </w:tc>
        <w:tc>
          <w:tcPr>
            <w:tcW w:w="1603" w:type="dxa"/>
            <w:noWrap w:val="0"/>
            <w:vAlign w:val="center"/>
          </w:tcPr>
          <w:p w14:paraId="22CE5FB3">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备注</w:t>
            </w:r>
          </w:p>
        </w:tc>
      </w:tr>
      <w:tr w14:paraId="2ED14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064" w:type="dxa"/>
            <w:noWrap w:val="0"/>
            <w:vAlign w:val="center"/>
          </w:tcPr>
          <w:p w14:paraId="3CA3AE3D">
            <w:pPr>
              <w:widowControl/>
              <w:topLinePunct/>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3412" w:type="dxa"/>
            <w:noWrap w:val="0"/>
            <w:vAlign w:val="center"/>
          </w:tcPr>
          <w:p w14:paraId="4D255BA1">
            <w:pPr>
              <w:widowControl/>
              <w:topLinePunct/>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混凝土站、砂浆站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水稳站、沥青站辅助工</w:t>
            </w:r>
          </w:p>
        </w:tc>
        <w:tc>
          <w:tcPr>
            <w:tcW w:w="1131" w:type="dxa"/>
            <w:noWrap w:val="0"/>
            <w:vAlign w:val="center"/>
          </w:tcPr>
          <w:p w14:paraId="310E503F">
            <w:pPr>
              <w:widowControl/>
              <w:topLinePunct/>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工时</w:t>
            </w:r>
          </w:p>
        </w:tc>
        <w:tc>
          <w:tcPr>
            <w:tcW w:w="1562" w:type="dxa"/>
            <w:noWrap w:val="0"/>
            <w:vAlign w:val="center"/>
          </w:tcPr>
          <w:p w14:paraId="4B5FE072">
            <w:pPr>
              <w:widowControl/>
              <w:topLinePunct/>
              <w:jc w:val="left"/>
              <w:rPr>
                <w:rFonts w:hint="eastAsia" w:ascii="宋体" w:hAnsi="宋体" w:eastAsia="宋体" w:cs="宋体"/>
                <w:sz w:val="28"/>
                <w:szCs w:val="28"/>
                <w:highlight w:val="none"/>
              </w:rPr>
            </w:pPr>
          </w:p>
        </w:tc>
        <w:tc>
          <w:tcPr>
            <w:tcW w:w="1603" w:type="dxa"/>
            <w:noWrap w:val="0"/>
            <w:vAlign w:val="center"/>
          </w:tcPr>
          <w:p w14:paraId="068DDF77">
            <w:pPr>
              <w:widowControl/>
              <w:topLinePun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包吃住</w:t>
            </w:r>
          </w:p>
        </w:tc>
      </w:tr>
    </w:tbl>
    <w:p w14:paraId="260A111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2、付款方式：每月以现金或银行承兑等，支付当月入账费用。甲方与乙方应在当月对账，确认《劳务人员及费用明细》。乙方应在甲方每次付费前开具合格、等额增值税专用发票，否则甲方有权拒绝付款。</w:t>
      </w:r>
    </w:p>
    <w:p w14:paraId="68766C1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2" w:firstLineChars="200"/>
        <w:textAlignment w:val="auto"/>
        <w:rPr>
          <w:rFonts w:hint="eastAsia" w:ascii="宋体" w:hAnsi="宋体" w:eastAsia="宋体" w:cs="宋体"/>
          <w:sz w:val="28"/>
          <w:szCs w:val="28"/>
          <w:highlight w:val="none"/>
        </w:rPr>
      </w:pPr>
      <w:r>
        <w:rPr>
          <w:rFonts w:hint="eastAsia" w:ascii="宋体" w:hAnsi="宋体" w:eastAsia="宋体" w:cs="宋体"/>
          <w:b/>
          <w:sz w:val="28"/>
          <w:szCs w:val="28"/>
          <w:highlight w:val="none"/>
        </w:rPr>
        <w:t>第五条  双方的权利和义务</w:t>
      </w:r>
    </w:p>
    <w:p w14:paraId="07F6029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（一）甲方权利和义务</w:t>
      </w:r>
    </w:p>
    <w:p w14:paraId="7617DF7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1、甲方按合同约定向乙方支付服务费用。</w:t>
      </w:r>
    </w:p>
    <w:p w14:paraId="2F68E1D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2、甲方随时有权要求增减劳务服务人员数量，双方每月以加盖公章的《增减劳务人员表》中的人员数量据实结算。</w:t>
      </w:r>
    </w:p>
    <w:p w14:paraId="14900B8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甲方有权制订及修改所需人员标准，制订及修改后内容经双方加盖公章确认即发生效力。甲方有权对乙方提供的劳务人员品质、服务质量进行考核，如人员考核结果不达标，或者乙方提供的人员违反本合同任一约定，甲方有权扣减相应服务费用，并有权要求退回乙方或更换人员，如造成甲方损失，乙方还应当赔偿损失。</w:t>
      </w:r>
    </w:p>
    <w:p w14:paraId="0F9126F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4、因甲方要求更换人员或根据工作需要增加人员的，自接到通知之日起，乙方需于5 日内安排合格人员到场，否则按违约处理。</w:t>
      </w:r>
    </w:p>
    <w:p w14:paraId="0AD35AE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乙方应保证人员能够按时到场提供服务，甲方有权按照甲方的规章制度对乙方劳务人员进行考勤，乙方劳务人员缺勤的，甲方有权按日折算服务费用并进行扣减。但双方明确考勤结果仅作为甲乙双方对服务费用的结算依据，不形成甲方对乙方劳务人员用人、用工等劳动关系。</w:t>
      </w:r>
    </w:p>
    <w:p w14:paraId="0B9DD43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6、在服务期限内，乙方按照甲方要求提供劳务服务人员，如甲方未要求乙方提供劳务服务人员，本合同中止，中止期间甲方无须向乙方支付服务费用，甲方无须承担违约或赔偿责任。</w:t>
      </w:r>
    </w:p>
    <w:p w14:paraId="30B8CB7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7、甲方有权依据国家有关法律、法规制定针对劳务人员的考核标准及考核办法，有权依据甲方工作的需要及劳务人员的综合素质、业务水平等情况，在约定范围内调整劳务人员的具体服务范围。</w:t>
      </w:r>
    </w:p>
    <w:p w14:paraId="3B14C10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（二）乙方权利和义务</w:t>
      </w:r>
    </w:p>
    <w:p w14:paraId="3423D29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乙方安排人员提供服务前应向甲方出具加盖乙方公章的《劳务人员到岗通知单》，同时将人员的劳动（或劳务）合同复印件、意外伤害保险以及岗前培训证明材料等相关文件报于甲方存档。材料不齐全或不一致的，甲方可拒绝接收，乙方对此承担责任。</w:t>
      </w:r>
    </w:p>
    <w:p w14:paraId="078303D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2、乙方按合同约定的服务时间和条件履行义务。乙方劳务人员必须服从甲方的监督和指导。</w:t>
      </w:r>
    </w:p>
    <w:p w14:paraId="313F2DE1">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3、乙方应教育劳务人员爱护服务区域内建筑物及室内、外各种设施设备，做好节水节电的管理。乙方应严格要求劳务人员做好各种安全防护措施，避免安全事故发生。</w:t>
      </w:r>
    </w:p>
    <w:p w14:paraId="50941A60">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经甲方确定人员的数量、名单后，乙方应在5个工作日内将乙方与劳务人员的签订的劳动（或劳务）合同复印件及附件一的声明函送交甲方，并在一个月内完成安全生产培训，培训内容应当包含甲方相关规章制度及服务标准、安全教育及安全规范、文明作业要求。乙方应当在服务过程中定期开展职业技能培训。</w:t>
      </w:r>
    </w:p>
    <w:p w14:paraId="1C64FA55">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5、乙方根据法律法规自行安排劳务人员休息休假，但乙方应当满足每日每个岗位均有劳务人员在岗，劳务人员每日八小时在岗的服务要求。</w:t>
      </w:r>
    </w:p>
    <w:p w14:paraId="1222F58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6、乙方应当按时发放劳务人员报酬，并于每月将劳务人员报酬发放明细加盖公章报甲方备存。</w:t>
      </w:r>
    </w:p>
    <w:p w14:paraId="15973D1F">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乙方应与劳务人员建立合法的劳动或劳务关系。乙方人员在工作中或在上、下班途中所发生的任何责任事故，由乙方承担责任，由此造成甲方损失的，乙方负责全额赔偿。因甲方原因直接造成乙方员工发生的事故，依法确定责任人。</w:t>
      </w:r>
    </w:p>
    <w:p w14:paraId="0151B88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乙方不得擅自更换、增减劳务人员，需更换、增减的，应当提前5日经甲方同意并调整同等条件的劳务人员服务或相应减少劳务费用。因人员调整或离职导致无法满足甲方要求的，按照约定扣除相应服务费，超过 2 日未能提供符合条件人员的，按乙方违约处理。</w:t>
      </w:r>
    </w:p>
    <w:p w14:paraId="43C192B1">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9、乙方主管离开工作岗位应当经过甲方的同意，经同意后乙方应指定临时负责人，并接受甲方监督考核。乙方劳务人员在工作期间不得随意离开岗位，经发现按缺勤处理。</w:t>
      </w:r>
    </w:p>
    <w:p w14:paraId="7A25F28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10、乙方及其劳务人员不得侵占、挪用甲方财物。由于乙方原因造成甲方设施设备、消防、人身事故、治安事件或业主财产损失的，乙方承担赔偿责任。</w:t>
      </w:r>
    </w:p>
    <w:p w14:paraId="137A701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11、乙方在工作中如受到客户投诉，经双方确认为乙方或乙方劳务人员责任的，乙方责任人、管理人员应上门致歉，涉及赔偿的，乙方应承担其全部责任。</w:t>
      </w:r>
    </w:p>
    <w:p w14:paraId="30275CC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12、由乙方负责与劳务人员签订书面劳动（或劳务）合同，确立劳动（或劳务）关系，并负责劳动（或劳务）合同的变更、解除、终止和续订工作。</w:t>
      </w:r>
    </w:p>
    <w:p w14:paraId="094F6B1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13、由乙方负责劳务人员的薪酬管理、社保管理及个税代扣代缴、劳动关系维护、代办员工有关证件、法律法规咨询等；乙方应按时足额发放劳务人员当月工资，代扣代缴个人所得税等费用。</w:t>
      </w:r>
    </w:p>
    <w:p w14:paraId="62D6451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14、由乙方负责处理劳务人员提出的劳动仲裁、诉讼、上访、投诉等事宜。</w:t>
      </w:r>
    </w:p>
    <w:p w14:paraId="780DC51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15、由乙方负责劳务人员的档案管理、党团组织关系管理等人事工作。</w:t>
      </w:r>
    </w:p>
    <w:p w14:paraId="05CBB76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16、乙方应确保及时、准确、妥善的处理劳务人员的档案管理、党团组织关系等工作，避免发生人事仲裁事件。</w:t>
      </w:r>
    </w:p>
    <w:p w14:paraId="3D3A861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17、乙方应确保和谐、稳妥的处理劳务服务人员的劳动仲裁、劳动诉讼及人事仲裁事件，避免妨碍甲方的正常工作或者给甲方带来不利社会影响。</w:t>
      </w:r>
    </w:p>
    <w:p w14:paraId="4CBBBB3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18、乙方应指定一名专员负责劳务人员的各项事务，协助甲方的相关工作。</w:t>
      </w:r>
    </w:p>
    <w:p w14:paraId="57C78C0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19、乙方不得将此合同的权利和义务范围转让给其它公司或个人。</w:t>
      </w:r>
    </w:p>
    <w:p w14:paraId="4773F5E0">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第六条  违约责任</w:t>
      </w:r>
    </w:p>
    <w:p w14:paraId="48A9DD3F">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1、因乙方在提供劳务中给甲方及第三方的设施设备、物品及业主造成损失，乙方应承担赔偿责任。</w:t>
      </w:r>
    </w:p>
    <w:p w14:paraId="4523736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2、乙方应按时向劳务人员发放工资、福利等，若遇节假日则应相应提前；若因此影响甲方的，甲方有权选择解除合同，要求乙方赔偿甲方损失并按照当月服务费总额的20%承担违约金。</w:t>
      </w:r>
    </w:p>
    <w:p w14:paraId="7BFBB470">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3、乙方擅自解除合同，应返还未履行义务部分的服务费用并按上月服务费总额的20%向甲方支付违约金；违约金数额不足以赔偿甲方损失的，乙方应当补偿不足部分。</w:t>
      </w:r>
    </w:p>
    <w:p w14:paraId="2AFE249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乙方未按照甲方要求按时安排人员服务，超过要求时限安排人员服务的，不计此项服务未提供服务期间的服务费用，且每超一天扣除当月总服务费用的万分之五；逾期满15天的，甲方有权解除合同，计算该期限时，不同人员累加计算。造成甲方损失的，乙方应当据实赔偿。乙方未能按合同约定提供委派人员相关材料的，视为未安排人员服务。</w:t>
      </w:r>
    </w:p>
    <w:p w14:paraId="187E464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5、乙方劳务人员在服务期内发生监守自盗、打架斗殴等违法乱纪行为，除承担法律责任外，每出现一人次，乙方按照 3000 元支付违约金，甲方有权自服务费中直接扣减。累计出现两次的，甲方有权解除合同。</w:t>
      </w:r>
    </w:p>
    <w:p w14:paraId="540C8CF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6、乙方劳务人员被有效投诉，每出现一人次，乙方按照 200 元支付违约金，甲方有权自服务费中直接扣减，对同一人员出现两次（含两次）以上投诉的，乙方应当更换该人员。</w:t>
      </w:r>
    </w:p>
    <w:p w14:paraId="7CEB393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第七条  不可抗力</w:t>
      </w:r>
    </w:p>
    <w:p w14:paraId="33C9FA95">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因战争行为或其他人力不可抗拒等原因，造成本合同无法继续履行，本合同将自然终止，双方互不违约。但由于义务履行一方懈怠履行或迟延履行义务导致损失扩大的， 则应对扩大部分的损失其应承担赔偿责任。</w:t>
      </w:r>
    </w:p>
    <w:p w14:paraId="3D2C823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第八条  合同的调整及变更</w:t>
      </w:r>
    </w:p>
    <w:p w14:paraId="7CB827C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在合同生效后，甲、乙双方任何一方如需对合同条款进行修改的，应以书面形式向对方提出，经双方协商一致后方能变更。</w:t>
      </w:r>
    </w:p>
    <w:p w14:paraId="45560935">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第九条  责任认定</w:t>
      </w:r>
    </w:p>
    <w:p w14:paraId="194E3CF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若劳务人员给甲方造成直接的经济损失，经确认后，甲方有权按有关规定向劳务人员进行索赔或直接向乙方索赔，乙方予以协助。</w:t>
      </w:r>
    </w:p>
    <w:p w14:paraId="0A8F950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若劳务人员在甲方提供劳务期间发生工伤事故，乙方负责按照规定办理申报工伤认定、工伤保险待遇有关手续，按照工伤保险条例由乙方承担，并与甲方配合做好工伤事故的直系亲属来访接待和善后工作。因劳务人员个人原因造成他人或财物损害的，由劳务人员个人承担责任，甲方有权直接要求乙方赔偿。</w:t>
      </w:r>
    </w:p>
    <w:p w14:paraId="685E5C2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第十条  争议的解决方式</w:t>
      </w:r>
    </w:p>
    <w:p w14:paraId="6FB0964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合同执行过程中如发生争议，双方应及时协商解决。协商不成时，可向甲方所在地人民法院提起诉讼。</w:t>
      </w:r>
    </w:p>
    <w:p w14:paraId="220AC54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第十一条  通知和送达</w:t>
      </w:r>
    </w:p>
    <w:p w14:paraId="3A96434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合同中双方提供的地址为双方约定的有效联系、送达地址，双方保证对方按该地址发送的通知、文件、资料、物品及法院发送的传票、法律文书等均会签收，若出现拒收、任何他方代收或被退回等任何情形，均视为已有效送达。联系地址如有变更应及时通知对方，否则视为未变更。</w:t>
      </w:r>
    </w:p>
    <w:p w14:paraId="6A46356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第十二条  合同效力</w:t>
      </w:r>
    </w:p>
    <w:p w14:paraId="1690D561">
      <w:pPr>
        <w:pStyle w:val="2"/>
        <w:keepNext w:val="0"/>
        <w:keepLines w:val="0"/>
        <w:pageBreakBefore w:val="0"/>
        <w:widowControl w:val="0"/>
        <w:kinsoku/>
        <w:wordWrap/>
        <w:overflowPunct/>
        <w:topLinePunct/>
        <w:autoSpaceDE/>
        <w:autoSpaceDN/>
        <w:bidi w:val="0"/>
        <w:adjustRightInd/>
        <w:snapToGrid/>
        <w:spacing w:line="520" w:lineRule="exact"/>
        <w:ind w:left="-2" w:leftChars="-1" w:firstLine="658" w:firstLineChars="235"/>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1、协议经双方法定代表人签字并盖公章后生效。</w:t>
      </w:r>
    </w:p>
    <w:p w14:paraId="22405995">
      <w:pPr>
        <w:pStyle w:val="2"/>
        <w:keepNext w:val="0"/>
        <w:keepLines w:val="0"/>
        <w:pageBreakBefore w:val="0"/>
        <w:widowControl w:val="0"/>
        <w:kinsoku/>
        <w:wordWrap/>
        <w:overflowPunct/>
        <w:topLinePunct/>
        <w:autoSpaceDE/>
        <w:autoSpaceDN/>
        <w:bidi w:val="0"/>
        <w:adjustRightInd/>
        <w:snapToGrid/>
        <w:spacing w:line="520" w:lineRule="exact"/>
        <w:ind w:left="-2" w:leftChars="-1" w:firstLine="658" w:firstLineChars="235"/>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2、本合同如有未尽事宜，经双方协商后，签订补充协议，与本合同具有同等效力。</w:t>
      </w:r>
    </w:p>
    <w:p w14:paraId="34571905">
      <w:pPr>
        <w:pStyle w:val="2"/>
        <w:keepNext w:val="0"/>
        <w:keepLines w:val="0"/>
        <w:pageBreakBefore w:val="0"/>
        <w:widowControl w:val="0"/>
        <w:kinsoku/>
        <w:wordWrap/>
        <w:overflowPunct/>
        <w:topLinePunct/>
        <w:autoSpaceDE/>
        <w:autoSpaceDN/>
        <w:bidi w:val="0"/>
        <w:adjustRightInd/>
        <w:snapToGrid/>
        <w:spacing w:line="520" w:lineRule="exact"/>
        <w:ind w:left="-2" w:leftChars="-1" w:firstLine="658" w:firstLineChars="235"/>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3、本合同一式肆份，甲方执叁份、乙方执壹份。</w:t>
      </w:r>
      <w:bookmarkStart w:id="98" w:name="声__明"/>
      <w:bookmarkEnd w:id="98"/>
    </w:p>
    <w:p w14:paraId="615E215E">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甲方：                                乙方： </w:t>
      </w:r>
    </w:p>
    <w:p w14:paraId="1E6CC8AC">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地址：                                地址： </w:t>
      </w:r>
    </w:p>
    <w:p w14:paraId="5130C52B">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单位盖章：                            单位盖章：</w:t>
      </w:r>
    </w:p>
    <w:p w14:paraId="12953C55">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法人盖章：                            法人盖章：</w:t>
      </w:r>
    </w:p>
    <w:p w14:paraId="3E1C308B">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代表签字：                            代表签字：</w:t>
      </w:r>
    </w:p>
    <w:p w14:paraId="3080C752">
      <w:pPr>
        <w:spacing w:line="480" w:lineRule="exact"/>
        <w:ind w:firstLine="700" w:firstLineChars="250"/>
        <w:jc w:val="right"/>
        <w:rPr>
          <w:rFonts w:hint="eastAsia" w:ascii="宋体" w:hAnsi="宋体" w:eastAsia="宋体" w:cs="宋体"/>
          <w:sz w:val="28"/>
          <w:szCs w:val="28"/>
          <w:highlight w:val="none"/>
        </w:rPr>
      </w:pPr>
      <w:r>
        <w:rPr>
          <w:rFonts w:hint="eastAsia" w:ascii="宋体" w:hAnsi="宋体" w:eastAsia="宋体" w:cs="宋体"/>
          <w:sz w:val="28"/>
          <w:szCs w:val="28"/>
          <w:highlight w:val="none"/>
        </w:rPr>
        <w:t>日期：</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年  月  日</w:t>
      </w:r>
    </w:p>
    <w:p w14:paraId="77C9F9E1">
      <w:pPr>
        <w:pStyle w:val="2"/>
        <w:rPr>
          <w:rFonts w:hint="eastAsia"/>
          <w:highlight w:val="none"/>
        </w:rPr>
      </w:pPr>
      <w:r>
        <w:rPr>
          <w:rFonts w:hint="eastAsia" w:ascii="宋体" w:hAnsi="宋体" w:eastAsia="宋体" w:cs="宋体"/>
          <w:b/>
          <w:sz w:val="28"/>
          <w:szCs w:val="28"/>
          <w:highlight w:val="none"/>
        </w:rPr>
        <w:t>注：本合同条款供参考，中标后需根据情况另行修改</w:t>
      </w:r>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以最终签订的合同为准</w:t>
      </w:r>
      <w:r>
        <w:rPr>
          <w:rFonts w:hint="eastAsia" w:ascii="宋体" w:hAnsi="宋体" w:eastAsia="宋体" w:cs="宋体"/>
          <w:b/>
          <w:sz w:val="28"/>
          <w:szCs w:val="28"/>
          <w:highlight w:val="none"/>
        </w:rPr>
        <w:t>。</w:t>
      </w:r>
    </w:p>
    <w:p w14:paraId="78D16833">
      <w:pPr>
        <w:pStyle w:val="2"/>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highlight w:val="none"/>
        </w:rPr>
        <w:t>附件二：</w:t>
      </w:r>
    </w:p>
    <w:p w14:paraId="11C0DEA5">
      <w:pPr>
        <w:spacing w:line="520" w:lineRule="exact"/>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威海市环翠区环晟建材科技有限公司</w:t>
      </w:r>
    </w:p>
    <w:p w14:paraId="1009ACDD">
      <w:pPr>
        <w:spacing w:line="520" w:lineRule="exact"/>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廉洁合作协议</w:t>
      </w:r>
    </w:p>
    <w:p w14:paraId="11DB60B0">
      <w:pPr>
        <w:spacing w:line="520" w:lineRule="exact"/>
        <w:rPr>
          <w:rFonts w:hint="eastAsia" w:ascii="宋体" w:hAnsi="宋体" w:eastAsia="宋体" w:cs="宋体"/>
          <w:sz w:val="28"/>
          <w:szCs w:val="28"/>
          <w:highlight w:val="none"/>
        </w:rPr>
      </w:pPr>
    </w:p>
    <w:p w14:paraId="29160CD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签订方名称：</w:t>
      </w:r>
      <w:r>
        <w:rPr>
          <w:rFonts w:hint="eastAsia" w:ascii="宋体" w:hAnsi="宋体" w:eastAsia="宋体" w:cs="宋体"/>
          <w:sz w:val="28"/>
          <w:szCs w:val="28"/>
          <w:highlight w:val="none"/>
          <w:u w:val="single"/>
        </w:rPr>
        <w:t>威海市环翠区环晟建材科技有限公司</w:t>
      </w:r>
      <w:r>
        <w:rPr>
          <w:rFonts w:hint="eastAsia" w:ascii="宋体" w:hAnsi="宋体" w:eastAsia="宋体" w:cs="宋体"/>
          <w:sz w:val="28"/>
          <w:szCs w:val="28"/>
          <w:highlight w:val="none"/>
        </w:rPr>
        <w:t>（简称环晟建材）</w:t>
      </w:r>
    </w:p>
    <w:p w14:paraId="24672D1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签订方名称：</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（简称合作单位）</w:t>
      </w:r>
    </w:p>
    <w:p w14:paraId="3258C8E6">
      <w:pPr>
        <w:spacing w:line="48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ab/>
      </w:r>
    </w:p>
    <w:p w14:paraId="65AE9C7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为促进双方廉洁高效合作、双方工作人员廉洁从业，经双方共同协商，就业务往来中的廉洁事宜达成一致意见，签订如下协议：</w:t>
      </w:r>
    </w:p>
    <w:p w14:paraId="5716061B">
      <w:pPr>
        <w:spacing w:line="48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第一条 双方的责任</w:t>
      </w:r>
    </w:p>
    <w:p w14:paraId="1B3F92A4">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（一）严格遵守党和国家有关法律法规及环晟建材有关廉洁从业的制度规定。</w:t>
      </w:r>
    </w:p>
    <w:p w14:paraId="0B98CE3E">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（二）双方本着公开、公平、诚信的原则，自觉遵守协议约定，不得损害国家、集体利益以及个人合法权益。</w:t>
      </w:r>
    </w:p>
    <w:p w14:paraId="77EC704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（三）双方要加强互相监督，对违反协议行为及时提醒并予以纠正，发现违法违纪行为及时告知环晟建材纪检监察机构（详见第四条）。</w:t>
      </w:r>
    </w:p>
    <w:p w14:paraId="67717804">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四）对违反《廉洁合作协议》约定的行为，环晟建材按照有关规定给予本公司相关责任人党纪、政纪处分，涉嫌犯罪的，移交司法机关追究刑事责任；合作单位人员存在违反职业操守行为的，环晟建材有权利要求合作单位对其人员进行查处，并保留终止相关合同、将合作单位列入合作伙伴黑名单的权利。</w:t>
      </w:r>
    </w:p>
    <w:p w14:paraId="6095CF81">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环晟建材的《廉洁合作协议》管理人员或纪检监察人员在对合同执行情况进行检查或抽查时，合作单位应给予配合。双方人员存在弄虚作假、玩忽职守、包庇纵容等行为的，双方单位均应对责任人进行处置。</w:t>
      </w:r>
    </w:p>
    <w:p w14:paraId="25DC367F">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第二条 环晟建材义务</w:t>
      </w:r>
    </w:p>
    <w:p w14:paraId="5454A6CE">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（一）环晟建材在业务委托过程中，应做到公平、公正、公开，禁止暗箱操作，不得泄露应当保密的项目信息。</w:t>
      </w:r>
    </w:p>
    <w:p w14:paraId="4516386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环晟建材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6DBCCBC8">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（三）环晟建材人员若违反《廉洁合作协议》约定，按照有关规定给予党纪政务处分；涉嫌犯罪的，按照有关程序移送司法机关处理。</w:t>
      </w:r>
    </w:p>
    <w:p w14:paraId="073ECF2A">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（四）环晟建材人员不得为合作单位超合同约定比例结算款项、多计量、多签证或故意降低验收标准，并从中谋取私利。</w:t>
      </w:r>
    </w:p>
    <w:p w14:paraId="7067161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（五）环晟建材人员不得利用计量、结算、支付等职务权利，故意刁难合作单位以谋取私利。</w:t>
      </w:r>
    </w:p>
    <w:p w14:paraId="41613CB9">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（六）环晟建材人员发现合作单位人员行贿以及其他违反《廉洁合作协议》的行为，有义务向环晟建材纪检监察机构或其他相关部门举报。</w:t>
      </w:r>
    </w:p>
    <w:p w14:paraId="565D068F">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（七）对合作单位所属机构和人员存在违反 《廉洁合作协议》约定的行为，环晟建材应收集汇总有关违规证据，配合合作单位调查处置。</w:t>
      </w:r>
    </w:p>
    <w:p w14:paraId="0C68BBEE">
      <w:pPr>
        <w:spacing w:line="48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第三条 合作单位义务</w:t>
      </w:r>
    </w:p>
    <w:p w14:paraId="39A4E34C">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777893D0">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（二）合作单位人员不得为获取合作利益向环晟建材人员送礼、行贿，不得有向环晟建材人员提供宴请和娱乐活动及其他有违反法律法规和廉洁从业规定、影响公平交易的行为。</w:t>
      </w:r>
    </w:p>
    <w:p w14:paraId="0621B9B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（三）合作单位应对其所属机构和人员严格执行《廉洁合作协议》提出明确的要求，并加强监督和管理。</w:t>
      </w:r>
    </w:p>
    <w:p w14:paraId="5F33C28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（四）合作单位应积极配合环晟建材纪检监察机构开展各项检查、核实工作。</w:t>
      </w:r>
    </w:p>
    <w:p w14:paraId="011DE5B1">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（五）合作单位发现环晟建材人员有索贿行为、受贿行为及其他不廉洁行为时，应向环翠区城投纪检监察机构或其他相关部门举报，并有义务提供相关证据。</w:t>
      </w:r>
    </w:p>
    <w:p w14:paraId="78CD94A5">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 xml:space="preserve">第四条 </w:t>
      </w:r>
      <w:r>
        <w:rPr>
          <w:rFonts w:hint="eastAsia" w:ascii="宋体" w:hAnsi="宋体" w:eastAsia="宋体" w:cs="宋体"/>
          <w:sz w:val="28"/>
          <w:szCs w:val="28"/>
          <w:highlight w:val="none"/>
        </w:rPr>
        <w:t>环翠区城投纪检监察机构受理举报电话：</w:t>
      </w:r>
      <w:r>
        <w:rPr>
          <w:rFonts w:hint="eastAsia" w:ascii="宋体" w:hAnsi="宋体" w:eastAsia="宋体" w:cs="宋体"/>
          <w:sz w:val="28"/>
          <w:szCs w:val="28"/>
          <w:highlight w:val="none"/>
          <w:u w:val="single"/>
        </w:rPr>
        <w:t xml:space="preserve"> 0631-5239953  </w:t>
      </w:r>
      <w:r>
        <w:rPr>
          <w:rFonts w:hint="eastAsia" w:ascii="宋体" w:hAnsi="宋体" w:eastAsia="宋体" w:cs="宋体"/>
          <w:sz w:val="28"/>
          <w:szCs w:val="28"/>
          <w:highlight w:val="none"/>
        </w:rPr>
        <w:t>。</w:t>
      </w:r>
    </w:p>
    <w:p w14:paraId="49AF3984">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 xml:space="preserve">第五条 </w:t>
      </w:r>
      <w:r>
        <w:rPr>
          <w:rFonts w:hint="eastAsia" w:ascii="宋体" w:hAnsi="宋体" w:eastAsia="宋体" w:cs="宋体"/>
          <w:sz w:val="28"/>
          <w:szCs w:val="28"/>
          <w:highlight w:val="none"/>
        </w:rPr>
        <w:t>本协议双方签字盖章后生效，有效期与主合同一致。</w:t>
      </w:r>
    </w:p>
    <w:p w14:paraId="6A7BE881">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第六条</w:t>
      </w:r>
      <w:r>
        <w:rPr>
          <w:rFonts w:hint="eastAsia" w:ascii="宋体" w:hAnsi="宋体" w:eastAsia="宋体" w:cs="宋体"/>
          <w:sz w:val="28"/>
          <w:szCs w:val="28"/>
          <w:highlight w:val="none"/>
        </w:rPr>
        <w:t xml:space="preserve"> 本协议一式两份，双方各执一份。</w:t>
      </w:r>
    </w:p>
    <w:p w14:paraId="3CC855ED">
      <w:pPr>
        <w:spacing w:line="480" w:lineRule="exact"/>
        <w:rPr>
          <w:rFonts w:hint="eastAsia" w:ascii="宋体" w:hAnsi="宋体" w:eastAsia="宋体" w:cs="宋体"/>
          <w:sz w:val="28"/>
          <w:szCs w:val="28"/>
          <w:highlight w:val="none"/>
        </w:rPr>
      </w:pPr>
    </w:p>
    <w:p w14:paraId="78823449">
      <w:pPr>
        <w:spacing w:line="520" w:lineRule="exact"/>
        <w:rPr>
          <w:rFonts w:hint="eastAsia" w:ascii="宋体" w:hAnsi="宋体" w:eastAsia="宋体" w:cs="宋体"/>
          <w:sz w:val="28"/>
          <w:szCs w:val="28"/>
          <w:highlight w:val="none"/>
        </w:rPr>
      </w:pPr>
    </w:p>
    <w:p w14:paraId="253C858F">
      <w:pPr>
        <w:spacing w:line="520" w:lineRule="exact"/>
        <w:rPr>
          <w:rFonts w:hint="eastAsia" w:ascii="宋体" w:hAnsi="宋体" w:eastAsia="宋体" w:cs="宋体"/>
          <w:sz w:val="28"/>
          <w:szCs w:val="28"/>
          <w:highlight w:val="none"/>
        </w:rPr>
      </w:pPr>
    </w:p>
    <w:p w14:paraId="38132CE9">
      <w:pPr>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威海市环翠区环晟建材科技有限公司（公章）     合作单位：（公章）</w:t>
      </w:r>
    </w:p>
    <w:p w14:paraId="6A8CB22F">
      <w:pPr>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负责人或授权人：（签字）                     合作单位负责人：（签字）</w:t>
      </w:r>
    </w:p>
    <w:p w14:paraId="6F7E8BA0">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年   月   日                               年   月   日</w:t>
      </w:r>
    </w:p>
    <w:p w14:paraId="5230097A">
      <w:pPr>
        <w:pStyle w:val="47"/>
        <w:pageBreakBefore w:val="0"/>
        <w:kinsoku/>
        <w:overflowPunct/>
        <w:topLinePunct w:val="0"/>
        <w:bidi w:val="0"/>
        <w:adjustRightInd/>
        <w:snapToGrid/>
        <w:spacing w:before="0" w:beforeAutospacing="0" w:after="0" w:afterAutospacing="0" w:line="360" w:lineRule="auto"/>
        <w:rPr>
          <w:rStyle w:val="55"/>
          <w:rFonts w:hint="eastAsia" w:ascii="宋体" w:hAnsi="宋体" w:eastAsia="宋体" w:cs="宋体"/>
          <w:sz w:val="28"/>
          <w:szCs w:val="28"/>
          <w:highlight w:val="none"/>
          <w:lang w:eastAsia="zh-CN"/>
        </w:rPr>
      </w:pPr>
    </w:p>
    <w:sectPr>
      <w:footerReference r:id="rId11" w:type="default"/>
      <w:pgSz w:w="11906" w:h="16838"/>
      <w:pgMar w:top="1440" w:right="1083" w:bottom="1440" w:left="1083"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00"/>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44523572">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22244">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CD4A3">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049E5">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874">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F392">
    <w:pPr>
      <w:widowControl/>
      <w:pBdr>
        <w:bottom w:val="single" w:color="auto" w:sz="4" w:space="0"/>
      </w:pBdr>
      <w:spacing w:line="240" w:lineRule="auto"/>
      <w:jc w:val="right"/>
      <w:rPr>
        <w:rFonts w:ascii="仿宋" w:hAnsi="仿宋" w:eastAsia="仿宋"/>
        <w:color w:val="808080"/>
        <w:u w:val="none"/>
      </w:rPr>
    </w:pPr>
    <w:r>
      <w:rPr>
        <w:rFonts w:hint="eastAsia" w:ascii="宋体" w:hAnsi="宋体" w:eastAsia="宋体" w:cs="宋体"/>
        <w:color w:val="808080"/>
        <w:u w:val="none"/>
        <w:lang w:eastAsia="zh-CN"/>
      </w:rPr>
      <w:t>选定劳务服务供应商</w:t>
    </w:r>
    <w:r>
      <w:rPr>
        <w:rFonts w:hint="eastAsia" w:ascii="宋体" w:hAnsi="宋体" w:eastAsia="宋体" w:cs="宋体"/>
        <w:color w:val="808080"/>
        <w:u w:val="none"/>
      </w:rPr>
      <w:t>招标文件</w:t>
    </w:r>
    <w:r>
      <w:rPr>
        <w:rFonts w:hint="eastAsia" w:ascii="仿宋" w:hAnsi="仿宋" w:eastAsia="仿宋"/>
        <w:color w:val="808080"/>
        <w:u w:val="none"/>
      </w:rPr>
      <w:fldChar w:fldCharType="begin"/>
    </w:r>
    <w:r>
      <w:rPr>
        <w:rFonts w:hint="eastAsia" w:ascii="仿宋" w:hAnsi="仿宋" w:eastAsia="仿宋"/>
        <w:color w:val="808080"/>
        <w:u w:val="none"/>
      </w:rPr>
      <w:instrText xml:space="preserve">&lt;MK&gt; org.organname &lt;/MK&gt;</w:instrText>
    </w:r>
    <w:r>
      <w:rPr>
        <w:rFonts w:hint="eastAsia" w:ascii="仿宋" w:hAnsi="仿宋" w:eastAsia="仿宋"/>
        <w:color w:val="808080"/>
        <w:u w:val="none"/>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3E99">
    <w:pPr>
      <w:pStyle w:val="32"/>
    </w:pPr>
  </w:p>
  <w:p w14:paraId="0B653F1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031">
    <w:pPr>
      <w:pStyle w:val="32"/>
    </w:pPr>
  </w:p>
  <w:p w14:paraId="7BAE6B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EAE6">
    <w:pPr>
      <w:pStyle w:val="32"/>
    </w:pPr>
  </w:p>
  <w:p w14:paraId="72201A7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E8D">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E1B"/>
    <w:rsid w:val="00004586"/>
    <w:rsid w:val="000045DD"/>
    <w:rsid w:val="00004B4B"/>
    <w:rsid w:val="00004EFA"/>
    <w:rsid w:val="000057DC"/>
    <w:rsid w:val="00006451"/>
    <w:rsid w:val="00007AE7"/>
    <w:rsid w:val="00011721"/>
    <w:rsid w:val="000118A6"/>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02B"/>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2C05"/>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3EA5"/>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632C"/>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E4B"/>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069E"/>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1DC0"/>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108F"/>
    <w:rsid w:val="001F173C"/>
    <w:rsid w:val="001F2F91"/>
    <w:rsid w:val="001F367A"/>
    <w:rsid w:val="001F39CA"/>
    <w:rsid w:val="001F3BC0"/>
    <w:rsid w:val="001F3DA9"/>
    <w:rsid w:val="001F52D4"/>
    <w:rsid w:val="001F55C1"/>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3EB"/>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52E8"/>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0FF"/>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422B"/>
    <w:rsid w:val="00304AD3"/>
    <w:rsid w:val="00305AAE"/>
    <w:rsid w:val="00305DAA"/>
    <w:rsid w:val="00307063"/>
    <w:rsid w:val="0031045E"/>
    <w:rsid w:val="003107EB"/>
    <w:rsid w:val="00310A47"/>
    <w:rsid w:val="0031126E"/>
    <w:rsid w:val="00311515"/>
    <w:rsid w:val="00311C38"/>
    <w:rsid w:val="00312135"/>
    <w:rsid w:val="0031240A"/>
    <w:rsid w:val="00312B24"/>
    <w:rsid w:val="00313528"/>
    <w:rsid w:val="003135AC"/>
    <w:rsid w:val="00313781"/>
    <w:rsid w:val="003139B6"/>
    <w:rsid w:val="00313D72"/>
    <w:rsid w:val="00314300"/>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CD3"/>
    <w:rsid w:val="00337D92"/>
    <w:rsid w:val="00337FB7"/>
    <w:rsid w:val="0034003C"/>
    <w:rsid w:val="003401AC"/>
    <w:rsid w:val="00340388"/>
    <w:rsid w:val="003407FB"/>
    <w:rsid w:val="00340800"/>
    <w:rsid w:val="00341444"/>
    <w:rsid w:val="00341621"/>
    <w:rsid w:val="00342720"/>
    <w:rsid w:val="00342AAC"/>
    <w:rsid w:val="00344C07"/>
    <w:rsid w:val="00344EBD"/>
    <w:rsid w:val="0034524D"/>
    <w:rsid w:val="00346121"/>
    <w:rsid w:val="00347BE8"/>
    <w:rsid w:val="00347F7F"/>
    <w:rsid w:val="00352712"/>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239"/>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5B7D"/>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174"/>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D1C"/>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605A"/>
    <w:rsid w:val="00506C43"/>
    <w:rsid w:val="0050751D"/>
    <w:rsid w:val="00507911"/>
    <w:rsid w:val="00507CA4"/>
    <w:rsid w:val="00510F19"/>
    <w:rsid w:val="00511C27"/>
    <w:rsid w:val="00512290"/>
    <w:rsid w:val="00512666"/>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040"/>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90952"/>
    <w:rsid w:val="00690C65"/>
    <w:rsid w:val="006911F9"/>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612"/>
    <w:rsid w:val="007626D5"/>
    <w:rsid w:val="00762CD1"/>
    <w:rsid w:val="007636D8"/>
    <w:rsid w:val="0076416A"/>
    <w:rsid w:val="00764A83"/>
    <w:rsid w:val="00764BCC"/>
    <w:rsid w:val="00764E8A"/>
    <w:rsid w:val="007650D2"/>
    <w:rsid w:val="007655D2"/>
    <w:rsid w:val="007656FD"/>
    <w:rsid w:val="00765D50"/>
    <w:rsid w:val="00765E30"/>
    <w:rsid w:val="007664A0"/>
    <w:rsid w:val="0076662B"/>
    <w:rsid w:val="00767954"/>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3D9"/>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1B5E"/>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017"/>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8C"/>
    <w:rsid w:val="008A1FED"/>
    <w:rsid w:val="008A243D"/>
    <w:rsid w:val="008A2AFF"/>
    <w:rsid w:val="008A2CB1"/>
    <w:rsid w:val="008A37E0"/>
    <w:rsid w:val="008A38C2"/>
    <w:rsid w:val="008A3C25"/>
    <w:rsid w:val="008A4072"/>
    <w:rsid w:val="008A49D5"/>
    <w:rsid w:val="008A4A98"/>
    <w:rsid w:val="008A746C"/>
    <w:rsid w:val="008B005D"/>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405E"/>
    <w:rsid w:val="008C58EA"/>
    <w:rsid w:val="008C6069"/>
    <w:rsid w:val="008C6813"/>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079"/>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27CC"/>
    <w:rsid w:val="0096322F"/>
    <w:rsid w:val="0096397B"/>
    <w:rsid w:val="00966ACE"/>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498"/>
    <w:rsid w:val="009D2620"/>
    <w:rsid w:val="009D4668"/>
    <w:rsid w:val="009D7EA2"/>
    <w:rsid w:val="009E0E9C"/>
    <w:rsid w:val="009E1181"/>
    <w:rsid w:val="009E1AA7"/>
    <w:rsid w:val="009E23C6"/>
    <w:rsid w:val="009E3234"/>
    <w:rsid w:val="009E3276"/>
    <w:rsid w:val="009E4E3E"/>
    <w:rsid w:val="009E5EC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7FD"/>
    <w:rsid w:val="00A14E44"/>
    <w:rsid w:val="00A15198"/>
    <w:rsid w:val="00A15EFF"/>
    <w:rsid w:val="00A15FF1"/>
    <w:rsid w:val="00A16042"/>
    <w:rsid w:val="00A16967"/>
    <w:rsid w:val="00A17697"/>
    <w:rsid w:val="00A176E9"/>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4818"/>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DF8"/>
    <w:rsid w:val="00B4241B"/>
    <w:rsid w:val="00B42E29"/>
    <w:rsid w:val="00B4449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1E0"/>
    <w:rsid w:val="00B618A7"/>
    <w:rsid w:val="00B61F29"/>
    <w:rsid w:val="00B627D4"/>
    <w:rsid w:val="00B62C57"/>
    <w:rsid w:val="00B66639"/>
    <w:rsid w:val="00B66944"/>
    <w:rsid w:val="00B66DBA"/>
    <w:rsid w:val="00B67018"/>
    <w:rsid w:val="00B67324"/>
    <w:rsid w:val="00B67339"/>
    <w:rsid w:val="00B67880"/>
    <w:rsid w:val="00B704B7"/>
    <w:rsid w:val="00B70DC4"/>
    <w:rsid w:val="00B719EF"/>
    <w:rsid w:val="00B71FB4"/>
    <w:rsid w:val="00B7211A"/>
    <w:rsid w:val="00B72576"/>
    <w:rsid w:val="00B728D5"/>
    <w:rsid w:val="00B72F0C"/>
    <w:rsid w:val="00B73168"/>
    <w:rsid w:val="00B7340A"/>
    <w:rsid w:val="00B739BD"/>
    <w:rsid w:val="00B73DD2"/>
    <w:rsid w:val="00B73E96"/>
    <w:rsid w:val="00B758F8"/>
    <w:rsid w:val="00B75CFC"/>
    <w:rsid w:val="00B761CA"/>
    <w:rsid w:val="00B770D4"/>
    <w:rsid w:val="00B772EA"/>
    <w:rsid w:val="00B77854"/>
    <w:rsid w:val="00B77B70"/>
    <w:rsid w:val="00B77B99"/>
    <w:rsid w:val="00B816C5"/>
    <w:rsid w:val="00B81D7B"/>
    <w:rsid w:val="00B81DCB"/>
    <w:rsid w:val="00B83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3AC"/>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AD2"/>
    <w:rsid w:val="00BF40C9"/>
    <w:rsid w:val="00BF47F7"/>
    <w:rsid w:val="00BF481A"/>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2C88"/>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16D4"/>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24F"/>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587E"/>
    <w:rsid w:val="00EA66D3"/>
    <w:rsid w:val="00EA6AC0"/>
    <w:rsid w:val="00EA6D0E"/>
    <w:rsid w:val="00EB031D"/>
    <w:rsid w:val="00EB0454"/>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A21"/>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C7A"/>
    <w:rsid w:val="00F346D2"/>
    <w:rsid w:val="00F349EB"/>
    <w:rsid w:val="00F35696"/>
    <w:rsid w:val="00F35B17"/>
    <w:rsid w:val="00F36F3F"/>
    <w:rsid w:val="00F36FD7"/>
    <w:rsid w:val="00F37490"/>
    <w:rsid w:val="00F37B8E"/>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886"/>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0D5"/>
    <w:rsid w:val="00F966A9"/>
    <w:rsid w:val="00F97052"/>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0158D6"/>
    <w:rsid w:val="011253ED"/>
    <w:rsid w:val="01353AE6"/>
    <w:rsid w:val="013B22BF"/>
    <w:rsid w:val="014838DC"/>
    <w:rsid w:val="01883182"/>
    <w:rsid w:val="01FC4995"/>
    <w:rsid w:val="02461F5B"/>
    <w:rsid w:val="0257529A"/>
    <w:rsid w:val="02D436B7"/>
    <w:rsid w:val="030B7DA9"/>
    <w:rsid w:val="03433A17"/>
    <w:rsid w:val="034D0F5A"/>
    <w:rsid w:val="035C75F9"/>
    <w:rsid w:val="03B35391"/>
    <w:rsid w:val="04055467"/>
    <w:rsid w:val="044C2800"/>
    <w:rsid w:val="04692636"/>
    <w:rsid w:val="047B6C88"/>
    <w:rsid w:val="04FE7F15"/>
    <w:rsid w:val="053A4855"/>
    <w:rsid w:val="05A05C81"/>
    <w:rsid w:val="05AF02CF"/>
    <w:rsid w:val="05B475CC"/>
    <w:rsid w:val="05C515F4"/>
    <w:rsid w:val="060C2D53"/>
    <w:rsid w:val="061F5354"/>
    <w:rsid w:val="062D4F46"/>
    <w:rsid w:val="065E0E46"/>
    <w:rsid w:val="06A25842"/>
    <w:rsid w:val="06AF5670"/>
    <w:rsid w:val="06E76218"/>
    <w:rsid w:val="06F86E33"/>
    <w:rsid w:val="073D0B74"/>
    <w:rsid w:val="07635BA6"/>
    <w:rsid w:val="0768045D"/>
    <w:rsid w:val="079A5979"/>
    <w:rsid w:val="07A50A58"/>
    <w:rsid w:val="07A63DF9"/>
    <w:rsid w:val="07B80611"/>
    <w:rsid w:val="080B5DBD"/>
    <w:rsid w:val="085631C9"/>
    <w:rsid w:val="085718C9"/>
    <w:rsid w:val="08594689"/>
    <w:rsid w:val="088257A5"/>
    <w:rsid w:val="08F1113D"/>
    <w:rsid w:val="08F11A25"/>
    <w:rsid w:val="08FE2AB1"/>
    <w:rsid w:val="093B194F"/>
    <w:rsid w:val="093E0880"/>
    <w:rsid w:val="0970461D"/>
    <w:rsid w:val="097F4AD0"/>
    <w:rsid w:val="09A0026F"/>
    <w:rsid w:val="09B41CA1"/>
    <w:rsid w:val="0A051F93"/>
    <w:rsid w:val="0A232419"/>
    <w:rsid w:val="0A545D73"/>
    <w:rsid w:val="0A6601F9"/>
    <w:rsid w:val="0A681C3B"/>
    <w:rsid w:val="0A762A5A"/>
    <w:rsid w:val="0A9E1C57"/>
    <w:rsid w:val="0AFC3827"/>
    <w:rsid w:val="0B1F0E32"/>
    <w:rsid w:val="0B9121BF"/>
    <w:rsid w:val="0BBA6DAD"/>
    <w:rsid w:val="0BCD4AD4"/>
    <w:rsid w:val="0BF95130"/>
    <w:rsid w:val="0C1A6E93"/>
    <w:rsid w:val="0C4501CE"/>
    <w:rsid w:val="0C60163F"/>
    <w:rsid w:val="0C6142E8"/>
    <w:rsid w:val="0C762D39"/>
    <w:rsid w:val="0C822C5E"/>
    <w:rsid w:val="0CBA1E31"/>
    <w:rsid w:val="0CDD0BB5"/>
    <w:rsid w:val="0D374AC5"/>
    <w:rsid w:val="0D4B42C1"/>
    <w:rsid w:val="0D59486D"/>
    <w:rsid w:val="0D942508"/>
    <w:rsid w:val="0E155384"/>
    <w:rsid w:val="0E16317A"/>
    <w:rsid w:val="0E185CCA"/>
    <w:rsid w:val="0E232321"/>
    <w:rsid w:val="0E5232CD"/>
    <w:rsid w:val="0E813BB2"/>
    <w:rsid w:val="0EA8373B"/>
    <w:rsid w:val="0EFB2DE2"/>
    <w:rsid w:val="0F01314F"/>
    <w:rsid w:val="0F0D2F2C"/>
    <w:rsid w:val="0F133F84"/>
    <w:rsid w:val="0F1D3C3E"/>
    <w:rsid w:val="0F9B6860"/>
    <w:rsid w:val="0F9D1F37"/>
    <w:rsid w:val="0FB660D7"/>
    <w:rsid w:val="0FD8210B"/>
    <w:rsid w:val="0FF035AC"/>
    <w:rsid w:val="0FF7237E"/>
    <w:rsid w:val="0FF7412C"/>
    <w:rsid w:val="0FF81642"/>
    <w:rsid w:val="10692390"/>
    <w:rsid w:val="10D21EAF"/>
    <w:rsid w:val="10F0590C"/>
    <w:rsid w:val="10F7015B"/>
    <w:rsid w:val="11397FF2"/>
    <w:rsid w:val="114A39B7"/>
    <w:rsid w:val="11625F1D"/>
    <w:rsid w:val="1167581E"/>
    <w:rsid w:val="116E2B13"/>
    <w:rsid w:val="11CF045F"/>
    <w:rsid w:val="11F50D4C"/>
    <w:rsid w:val="120378C7"/>
    <w:rsid w:val="1254505F"/>
    <w:rsid w:val="12776333"/>
    <w:rsid w:val="1280341C"/>
    <w:rsid w:val="12F059C6"/>
    <w:rsid w:val="136D5594"/>
    <w:rsid w:val="13CA2479"/>
    <w:rsid w:val="14200447"/>
    <w:rsid w:val="142F6BEC"/>
    <w:rsid w:val="1457163D"/>
    <w:rsid w:val="147E3368"/>
    <w:rsid w:val="14D87C97"/>
    <w:rsid w:val="14E804E7"/>
    <w:rsid w:val="151F2C18"/>
    <w:rsid w:val="15D53161"/>
    <w:rsid w:val="15F64745"/>
    <w:rsid w:val="1601481A"/>
    <w:rsid w:val="16186717"/>
    <w:rsid w:val="16275F57"/>
    <w:rsid w:val="165357D3"/>
    <w:rsid w:val="166C73ED"/>
    <w:rsid w:val="169522D7"/>
    <w:rsid w:val="16A3500D"/>
    <w:rsid w:val="174325C2"/>
    <w:rsid w:val="175554DF"/>
    <w:rsid w:val="175A62B6"/>
    <w:rsid w:val="17810C39"/>
    <w:rsid w:val="178B5F49"/>
    <w:rsid w:val="17B90EAB"/>
    <w:rsid w:val="17C330B1"/>
    <w:rsid w:val="17E1192A"/>
    <w:rsid w:val="17E14091"/>
    <w:rsid w:val="17FC5942"/>
    <w:rsid w:val="18552337"/>
    <w:rsid w:val="189C3747"/>
    <w:rsid w:val="18A64B89"/>
    <w:rsid w:val="18CD2331"/>
    <w:rsid w:val="18D06062"/>
    <w:rsid w:val="18E63B6D"/>
    <w:rsid w:val="19353CD3"/>
    <w:rsid w:val="19F55F5E"/>
    <w:rsid w:val="1A104088"/>
    <w:rsid w:val="1A1D4A30"/>
    <w:rsid w:val="1A203696"/>
    <w:rsid w:val="1A4A28F5"/>
    <w:rsid w:val="1A616039"/>
    <w:rsid w:val="1A8D1E0A"/>
    <w:rsid w:val="1ABB145A"/>
    <w:rsid w:val="1AD71A7E"/>
    <w:rsid w:val="1B167EE4"/>
    <w:rsid w:val="1B1C7F55"/>
    <w:rsid w:val="1B474C7C"/>
    <w:rsid w:val="1B5F5A93"/>
    <w:rsid w:val="1B644941"/>
    <w:rsid w:val="1B97028F"/>
    <w:rsid w:val="1BA23AE5"/>
    <w:rsid w:val="1BA34642"/>
    <w:rsid w:val="1BD602AF"/>
    <w:rsid w:val="1BD6553D"/>
    <w:rsid w:val="1C40184B"/>
    <w:rsid w:val="1C504E03"/>
    <w:rsid w:val="1C7B0D9F"/>
    <w:rsid w:val="1CC97D1B"/>
    <w:rsid w:val="1CD67AA5"/>
    <w:rsid w:val="1D6E655D"/>
    <w:rsid w:val="1DAA2521"/>
    <w:rsid w:val="1E1E4201"/>
    <w:rsid w:val="1E234C86"/>
    <w:rsid w:val="1E280FE5"/>
    <w:rsid w:val="1E2B5DA6"/>
    <w:rsid w:val="1E796654"/>
    <w:rsid w:val="1ED513BA"/>
    <w:rsid w:val="1F1F544D"/>
    <w:rsid w:val="1F214722"/>
    <w:rsid w:val="1F3D5393"/>
    <w:rsid w:val="1F576995"/>
    <w:rsid w:val="1F6751C9"/>
    <w:rsid w:val="1FD46237"/>
    <w:rsid w:val="1FE725CB"/>
    <w:rsid w:val="20224D55"/>
    <w:rsid w:val="20A06EA1"/>
    <w:rsid w:val="20D87EC1"/>
    <w:rsid w:val="21144747"/>
    <w:rsid w:val="21152AEA"/>
    <w:rsid w:val="211F6B56"/>
    <w:rsid w:val="212B5A64"/>
    <w:rsid w:val="21417A0D"/>
    <w:rsid w:val="214379DD"/>
    <w:rsid w:val="21817CF9"/>
    <w:rsid w:val="21F726B1"/>
    <w:rsid w:val="220F481B"/>
    <w:rsid w:val="224B4DCD"/>
    <w:rsid w:val="22531CF7"/>
    <w:rsid w:val="225517D6"/>
    <w:rsid w:val="226E178F"/>
    <w:rsid w:val="227B6E4F"/>
    <w:rsid w:val="22D0340F"/>
    <w:rsid w:val="2302547A"/>
    <w:rsid w:val="2322129E"/>
    <w:rsid w:val="23313782"/>
    <w:rsid w:val="2357354F"/>
    <w:rsid w:val="23AE718D"/>
    <w:rsid w:val="23B26BB4"/>
    <w:rsid w:val="23C545F4"/>
    <w:rsid w:val="23CE3F10"/>
    <w:rsid w:val="23E2718D"/>
    <w:rsid w:val="23E71222"/>
    <w:rsid w:val="23EC0881"/>
    <w:rsid w:val="24082FAE"/>
    <w:rsid w:val="244767C9"/>
    <w:rsid w:val="24677424"/>
    <w:rsid w:val="246C55BF"/>
    <w:rsid w:val="24DE5462"/>
    <w:rsid w:val="250A129B"/>
    <w:rsid w:val="25175BEE"/>
    <w:rsid w:val="25510CC8"/>
    <w:rsid w:val="2582731D"/>
    <w:rsid w:val="25A0096A"/>
    <w:rsid w:val="26610781"/>
    <w:rsid w:val="27112EF7"/>
    <w:rsid w:val="27133AC9"/>
    <w:rsid w:val="27873B8F"/>
    <w:rsid w:val="278C10BD"/>
    <w:rsid w:val="27A750B0"/>
    <w:rsid w:val="27FF6E20"/>
    <w:rsid w:val="28301DDA"/>
    <w:rsid w:val="285940DB"/>
    <w:rsid w:val="285C5C0E"/>
    <w:rsid w:val="28800F1F"/>
    <w:rsid w:val="28C933DC"/>
    <w:rsid w:val="28D27225"/>
    <w:rsid w:val="28E22D21"/>
    <w:rsid w:val="28E54779"/>
    <w:rsid w:val="28EF3807"/>
    <w:rsid w:val="29235E38"/>
    <w:rsid w:val="29372DC9"/>
    <w:rsid w:val="294B3490"/>
    <w:rsid w:val="29516ED1"/>
    <w:rsid w:val="29783213"/>
    <w:rsid w:val="29A313AF"/>
    <w:rsid w:val="29AC1FD3"/>
    <w:rsid w:val="29B136FE"/>
    <w:rsid w:val="29C7771F"/>
    <w:rsid w:val="29D543D2"/>
    <w:rsid w:val="29E65834"/>
    <w:rsid w:val="2A9E7061"/>
    <w:rsid w:val="2AE40825"/>
    <w:rsid w:val="2B142BB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151291"/>
    <w:rsid w:val="2D473EB8"/>
    <w:rsid w:val="2D665AAB"/>
    <w:rsid w:val="2DA05E22"/>
    <w:rsid w:val="2DF8268C"/>
    <w:rsid w:val="2E2F01FA"/>
    <w:rsid w:val="2E7344B1"/>
    <w:rsid w:val="2E8E4B4E"/>
    <w:rsid w:val="2EF266DA"/>
    <w:rsid w:val="2F181BAE"/>
    <w:rsid w:val="2F181F65"/>
    <w:rsid w:val="2F261EE0"/>
    <w:rsid w:val="2F4528EF"/>
    <w:rsid w:val="2F6649D2"/>
    <w:rsid w:val="2FD302BA"/>
    <w:rsid w:val="2FD85612"/>
    <w:rsid w:val="2FE80716"/>
    <w:rsid w:val="2FEE50F3"/>
    <w:rsid w:val="30054923"/>
    <w:rsid w:val="306759C0"/>
    <w:rsid w:val="30D342E9"/>
    <w:rsid w:val="30E01559"/>
    <w:rsid w:val="30E503E0"/>
    <w:rsid w:val="31172428"/>
    <w:rsid w:val="312069F6"/>
    <w:rsid w:val="31440242"/>
    <w:rsid w:val="31466EBB"/>
    <w:rsid w:val="314A64EF"/>
    <w:rsid w:val="315E0067"/>
    <w:rsid w:val="316D3DF6"/>
    <w:rsid w:val="31823B01"/>
    <w:rsid w:val="31931557"/>
    <w:rsid w:val="320E73B9"/>
    <w:rsid w:val="32633A3C"/>
    <w:rsid w:val="32831E3B"/>
    <w:rsid w:val="32E60304"/>
    <w:rsid w:val="333F5C66"/>
    <w:rsid w:val="336C673E"/>
    <w:rsid w:val="3383551B"/>
    <w:rsid w:val="33BF3586"/>
    <w:rsid w:val="33D34197"/>
    <w:rsid w:val="33DA7B3A"/>
    <w:rsid w:val="33E36CF5"/>
    <w:rsid w:val="347055A6"/>
    <w:rsid w:val="347E100E"/>
    <w:rsid w:val="348C5706"/>
    <w:rsid w:val="34934165"/>
    <w:rsid w:val="34936269"/>
    <w:rsid w:val="34B47F8E"/>
    <w:rsid w:val="34D2441F"/>
    <w:rsid w:val="34D523DE"/>
    <w:rsid w:val="34D96007"/>
    <w:rsid w:val="350C25E8"/>
    <w:rsid w:val="351A4295"/>
    <w:rsid w:val="35250D1B"/>
    <w:rsid w:val="35643EBB"/>
    <w:rsid w:val="357C0F07"/>
    <w:rsid w:val="358926E6"/>
    <w:rsid w:val="358E07DF"/>
    <w:rsid w:val="3590148A"/>
    <w:rsid w:val="35E0728C"/>
    <w:rsid w:val="35E860DC"/>
    <w:rsid w:val="36050AA1"/>
    <w:rsid w:val="36423762"/>
    <w:rsid w:val="36581519"/>
    <w:rsid w:val="36826E9D"/>
    <w:rsid w:val="36D81F00"/>
    <w:rsid w:val="377A3C79"/>
    <w:rsid w:val="377F3CCF"/>
    <w:rsid w:val="37CD052A"/>
    <w:rsid w:val="37F83D4F"/>
    <w:rsid w:val="38325D99"/>
    <w:rsid w:val="3852536B"/>
    <w:rsid w:val="389948F6"/>
    <w:rsid w:val="38A907AC"/>
    <w:rsid w:val="38F17A02"/>
    <w:rsid w:val="390E775E"/>
    <w:rsid w:val="3922119F"/>
    <w:rsid w:val="39310AD7"/>
    <w:rsid w:val="395F3AEA"/>
    <w:rsid w:val="39691902"/>
    <w:rsid w:val="396D605C"/>
    <w:rsid w:val="39732C58"/>
    <w:rsid w:val="399B0A74"/>
    <w:rsid w:val="39BB3F14"/>
    <w:rsid w:val="39D92970"/>
    <w:rsid w:val="39F124B6"/>
    <w:rsid w:val="3A0F1648"/>
    <w:rsid w:val="3A1A01BF"/>
    <w:rsid w:val="3A366CFF"/>
    <w:rsid w:val="3A7A7584"/>
    <w:rsid w:val="3AA34D2C"/>
    <w:rsid w:val="3ACD3C53"/>
    <w:rsid w:val="3ADF778E"/>
    <w:rsid w:val="3B20302E"/>
    <w:rsid w:val="3B5129DA"/>
    <w:rsid w:val="3BB75B4D"/>
    <w:rsid w:val="3BB970C6"/>
    <w:rsid w:val="3BCC452A"/>
    <w:rsid w:val="3BCE02F2"/>
    <w:rsid w:val="3BEE6B19"/>
    <w:rsid w:val="3C8174B4"/>
    <w:rsid w:val="3CAD1E92"/>
    <w:rsid w:val="3CAE68C7"/>
    <w:rsid w:val="3D1F5F39"/>
    <w:rsid w:val="3D273A07"/>
    <w:rsid w:val="3D2A2388"/>
    <w:rsid w:val="3E69425A"/>
    <w:rsid w:val="3F600DAE"/>
    <w:rsid w:val="3FBF3B3C"/>
    <w:rsid w:val="3FEEA4CB"/>
    <w:rsid w:val="40090163"/>
    <w:rsid w:val="4030757C"/>
    <w:rsid w:val="40354679"/>
    <w:rsid w:val="408D14D1"/>
    <w:rsid w:val="40D21EC7"/>
    <w:rsid w:val="40F167F2"/>
    <w:rsid w:val="40F26D6A"/>
    <w:rsid w:val="40F63E08"/>
    <w:rsid w:val="41181A3D"/>
    <w:rsid w:val="412C6367"/>
    <w:rsid w:val="41863964"/>
    <w:rsid w:val="41C07A3A"/>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A2EF1"/>
    <w:rsid w:val="451C0B79"/>
    <w:rsid w:val="455A784A"/>
    <w:rsid w:val="457572C5"/>
    <w:rsid w:val="45C269A9"/>
    <w:rsid w:val="45D47A85"/>
    <w:rsid w:val="45F51841"/>
    <w:rsid w:val="461E57BF"/>
    <w:rsid w:val="4634361B"/>
    <w:rsid w:val="4668610C"/>
    <w:rsid w:val="46BF6084"/>
    <w:rsid w:val="47150D60"/>
    <w:rsid w:val="47340CF7"/>
    <w:rsid w:val="47613FA5"/>
    <w:rsid w:val="47D2608D"/>
    <w:rsid w:val="47E519D9"/>
    <w:rsid w:val="47EC272B"/>
    <w:rsid w:val="480A1F47"/>
    <w:rsid w:val="4817179E"/>
    <w:rsid w:val="4846678F"/>
    <w:rsid w:val="48695B00"/>
    <w:rsid w:val="488E737E"/>
    <w:rsid w:val="49E40AA8"/>
    <w:rsid w:val="4A1912F8"/>
    <w:rsid w:val="4A226926"/>
    <w:rsid w:val="4A42444F"/>
    <w:rsid w:val="4A62250E"/>
    <w:rsid w:val="4A7C7F8F"/>
    <w:rsid w:val="4A9C3992"/>
    <w:rsid w:val="4AC2582E"/>
    <w:rsid w:val="4ACB34E4"/>
    <w:rsid w:val="4AE235D1"/>
    <w:rsid w:val="4AEE3DA2"/>
    <w:rsid w:val="4AF94389"/>
    <w:rsid w:val="4B15206C"/>
    <w:rsid w:val="4BCD3D4C"/>
    <w:rsid w:val="4BDE20BC"/>
    <w:rsid w:val="4C251AF9"/>
    <w:rsid w:val="4C5A55C7"/>
    <w:rsid w:val="4C8668CB"/>
    <w:rsid w:val="4CE76CFB"/>
    <w:rsid w:val="4D4B2F88"/>
    <w:rsid w:val="4D7367E0"/>
    <w:rsid w:val="4DB62832"/>
    <w:rsid w:val="4DCB6A8C"/>
    <w:rsid w:val="4DCC253E"/>
    <w:rsid w:val="4E4F2DA9"/>
    <w:rsid w:val="4E5370E8"/>
    <w:rsid w:val="4E88094B"/>
    <w:rsid w:val="4E90333A"/>
    <w:rsid w:val="4EB17794"/>
    <w:rsid w:val="4EE2728B"/>
    <w:rsid w:val="4EE51BCC"/>
    <w:rsid w:val="4EF14FE4"/>
    <w:rsid w:val="4F3526FA"/>
    <w:rsid w:val="4F4E1791"/>
    <w:rsid w:val="4F665D03"/>
    <w:rsid w:val="4F6C4459"/>
    <w:rsid w:val="4F756840"/>
    <w:rsid w:val="4FF41947"/>
    <w:rsid w:val="500B7EA2"/>
    <w:rsid w:val="502A7C51"/>
    <w:rsid w:val="506F662E"/>
    <w:rsid w:val="509A57EA"/>
    <w:rsid w:val="509D05C4"/>
    <w:rsid w:val="50A638B9"/>
    <w:rsid w:val="50DD1205"/>
    <w:rsid w:val="50F145FD"/>
    <w:rsid w:val="50F66621"/>
    <w:rsid w:val="515D3A2F"/>
    <w:rsid w:val="51E4645F"/>
    <w:rsid w:val="5264443D"/>
    <w:rsid w:val="52E42074"/>
    <w:rsid w:val="530618DA"/>
    <w:rsid w:val="53292C70"/>
    <w:rsid w:val="533A1C0F"/>
    <w:rsid w:val="534A1847"/>
    <w:rsid w:val="535421F8"/>
    <w:rsid w:val="53691ECF"/>
    <w:rsid w:val="537D2167"/>
    <w:rsid w:val="53826A19"/>
    <w:rsid w:val="53F475A6"/>
    <w:rsid w:val="54006F56"/>
    <w:rsid w:val="541F6D7A"/>
    <w:rsid w:val="547A6D00"/>
    <w:rsid w:val="54834037"/>
    <w:rsid w:val="54A83213"/>
    <w:rsid w:val="54B55930"/>
    <w:rsid w:val="54C37F5E"/>
    <w:rsid w:val="54DA0EF3"/>
    <w:rsid w:val="54E62E5E"/>
    <w:rsid w:val="54EB0557"/>
    <w:rsid w:val="54FE5F43"/>
    <w:rsid w:val="551179C2"/>
    <w:rsid w:val="55445BD9"/>
    <w:rsid w:val="55603AEE"/>
    <w:rsid w:val="558B3FFA"/>
    <w:rsid w:val="55AA7F37"/>
    <w:rsid w:val="56891F7D"/>
    <w:rsid w:val="568B723D"/>
    <w:rsid w:val="569314E6"/>
    <w:rsid w:val="569C4BB2"/>
    <w:rsid w:val="56CC7EC6"/>
    <w:rsid w:val="56CF2CD9"/>
    <w:rsid w:val="57182211"/>
    <w:rsid w:val="57212B95"/>
    <w:rsid w:val="57552BC8"/>
    <w:rsid w:val="57776ECD"/>
    <w:rsid w:val="57F8000E"/>
    <w:rsid w:val="57FD4313"/>
    <w:rsid w:val="5809001A"/>
    <w:rsid w:val="583B1E66"/>
    <w:rsid w:val="58515970"/>
    <w:rsid w:val="58550366"/>
    <w:rsid w:val="58710D0E"/>
    <w:rsid w:val="58764F47"/>
    <w:rsid w:val="587A7E7B"/>
    <w:rsid w:val="58A2694D"/>
    <w:rsid w:val="58B17165"/>
    <w:rsid w:val="59414BC8"/>
    <w:rsid w:val="594C1C33"/>
    <w:rsid w:val="595C60A3"/>
    <w:rsid w:val="59622AE1"/>
    <w:rsid w:val="599441A2"/>
    <w:rsid w:val="59BE1569"/>
    <w:rsid w:val="59F356FB"/>
    <w:rsid w:val="59FD190B"/>
    <w:rsid w:val="5A4047DA"/>
    <w:rsid w:val="5A5A0B0C"/>
    <w:rsid w:val="5A5A4FB0"/>
    <w:rsid w:val="5A6B0F6B"/>
    <w:rsid w:val="5AF967B6"/>
    <w:rsid w:val="5B155963"/>
    <w:rsid w:val="5B1C44F3"/>
    <w:rsid w:val="5B514A88"/>
    <w:rsid w:val="5B5E7A47"/>
    <w:rsid w:val="5BD07B07"/>
    <w:rsid w:val="5BD743DE"/>
    <w:rsid w:val="5BDE0299"/>
    <w:rsid w:val="5BF1683C"/>
    <w:rsid w:val="5C242774"/>
    <w:rsid w:val="5C4330EC"/>
    <w:rsid w:val="5C831C73"/>
    <w:rsid w:val="5CAC13C7"/>
    <w:rsid w:val="5CBB4565"/>
    <w:rsid w:val="5D036F9A"/>
    <w:rsid w:val="5D202BDE"/>
    <w:rsid w:val="5D2A024C"/>
    <w:rsid w:val="5D526412"/>
    <w:rsid w:val="5D526831"/>
    <w:rsid w:val="5D764216"/>
    <w:rsid w:val="5DB527BD"/>
    <w:rsid w:val="5DD00244"/>
    <w:rsid w:val="5DEA5E10"/>
    <w:rsid w:val="5E067FE9"/>
    <w:rsid w:val="5E2749FB"/>
    <w:rsid w:val="5E3A3C2C"/>
    <w:rsid w:val="5E4B040F"/>
    <w:rsid w:val="5E4E415F"/>
    <w:rsid w:val="5E6C7060"/>
    <w:rsid w:val="5E7E0871"/>
    <w:rsid w:val="5E7E1DD8"/>
    <w:rsid w:val="5EB32EE1"/>
    <w:rsid w:val="5EBE1510"/>
    <w:rsid w:val="5ED46FEC"/>
    <w:rsid w:val="5ED526F5"/>
    <w:rsid w:val="5EE24F84"/>
    <w:rsid w:val="5EFF1C82"/>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8A293F"/>
    <w:rsid w:val="61E87D1B"/>
    <w:rsid w:val="62172E25"/>
    <w:rsid w:val="62366C51"/>
    <w:rsid w:val="623C290D"/>
    <w:rsid w:val="623F6DF9"/>
    <w:rsid w:val="62502FAC"/>
    <w:rsid w:val="6295542A"/>
    <w:rsid w:val="62AC30A7"/>
    <w:rsid w:val="62F30C4D"/>
    <w:rsid w:val="63640AD8"/>
    <w:rsid w:val="63672AD2"/>
    <w:rsid w:val="6368016D"/>
    <w:rsid w:val="6397692D"/>
    <w:rsid w:val="639C7912"/>
    <w:rsid w:val="64361EE4"/>
    <w:rsid w:val="64E47E41"/>
    <w:rsid w:val="64FA3A2E"/>
    <w:rsid w:val="64FC55D6"/>
    <w:rsid w:val="652C6F80"/>
    <w:rsid w:val="652C7549"/>
    <w:rsid w:val="65414E39"/>
    <w:rsid w:val="65725F92"/>
    <w:rsid w:val="657F1BC3"/>
    <w:rsid w:val="658074C8"/>
    <w:rsid w:val="65AE1260"/>
    <w:rsid w:val="65E246FB"/>
    <w:rsid w:val="6627269B"/>
    <w:rsid w:val="662D6B1E"/>
    <w:rsid w:val="66556532"/>
    <w:rsid w:val="666D606B"/>
    <w:rsid w:val="66790C73"/>
    <w:rsid w:val="667967BE"/>
    <w:rsid w:val="67346B89"/>
    <w:rsid w:val="67505C4C"/>
    <w:rsid w:val="676F2E0B"/>
    <w:rsid w:val="677920C5"/>
    <w:rsid w:val="67A01180"/>
    <w:rsid w:val="67C43A69"/>
    <w:rsid w:val="67ED1F99"/>
    <w:rsid w:val="67F16D38"/>
    <w:rsid w:val="67F53B1D"/>
    <w:rsid w:val="67FC2632"/>
    <w:rsid w:val="67FC4FEA"/>
    <w:rsid w:val="682C0D62"/>
    <w:rsid w:val="6852735E"/>
    <w:rsid w:val="68D91796"/>
    <w:rsid w:val="68EB0D59"/>
    <w:rsid w:val="690B73F7"/>
    <w:rsid w:val="691755AD"/>
    <w:rsid w:val="694B4252"/>
    <w:rsid w:val="69594E76"/>
    <w:rsid w:val="695A0EC4"/>
    <w:rsid w:val="695E7070"/>
    <w:rsid w:val="698544C9"/>
    <w:rsid w:val="698E27DB"/>
    <w:rsid w:val="69BA2573"/>
    <w:rsid w:val="69D00EF1"/>
    <w:rsid w:val="69DA12FC"/>
    <w:rsid w:val="69E113F6"/>
    <w:rsid w:val="6A34211E"/>
    <w:rsid w:val="6A5621A9"/>
    <w:rsid w:val="6A8D061C"/>
    <w:rsid w:val="6AAF7C0A"/>
    <w:rsid w:val="6AD00976"/>
    <w:rsid w:val="6B2A277C"/>
    <w:rsid w:val="6BB55E5C"/>
    <w:rsid w:val="6BF64EAE"/>
    <w:rsid w:val="6C413741"/>
    <w:rsid w:val="6C9440E6"/>
    <w:rsid w:val="6CA13246"/>
    <w:rsid w:val="6CA66862"/>
    <w:rsid w:val="6CBE35F6"/>
    <w:rsid w:val="6D2064EA"/>
    <w:rsid w:val="6D64021D"/>
    <w:rsid w:val="6D7A1D2E"/>
    <w:rsid w:val="6D8E0FD5"/>
    <w:rsid w:val="6D933714"/>
    <w:rsid w:val="6DB77697"/>
    <w:rsid w:val="6DD1348F"/>
    <w:rsid w:val="6DDB19AD"/>
    <w:rsid w:val="6DDD4DB0"/>
    <w:rsid w:val="6E281365"/>
    <w:rsid w:val="6E383AE9"/>
    <w:rsid w:val="6E685168"/>
    <w:rsid w:val="6E784501"/>
    <w:rsid w:val="6E7E2436"/>
    <w:rsid w:val="6E961512"/>
    <w:rsid w:val="6EAD34A8"/>
    <w:rsid w:val="6EBE69D3"/>
    <w:rsid w:val="6F010B22"/>
    <w:rsid w:val="6F337B84"/>
    <w:rsid w:val="6F43357F"/>
    <w:rsid w:val="6F8142E5"/>
    <w:rsid w:val="6FD66A2F"/>
    <w:rsid w:val="70022762"/>
    <w:rsid w:val="705F07D2"/>
    <w:rsid w:val="70A771A6"/>
    <w:rsid w:val="710C7105"/>
    <w:rsid w:val="71246FB6"/>
    <w:rsid w:val="713F2A2B"/>
    <w:rsid w:val="71524DCB"/>
    <w:rsid w:val="71A37B39"/>
    <w:rsid w:val="71FE52CE"/>
    <w:rsid w:val="72190AC4"/>
    <w:rsid w:val="7241371E"/>
    <w:rsid w:val="72927AE7"/>
    <w:rsid w:val="72A82F95"/>
    <w:rsid w:val="72B02137"/>
    <w:rsid w:val="731B027F"/>
    <w:rsid w:val="73907D5F"/>
    <w:rsid w:val="73EF2BAE"/>
    <w:rsid w:val="74EF0E42"/>
    <w:rsid w:val="74F03F49"/>
    <w:rsid w:val="750F518A"/>
    <w:rsid w:val="752D5280"/>
    <w:rsid w:val="756568C4"/>
    <w:rsid w:val="759C7DD3"/>
    <w:rsid w:val="75F41761"/>
    <w:rsid w:val="761261C6"/>
    <w:rsid w:val="762D4490"/>
    <w:rsid w:val="762F7D58"/>
    <w:rsid w:val="76607052"/>
    <w:rsid w:val="76DC3885"/>
    <w:rsid w:val="76DF550A"/>
    <w:rsid w:val="76E97F1E"/>
    <w:rsid w:val="770A460E"/>
    <w:rsid w:val="773372C0"/>
    <w:rsid w:val="7778003E"/>
    <w:rsid w:val="77996CC0"/>
    <w:rsid w:val="779D6F26"/>
    <w:rsid w:val="780954C8"/>
    <w:rsid w:val="7811608D"/>
    <w:rsid w:val="783D09B5"/>
    <w:rsid w:val="785F205D"/>
    <w:rsid w:val="788603A0"/>
    <w:rsid w:val="7892370F"/>
    <w:rsid w:val="78AE2C54"/>
    <w:rsid w:val="79A73093"/>
    <w:rsid w:val="7A0568BE"/>
    <w:rsid w:val="7AB27881"/>
    <w:rsid w:val="7AC04656"/>
    <w:rsid w:val="7AC8338F"/>
    <w:rsid w:val="7ADF5D39"/>
    <w:rsid w:val="7AE04034"/>
    <w:rsid w:val="7B330D36"/>
    <w:rsid w:val="7B5D1DB2"/>
    <w:rsid w:val="7BB75966"/>
    <w:rsid w:val="7BBA0FB3"/>
    <w:rsid w:val="7BBC6686"/>
    <w:rsid w:val="7BE26BF7"/>
    <w:rsid w:val="7C0F7305"/>
    <w:rsid w:val="7C171FF4"/>
    <w:rsid w:val="7C1C5B10"/>
    <w:rsid w:val="7C33293B"/>
    <w:rsid w:val="7C9B6FAA"/>
    <w:rsid w:val="7CA51C63"/>
    <w:rsid w:val="7CBE5277"/>
    <w:rsid w:val="7CE37B8F"/>
    <w:rsid w:val="7D871368"/>
    <w:rsid w:val="7D913E8A"/>
    <w:rsid w:val="7E2343CF"/>
    <w:rsid w:val="7E320591"/>
    <w:rsid w:val="7E5D2D91"/>
    <w:rsid w:val="7E9F66BA"/>
    <w:rsid w:val="7F280929"/>
    <w:rsid w:val="7F314C43"/>
    <w:rsid w:val="7F3A3146"/>
    <w:rsid w:val="7F485D15"/>
    <w:rsid w:val="7F761695"/>
    <w:rsid w:val="7F7A1B6B"/>
    <w:rsid w:val="7F912972"/>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5">
    <w:name w:val="heading 3"/>
    <w:basedOn w:val="1"/>
    <w:next w:val="1"/>
    <w:link w:val="165"/>
    <w:qFormat/>
    <w:uiPriority w:val="0"/>
    <w:pPr>
      <w:keepNext/>
      <w:keepLines/>
      <w:spacing w:before="260" w:after="260" w:line="416" w:lineRule="auto"/>
      <w:outlineLvl w:val="2"/>
    </w:pPr>
    <w:rPr>
      <w:b/>
      <w:bCs/>
      <w:sz w:val="32"/>
      <w:szCs w:val="32"/>
    </w:rPr>
  </w:style>
  <w:style w:type="paragraph" w:styleId="6">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389"/>
    <w:qFormat/>
    <w:uiPriority w:val="0"/>
    <w:pPr>
      <w:keepNext/>
      <w:keepLines/>
      <w:spacing w:before="280" w:after="290" w:line="372" w:lineRule="auto"/>
      <w:outlineLvl w:val="4"/>
    </w:pPr>
    <w:rPr>
      <w:b/>
      <w:bCs/>
      <w:sz w:val="28"/>
      <w:szCs w:val="28"/>
    </w:rPr>
  </w:style>
  <w:style w:type="paragraph" w:styleId="8">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80"/>
    <w:qFormat/>
    <w:uiPriority w:val="99"/>
    <w:pPr>
      <w:spacing w:after="120"/>
    </w:pPr>
    <w:rPr>
      <w:sz w:val="24"/>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Normal Indent"/>
    <w:basedOn w:val="1"/>
    <w:link w:val="146"/>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5"/>
    <w:qFormat/>
    <w:uiPriority w:val="99"/>
    <w:pPr>
      <w:shd w:val="clear" w:color="auto" w:fill="000080"/>
    </w:pPr>
  </w:style>
  <w:style w:type="paragraph" w:styleId="17">
    <w:name w:val="annotation text"/>
    <w:basedOn w:val="1"/>
    <w:link w:val="322"/>
    <w:qFormat/>
    <w:uiPriority w:val="99"/>
    <w:pPr>
      <w:jc w:val="left"/>
    </w:pPr>
  </w:style>
  <w:style w:type="paragraph" w:styleId="18">
    <w:name w:val="Body Text 3"/>
    <w:basedOn w:val="1"/>
    <w:link w:val="64"/>
    <w:qFormat/>
    <w:uiPriority w:val="99"/>
    <w:pPr>
      <w:spacing w:after="120"/>
    </w:pPr>
    <w:rPr>
      <w:sz w:val="16"/>
      <w:szCs w:val="16"/>
    </w:rPr>
  </w:style>
  <w:style w:type="paragraph" w:styleId="19">
    <w:name w:val="Body Text Indent"/>
    <w:basedOn w:val="1"/>
    <w:link w:val="118"/>
    <w:qFormat/>
    <w:uiPriority w:val="99"/>
    <w:pPr>
      <w:ind w:firstLine="830" w:firstLineChars="352"/>
    </w:pPr>
    <w:rPr>
      <w:rFonts w:ascii="仿宋_GB2312" w:eastAsia="仿宋_GB2312"/>
      <w:kern w:val="0"/>
      <w:sz w:val="32"/>
      <w:szCs w:val="32"/>
    </w:rPr>
  </w:style>
  <w:style w:type="paragraph" w:styleId="20">
    <w:name w:val="List 2"/>
    <w:basedOn w:val="1"/>
    <w:qFormat/>
    <w:uiPriority w:val="0"/>
    <w:pPr>
      <w:ind w:left="100" w:leftChars="200" w:hanging="200" w:hangingChars="200"/>
    </w:pPr>
  </w:style>
  <w:style w:type="paragraph" w:styleId="21">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2">
    <w:name w:val="index 4"/>
    <w:basedOn w:val="1"/>
    <w:next w:val="1"/>
    <w:qFormat/>
    <w:uiPriority w:val="0"/>
    <w:pPr>
      <w:ind w:left="600" w:leftChars="600"/>
    </w:pPr>
  </w:style>
  <w:style w:type="paragraph" w:styleId="23">
    <w:name w:val="toc 5"/>
    <w:basedOn w:val="1"/>
    <w:next w:val="1"/>
    <w:qFormat/>
    <w:uiPriority w:val="39"/>
    <w:pPr>
      <w:ind w:left="1680" w:leftChars="800"/>
    </w:pPr>
  </w:style>
  <w:style w:type="paragraph" w:styleId="24">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5">
    <w:name w:val="Plain Text"/>
    <w:basedOn w:val="1"/>
    <w:link w:val="442"/>
    <w:qFormat/>
    <w:uiPriority w:val="0"/>
    <w:rPr>
      <w:rFonts w:ascii="宋体" w:hAnsi="Courier New"/>
      <w:kern w:val="0"/>
      <w:szCs w:val="21"/>
    </w:rPr>
  </w:style>
  <w:style w:type="paragraph" w:styleId="26">
    <w:name w:val="toc 8"/>
    <w:basedOn w:val="1"/>
    <w:next w:val="1"/>
    <w:qFormat/>
    <w:uiPriority w:val="39"/>
    <w:pPr>
      <w:ind w:left="1470"/>
      <w:jc w:val="left"/>
    </w:pPr>
    <w:rPr>
      <w:sz w:val="18"/>
      <w:szCs w:val="18"/>
    </w:rPr>
  </w:style>
  <w:style w:type="paragraph" w:styleId="27">
    <w:name w:val="Date"/>
    <w:next w:val="1"/>
    <w:link w:val="145"/>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28">
    <w:name w:val="Body Text Indent 2"/>
    <w:basedOn w:val="1"/>
    <w:link w:val="259"/>
    <w:qFormat/>
    <w:uiPriority w:val="99"/>
    <w:pPr>
      <w:spacing w:after="120" w:line="480" w:lineRule="auto"/>
      <w:ind w:left="420" w:leftChars="200"/>
    </w:pPr>
    <w:rPr>
      <w:kern w:val="0"/>
      <w:sz w:val="24"/>
    </w:rPr>
  </w:style>
  <w:style w:type="paragraph" w:styleId="29">
    <w:name w:val="Balloon Text"/>
    <w:basedOn w:val="1"/>
    <w:link w:val="266"/>
    <w:qFormat/>
    <w:uiPriority w:val="99"/>
    <w:rPr>
      <w:sz w:val="18"/>
      <w:szCs w:val="18"/>
    </w:rPr>
  </w:style>
  <w:style w:type="paragraph" w:styleId="30">
    <w:name w:val="footer"/>
    <w:basedOn w:val="1"/>
    <w:link w:val="144"/>
    <w:qFormat/>
    <w:uiPriority w:val="99"/>
    <w:pPr>
      <w:tabs>
        <w:tab w:val="center" w:pos="4153"/>
        <w:tab w:val="right" w:pos="8306"/>
      </w:tabs>
      <w:snapToGrid w:val="0"/>
      <w:jc w:val="left"/>
    </w:pPr>
    <w:rPr>
      <w:sz w:val="18"/>
      <w:szCs w:val="18"/>
    </w:rPr>
  </w:style>
  <w:style w:type="paragraph" w:styleId="31">
    <w:name w:val="envelope return"/>
    <w:basedOn w:val="1"/>
    <w:qFormat/>
    <w:uiPriority w:val="0"/>
    <w:pPr>
      <w:snapToGrid w:val="0"/>
      <w:spacing w:line="360" w:lineRule="auto"/>
      <w:ind w:firstLine="200" w:firstLineChars="200"/>
    </w:pPr>
    <w:rPr>
      <w:rFonts w:ascii="Arial" w:hAnsi="Arial" w:cs="Arial"/>
      <w:sz w:val="24"/>
    </w:rPr>
  </w:style>
  <w:style w:type="paragraph" w:styleId="32">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834"/>
      </w:tabs>
      <w:spacing w:before="120" w:after="120"/>
      <w:jc w:val="left"/>
    </w:pPr>
    <w:rPr>
      <w:b/>
      <w:bCs/>
      <w:caps/>
      <w:sz w:val="28"/>
      <w:szCs w:val="28"/>
    </w:rPr>
  </w:style>
  <w:style w:type="paragraph" w:styleId="34">
    <w:name w:val="toc 4"/>
    <w:basedOn w:val="1"/>
    <w:next w:val="1"/>
    <w:qFormat/>
    <w:uiPriority w:val="39"/>
    <w:pPr>
      <w:ind w:left="630"/>
      <w:jc w:val="left"/>
    </w:pPr>
    <w:rPr>
      <w:sz w:val="18"/>
      <w:szCs w:val="18"/>
    </w:rPr>
  </w:style>
  <w:style w:type="paragraph" w:styleId="35">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6">
    <w:name w:val="List"/>
    <w:basedOn w:val="1"/>
    <w:qFormat/>
    <w:uiPriority w:val="0"/>
    <w:pPr>
      <w:ind w:left="200" w:hanging="200" w:hangingChars="200"/>
    </w:pPr>
  </w:style>
  <w:style w:type="paragraph" w:styleId="37">
    <w:name w:val="footnote text"/>
    <w:basedOn w:val="1"/>
    <w:link w:val="367"/>
    <w:qFormat/>
    <w:uiPriority w:val="0"/>
    <w:rPr>
      <w:rFonts w:ascii="Calibri" w:hAnsi="Calibri"/>
      <w:szCs w:val="22"/>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33"/>
    <w:qFormat/>
    <w:uiPriority w:val="99"/>
    <w:pPr>
      <w:spacing w:after="120"/>
      <w:ind w:left="420" w:leftChars="200"/>
    </w:pPr>
    <w:rPr>
      <w:kern w:val="0"/>
      <w:sz w:val="16"/>
      <w:szCs w:val="16"/>
    </w:rPr>
  </w:style>
  <w:style w:type="paragraph" w:styleId="40">
    <w:name w:val="table of figures"/>
    <w:basedOn w:val="1"/>
    <w:next w:val="1"/>
    <w:qFormat/>
    <w:uiPriority w:val="0"/>
    <w:pPr>
      <w:ind w:left="200" w:leftChars="200" w:hanging="200" w:hangingChars="200"/>
    </w:pPr>
  </w:style>
  <w:style w:type="paragraph" w:styleId="41">
    <w:name w:val="toc 2"/>
    <w:basedOn w:val="1"/>
    <w:next w:val="1"/>
    <w:qFormat/>
    <w:uiPriority w:val="39"/>
    <w:pPr>
      <w:ind w:left="420" w:leftChars="200"/>
    </w:pPr>
    <w:rPr>
      <w:szCs w:val="21"/>
    </w:rPr>
  </w:style>
  <w:style w:type="paragraph" w:styleId="42">
    <w:name w:val="toc 9"/>
    <w:basedOn w:val="1"/>
    <w:next w:val="1"/>
    <w:qFormat/>
    <w:uiPriority w:val="39"/>
    <w:pPr>
      <w:ind w:left="1680"/>
      <w:jc w:val="left"/>
    </w:pPr>
    <w:rPr>
      <w:sz w:val="18"/>
      <w:szCs w:val="18"/>
    </w:rPr>
  </w:style>
  <w:style w:type="paragraph" w:styleId="43">
    <w:name w:val="Body Text 2"/>
    <w:basedOn w:val="1"/>
    <w:link w:val="461"/>
    <w:qFormat/>
    <w:uiPriority w:val="0"/>
    <w:pPr>
      <w:jc w:val="center"/>
    </w:pPr>
    <w:rPr>
      <w:rFonts w:ascii="Calibri" w:hAnsi="Calibri"/>
      <w:sz w:val="24"/>
      <w:szCs w:val="22"/>
    </w:rPr>
  </w:style>
  <w:style w:type="paragraph" w:styleId="44">
    <w:name w:val="List 4"/>
    <w:basedOn w:val="1"/>
    <w:qFormat/>
    <w:uiPriority w:val="0"/>
    <w:pPr>
      <w:ind w:left="100" w:leftChars="600" w:hanging="200" w:hangingChars="200"/>
    </w:pPr>
  </w:style>
  <w:style w:type="paragraph" w:styleId="45">
    <w:name w:val="List Continue 2"/>
    <w:basedOn w:val="1"/>
    <w:qFormat/>
    <w:uiPriority w:val="0"/>
    <w:pPr>
      <w:spacing w:after="120"/>
      <w:ind w:left="840" w:leftChars="400"/>
    </w:pPr>
  </w:style>
  <w:style w:type="paragraph" w:styleId="46">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7">
    <w:name w:val="Normal (Web)"/>
    <w:basedOn w:val="1"/>
    <w:link w:val="497"/>
    <w:qFormat/>
    <w:uiPriority w:val="0"/>
    <w:pPr>
      <w:spacing w:before="100" w:beforeAutospacing="1" w:after="100" w:afterAutospacing="1"/>
    </w:pPr>
    <w:rPr>
      <w:rFonts w:ascii="宋体" w:hAnsi="宋体" w:cs="宋体"/>
      <w:sz w:val="24"/>
    </w:rPr>
  </w:style>
  <w:style w:type="paragraph" w:styleId="48">
    <w:name w:val="Title"/>
    <w:basedOn w:val="1"/>
    <w:next w:val="1"/>
    <w:link w:val="66"/>
    <w:qFormat/>
    <w:uiPriority w:val="99"/>
    <w:pPr>
      <w:spacing w:before="240" w:after="60"/>
      <w:jc w:val="center"/>
      <w:outlineLvl w:val="0"/>
    </w:pPr>
    <w:rPr>
      <w:rFonts w:ascii="Cambria" w:hAnsi="Cambria" w:eastAsia="方正小标宋简体"/>
      <w:b/>
      <w:bCs/>
      <w:sz w:val="32"/>
      <w:szCs w:val="32"/>
    </w:rPr>
  </w:style>
  <w:style w:type="paragraph" w:styleId="49">
    <w:name w:val="annotation subject"/>
    <w:basedOn w:val="17"/>
    <w:next w:val="17"/>
    <w:link w:val="460"/>
    <w:qFormat/>
    <w:uiPriority w:val="99"/>
    <w:rPr>
      <w:b/>
      <w:bCs/>
      <w:szCs w:val="21"/>
    </w:rPr>
  </w:style>
  <w:style w:type="paragraph" w:styleId="50">
    <w:name w:val="Body Text First Indent"/>
    <w:basedOn w:val="2"/>
    <w:link w:val="157"/>
    <w:qFormat/>
    <w:uiPriority w:val="99"/>
    <w:pPr>
      <w:spacing w:line="560" w:lineRule="exact"/>
      <w:ind w:firstLine="420" w:firstLineChars="100"/>
    </w:pPr>
    <w:rPr>
      <w:sz w:val="21"/>
      <w:szCs w:val="22"/>
    </w:rPr>
  </w:style>
  <w:style w:type="paragraph" w:styleId="51">
    <w:name w:val="Body Text First Indent 2"/>
    <w:basedOn w:val="19"/>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page number"/>
    <w:qFormat/>
    <w:uiPriority w:val="0"/>
  </w:style>
  <w:style w:type="character" w:styleId="57">
    <w:name w:val="FollowedHyperlink"/>
    <w:basedOn w:val="54"/>
    <w:qFormat/>
    <w:uiPriority w:val="99"/>
    <w:rPr>
      <w:color w:val="800080"/>
      <w:u w:val="none"/>
    </w:rPr>
  </w:style>
  <w:style w:type="character" w:styleId="58">
    <w:name w:val="Emphasis"/>
    <w:qFormat/>
    <w:uiPriority w:val="0"/>
    <w:rPr>
      <w:i/>
    </w:rPr>
  </w:style>
  <w:style w:type="character" w:styleId="59">
    <w:name w:val="Hyperlink"/>
    <w:basedOn w:val="54"/>
    <w:qFormat/>
    <w:uiPriority w:val="99"/>
    <w:rPr>
      <w:color w:val="0000FF"/>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Char1"/>
    <w:link w:val="9"/>
    <w:qFormat/>
    <w:uiPriority w:val="0"/>
    <w:rPr>
      <w:b/>
      <w:bCs/>
      <w:sz w:val="24"/>
      <w:szCs w:val="24"/>
    </w:rPr>
  </w:style>
  <w:style w:type="character" w:customStyle="1" w:styleId="64">
    <w:name w:val="正文文本 3 Char2"/>
    <w:link w:val="18"/>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Char2"/>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99"/>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7"/>
    <w:next w:val="17"/>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6"/>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6"/>
    <w:qFormat/>
    <w:uiPriority w:val="0"/>
    <w:rPr>
      <w:rFonts w:ascii="Calibri" w:hAnsi="Calibri"/>
      <w:szCs w:val="22"/>
    </w:rPr>
  </w:style>
  <w:style w:type="paragraph" w:customStyle="1" w:styleId="87">
    <w:name w:val="Blockquote"/>
    <w:basedOn w:val="1"/>
    <w:link w:val="238"/>
    <w:qFormat/>
    <w:uiPriority w:val="0"/>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99"/>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明显强调2"/>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Char1"/>
    <w:link w:val="8"/>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Char2"/>
    <w:link w:val="19"/>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Char3"/>
    <w:link w:val="32"/>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2"/>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Char2"/>
    <w:link w:val="39"/>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3"/>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Char3"/>
    <w:link w:val="30"/>
    <w:qFormat/>
    <w:uiPriority w:val="99"/>
    <w:rPr>
      <w:kern w:val="2"/>
      <w:sz w:val="18"/>
      <w:szCs w:val="18"/>
    </w:rPr>
  </w:style>
  <w:style w:type="character" w:customStyle="1" w:styleId="145">
    <w:name w:val="日期 Char3"/>
    <w:link w:val="27"/>
    <w:qFormat/>
    <w:uiPriority w:val="99"/>
    <w:rPr>
      <w:rFonts w:ascii="宋体" w:hAnsi="Courier New"/>
      <w:sz w:val="21"/>
      <w:szCs w:val="21"/>
    </w:rPr>
  </w:style>
  <w:style w:type="character" w:customStyle="1" w:styleId="146">
    <w:name w:val="正文缩进 Char2"/>
    <w:link w:val="14"/>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0"/>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52">
    <w:name w:val="书籍标题1"/>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首行缩进 Char2"/>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Char1"/>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Char1"/>
    <w:link w:val="5"/>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5"/>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6"/>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6"/>
    <w:qFormat/>
    <w:uiPriority w:val="0"/>
    <w:rPr>
      <w:rFonts w:ascii="Calibri" w:hAnsi="Calibri"/>
    </w:rPr>
  </w:style>
  <w:style w:type="paragraph" w:customStyle="1" w:styleId="179">
    <w:name w:val="样式4"/>
    <w:basedOn w:val="5"/>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6"/>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6"/>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Char"/>
    <w:link w:val="21"/>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6"/>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5"/>
    <w:qFormat/>
    <w:uiPriority w:val="11"/>
    <w:rPr>
      <w:rFonts w:ascii="Cambria" w:hAnsi="Cambria" w:eastAsia="方正楷体简体"/>
      <w:kern w:val="28"/>
      <w:sz w:val="32"/>
      <w:szCs w:val="32"/>
    </w:rPr>
  </w:style>
  <w:style w:type="paragraph" w:customStyle="1" w:styleId="217">
    <w:name w:val="TOC 标题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6"/>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6"/>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Char1"/>
    <w:link w:val="3"/>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28"/>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7"/>
    <w:next w:val="17"/>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29"/>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5"/>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Char1"/>
    <w:link w:val="11"/>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6"/>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6"/>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6"/>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7"/>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6"/>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6"/>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5"/>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6"/>
    <w:qFormat/>
    <w:uiPriority w:val="0"/>
    <w:rPr>
      <w:rFonts w:ascii="Calibri" w:hAnsi="Calibri"/>
      <w:szCs w:val="22"/>
    </w:rPr>
  </w:style>
  <w:style w:type="paragraph" w:customStyle="1" w:styleId="359">
    <w:name w:val="Char Char1 Char"/>
    <w:basedOn w:val="16"/>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6"/>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7"/>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5"/>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3"/>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7"/>
    <w:next w:val="17"/>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7"/>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6"/>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10"/>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6"/>
    <w:qFormat/>
    <w:uiPriority w:val="0"/>
    <w:rPr>
      <w:rFonts w:ascii="Calibri" w:hAnsi="Calibri"/>
      <w:szCs w:val="22"/>
    </w:rPr>
  </w:style>
  <w:style w:type="paragraph" w:customStyle="1" w:styleId="398">
    <w:name w:val="Char13"/>
    <w:basedOn w:val="16"/>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3"/>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46"/>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2"/>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5"/>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6"/>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49"/>
    <w:qFormat/>
    <w:uiPriority w:val="99"/>
    <w:rPr>
      <w:b/>
      <w:bCs/>
      <w:kern w:val="2"/>
      <w:sz w:val="21"/>
      <w:szCs w:val="21"/>
    </w:rPr>
  </w:style>
  <w:style w:type="character" w:customStyle="1" w:styleId="461">
    <w:name w:val="正文文本 2 Char2"/>
    <w:link w:val="43"/>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2"/>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4"/>
    <w:link w:val="4"/>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4"/>
    <w:qFormat/>
    <w:uiPriority w:val="0"/>
  </w:style>
  <w:style w:type="character" w:customStyle="1" w:styleId="494">
    <w:name w:val="flatpickr-weekday"/>
    <w:basedOn w:val="54"/>
    <w:qFormat/>
    <w:uiPriority w:val="0"/>
    <w:rPr>
      <w:b/>
      <w:bCs/>
      <w:sz w:val="21"/>
      <w:szCs w:val="21"/>
    </w:rPr>
  </w:style>
  <w:style w:type="character" w:customStyle="1" w:styleId="495">
    <w:name w:val="flatpickr-weekday2"/>
    <w:basedOn w:val="54"/>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7"/>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2"/>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0">
    <w:name w:val="NormalCharacter"/>
    <w:semiHidden/>
    <w:qFormat/>
    <w:uiPriority w:val="99"/>
  </w:style>
  <w:style w:type="paragraph" w:customStyle="1" w:styleId="501">
    <w:name w:val="HTML Preformatted1"/>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502">
    <w:name w:val="font31"/>
    <w:basedOn w:val="54"/>
    <w:qFormat/>
    <w:uiPriority w:val="0"/>
    <w:rPr>
      <w:rFonts w:hint="eastAsia" w:ascii="仿宋_GB2312" w:eastAsia="仿宋_GB2312" w:cs="仿宋_GB2312"/>
      <w:b/>
      <w:bCs/>
      <w:color w:val="000000"/>
      <w:sz w:val="24"/>
      <w:szCs w:val="24"/>
      <w:u w:val="none"/>
    </w:rPr>
  </w:style>
  <w:style w:type="character" w:customStyle="1" w:styleId="503">
    <w:name w:val="font121"/>
    <w:basedOn w:val="54"/>
    <w:qFormat/>
    <w:uiPriority w:val="0"/>
    <w:rPr>
      <w:rFonts w:hint="eastAsia" w:ascii="仿宋_GB2312" w:eastAsia="仿宋_GB2312" w:cs="仿宋_GB2312"/>
      <w:b/>
      <w:bCs/>
      <w:color w:val="FF0000"/>
      <w:sz w:val="24"/>
      <w:szCs w:val="24"/>
      <w:u w:val="none"/>
    </w:rPr>
  </w:style>
  <w:style w:type="character" w:customStyle="1" w:styleId="504">
    <w:name w:val="font131"/>
    <w:basedOn w:val="54"/>
    <w:qFormat/>
    <w:uiPriority w:val="0"/>
    <w:rPr>
      <w:rFonts w:hint="eastAsia" w:ascii="仿宋_GB2312" w:eastAsia="仿宋_GB2312" w:cs="仿宋_GB2312"/>
      <w:color w:val="FF0000"/>
      <w:sz w:val="20"/>
      <w:szCs w:val="20"/>
      <w:u w:val="none"/>
    </w:rPr>
  </w:style>
  <w:style w:type="character" w:customStyle="1" w:styleId="505">
    <w:name w:val="font101"/>
    <w:basedOn w:val="54"/>
    <w:qFormat/>
    <w:uiPriority w:val="0"/>
    <w:rPr>
      <w:rFonts w:hint="eastAsia" w:ascii="仿宋_GB2312" w:eastAsia="仿宋_GB2312" w:cs="仿宋_GB2312"/>
      <w:b/>
      <w:bCs/>
      <w:color w:val="FF0000"/>
      <w:sz w:val="20"/>
      <w:szCs w:val="20"/>
      <w:u w:val="none"/>
    </w:rPr>
  </w:style>
  <w:style w:type="character" w:customStyle="1" w:styleId="506">
    <w:name w:val="font112"/>
    <w:basedOn w:val="54"/>
    <w:qFormat/>
    <w:uiPriority w:val="0"/>
    <w:rPr>
      <w:rFonts w:hint="eastAsia" w:ascii="仿宋_GB2312" w:eastAsia="仿宋_GB2312" w:cs="仿宋_GB2312"/>
      <w:color w:val="000000"/>
      <w:sz w:val="20"/>
      <w:szCs w:val="20"/>
      <w:u w:val="none"/>
    </w:rPr>
  </w:style>
  <w:style w:type="paragraph" w:customStyle="1" w:styleId="507">
    <w:name w:val="_Style 1818"/>
    <w:basedOn w:val="1"/>
    <w:next w:val="214"/>
    <w:qFormat/>
    <w:uiPriority w:val="34"/>
    <w:pPr>
      <w:ind w:firstLine="420" w:firstLineChars="200"/>
    </w:pPr>
    <w:rPr>
      <w:rFonts w:ascii="Times New Roman" w:hAnsi="Times New Roman"/>
      <w:kern w:val="0"/>
      <w:sz w:val="2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daohangxitong.com</Company>
  <Pages>86</Pages>
  <Words>19369</Words>
  <Characters>20639</Characters>
  <Lines>289</Lines>
  <Paragraphs>81</Paragraphs>
  <TotalTime>21</TotalTime>
  <ScaleCrop>false</ScaleCrop>
  <LinksUpToDate>false</LinksUpToDate>
  <CharactersWithSpaces>20748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璥亹</cp:lastModifiedBy>
  <cp:lastPrinted>2024-09-02T07:00:00Z</cp:lastPrinted>
  <dcterms:modified xsi:type="dcterms:W3CDTF">2026-05-27T07:06:18Z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3F03230BC3F0496BBDCDC2125E5F56A0_13</vt:lpwstr>
  </property>
  <property fmtid="{D5CDD505-2E9C-101B-9397-08002B2CF9AE}" pid="4" name="KSOTemplateDocerSaveRecord">
    <vt:lpwstr>eyJoZGlkIjoiYTRlMzA2OGVkZDM5ODRjMGNhZGE0ZDNhZGUzZWI3YTkiLCJ1c2VySWQiOiIzNjIyODMwNDIifQ==</vt:lpwstr>
  </property>
</Properties>
</file>