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9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0"/>
      </w:tblGrid>
      <w:tr w14:paraId="05F6D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2" w:hRule="atLeast"/>
        </w:trPr>
        <w:tc>
          <w:tcPr>
            <w:tcW w:w="9900" w:type="dxa"/>
          </w:tcPr>
          <w:p w14:paraId="72FB88A6">
            <w:pPr>
              <w:snapToGrid w:val="0"/>
              <w:spacing w:line="360" w:lineRule="auto"/>
              <w:rPr>
                <w:rFonts w:ascii="宋体" w:hAnsi="宋体" w:cs="宋体"/>
                <w:sz w:val="24"/>
              </w:rPr>
            </w:pPr>
            <w:r>
              <w:rPr>
                <w:rFonts w:hint="eastAsia" w:ascii="宋体" w:hAnsi="宋体" w:cs="宋体"/>
                <w:sz w:val="24"/>
              </w:rPr>
              <w:t>一、报价人须知：</w:t>
            </w:r>
          </w:p>
          <w:p w14:paraId="01D6D1A2">
            <w:pPr>
              <w:snapToGrid w:val="0"/>
              <w:spacing w:line="360" w:lineRule="auto"/>
              <w:ind w:firstLine="480" w:firstLineChars="200"/>
              <w:rPr>
                <w:rFonts w:hint="eastAsia" w:ascii="宋体" w:hAnsi="宋体" w:cs="宋体"/>
                <w:sz w:val="24"/>
              </w:rPr>
            </w:pPr>
            <w:r>
              <w:rPr>
                <w:rFonts w:hint="eastAsia" w:ascii="宋体" w:hAnsi="宋体" w:cs="宋体"/>
                <w:sz w:val="24"/>
              </w:rPr>
              <w:t>1.应按工程量清单及其计价格式规定的内容进行编制、填写、签字、盖章。</w:t>
            </w:r>
          </w:p>
          <w:p w14:paraId="087B7766">
            <w:pPr>
              <w:snapToGrid w:val="0"/>
              <w:spacing w:line="360" w:lineRule="auto"/>
              <w:ind w:firstLine="480" w:firstLineChars="200"/>
              <w:rPr>
                <w:rFonts w:hint="eastAsia" w:ascii="宋体" w:hAnsi="宋体" w:cs="宋体"/>
                <w:sz w:val="24"/>
              </w:rPr>
            </w:pPr>
            <w:r>
              <w:rPr>
                <w:rFonts w:hint="eastAsia" w:ascii="宋体" w:hAnsi="宋体" w:cs="宋体"/>
                <w:sz w:val="24"/>
              </w:rPr>
              <w:t>2.工程量清单及其计价格式中的任何内容不得随意删除或涂改。</w:t>
            </w:r>
          </w:p>
          <w:p w14:paraId="77917423">
            <w:pPr>
              <w:snapToGrid w:val="0"/>
              <w:spacing w:line="360" w:lineRule="auto"/>
              <w:ind w:firstLine="480" w:firstLineChars="200"/>
              <w:rPr>
                <w:rFonts w:hint="eastAsia" w:ascii="宋体" w:hAnsi="宋体" w:cs="宋体"/>
                <w:sz w:val="24"/>
              </w:rPr>
            </w:pPr>
            <w:r>
              <w:rPr>
                <w:rFonts w:hint="eastAsia" w:ascii="宋体" w:hAnsi="宋体" w:cs="宋体"/>
                <w:sz w:val="24"/>
              </w:rPr>
              <w:t>3.工程量清单计价格式中列明的所有需要填报的单价和合价，投标单位均应填报，未填</w:t>
            </w:r>
          </w:p>
          <w:p w14:paraId="6C0C9846">
            <w:pPr>
              <w:snapToGrid w:val="0"/>
              <w:spacing w:line="360" w:lineRule="auto"/>
              <w:ind w:firstLine="480" w:firstLineChars="200"/>
              <w:rPr>
                <w:rFonts w:hint="eastAsia" w:ascii="宋体" w:hAnsi="宋体" w:cs="宋体"/>
                <w:sz w:val="24"/>
              </w:rPr>
            </w:pPr>
            <w:r>
              <w:rPr>
                <w:rFonts w:hint="eastAsia" w:ascii="宋体" w:hAnsi="宋体" w:cs="宋体"/>
                <w:sz w:val="24"/>
              </w:rPr>
              <w:t>报的单价和合价，视为此项费用已包含在工程量清单的其他单价和合价内。</w:t>
            </w:r>
          </w:p>
          <w:p w14:paraId="7D8A5733">
            <w:pPr>
              <w:snapToGrid w:val="0"/>
              <w:spacing w:line="360" w:lineRule="auto"/>
              <w:ind w:firstLine="480" w:firstLineChars="200"/>
              <w:rPr>
                <w:rFonts w:hint="eastAsia" w:ascii="宋体" w:hAnsi="宋体" w:cs="宋体"/>
                <w:sz w:val="24"/>
              </w:rPr>
            </w:pPr>
            <w:r>
              <w:rPr>
                <w:rFonts w:hint="eastAsia" w:ascii="宋体" w:hAnsi="宋体" w:cs="宋体"/>
                <w:sz w:val="24"/>
              </w:rPr>
              <w:t>4.金额（价格）均以人民币表示。</w:t>
            </w:r>
          </w:p>
          <w:p w14:paraId="01850596">
            <w:pPr>
              <w:snapToGrid w:val="0"/>
              <w:spacing w:line="360" w:lineRule="auto"/>
              <w:rPr>
                <w:rFonts w:hint="eastAsia" w:ascii="宋体" w:hAnsi="宋体" w:cs="宋体"/>
                <w:sz w:val="24"/>
              </w:rPr>
            </w:pPr>
            <w:r>
              <w:rPr>
                <w:rFonts w:hint="eastAsia" w:ascii="宋体" w:hAnsi="宋体" w:cs="宋体"/>
                <w:sz w:val="24"/>
              </w:rPr>
              <w:t>二、工程名称：</w:t>
            </w:r>
            <w:r>
              <w:rPr>
                <w:rFonts w:hint="eastAsia" w:ascii="宋体" w:hAnsi="宋体" w:cs="宋体"/>
                <w:sz w:val="24"/>
                <w:lang w:val="en-US" w:eastAsia="zh-CN"/>
              </w:rPr>
              <w:t>金苹果小区、国安小区等12个小区区间管网改造工程（昌盛花园）</w:t>
            </w:r>
            <w:r>
              <w:rPr>
                <w:rFonts w:hint="eastAsia" w:ascii="宋体" w:hAnsi="宋体" w:cs="宋体"/>
                <w:sz w:val="24"/>
              </w:rPr>
              <w:t>。</w:t>
            </w:r>
          </w:p>
          <w:p w14:paraId="2E5E6B59">
            <w:pPr>
              <w:snapToGrid w:val="0"/>
              <w:spacing w:line="360" w:lineRule="auto"/>
              <w:ind w:left="480" w:hanging="480" w:hangingChars="200"/>
              <w:rPr>
                <w:rFonts w:hint="default" w:ascii="宋体" w:hAnsi="宋体" w:cs="宋体"/>
                <w:sz w:val="24"/>
                <w:lang w:val="en-US" w:eastAsia="zh-CN"/>
              </w:rPr>
            </w:pPr>
            <w:r>
              <w:rPr>
                <w:rFonts w:hint="eastAsia" w:ascii="宋体" w:hAnsi="宋体" w:cs="宋体"/>
                <w:sz w:val="24"/>
              </w:rPr>
              <w:t>三、工程概况：</w:t>
            </w:r>
            <w:r>
              <w:rPr>
                <w:rFonts w:hint="eastAsia" w:ascii="宋体" w:hAnsi="宋体" w:cs="宋体"/>
                <w:sz w:val="24"/>
                <w:lang w:val="en-US" w:eastAsia="zh-CN"/>
              </w:rPr>
              <w:t>本项目是金苹果小区、国安小区等12个小区区间管网改造工程（昌盛花园），本次改造范围为：昌盛花园小区。</w:t>
            </w:r>
          </w:p>
          <w:p w14:paraId="31AE6A66">
            <w:pPr>
              <w:snapToGrid w:val="0"/>
              <w:spacing w:line="360" w:lineRule="auto"/>
              <w:ind w:left="480" w:hanging="480" w:hangingChars="200"/>
              <w:rPr>
                <w:rFonts w:hint="eastAsia" w:ascii="宋体" w:hAnsi="宋体" w:cs="宋体"/>
                <w:sz w:val="24"/>
              </w:rPr>
            </w:pPr>
            <w:r>
              <w:rPr>
                <w:rFonts w:hint="eastAsia" w:ascii="宋体" w:hAnsi="宋体" w:cs="宋体"/>
                <w:sz w:val="24"/>
              </w:rPr>
              <w:t>四、工程招标范围：招标单位提供的图纸范围内的供</w:t>
            </w:r>
            <w:r>
              <w:rPr>
                <w:rFonts w:hint="eastAsia" w:ascii="宋体" w:hAnsi="宋体" w:cs="宋体"/>
                <w:sz w:val="24"/>
                <w:lang w:eastAsia="zh-CN"/>
              </w:rPr>
              <w:t>热</w:t>
            </w:r>
            <w:r>
              <w:rPr>
                <w:rFonts w:hint="eastAsia" w:ascii="宋体" w:hAnsi="宋体" w:cs="宋体"/>
                <w:sz w:val="24"/>
              </w:rPr>
              <w:t>管道安装</w:t>
            </w:r>
            <w:r>
              <w:rPr>
                <w:rFonts w:hint="eastAsia" w:ascii="宋体" w:hAnsi="宋体" w:cs="宋体"/>
                <w:sz w:val="24"/>
                <w:lang w:eastAsia="zh-CN"/>
              </w:rPr>
              <w:t>、拆除、接口保温</w:t>
            </w:r>
            <w:r>
              <w:rPr>
                <w:rFonts w:hint="eastAsia" w:ascii="宋体" w:hAnsi="宋体" w:cs="宋体"/>
                <w:sz w:val="24"/>
              </w:rPr>
              <w:t>及配套土建项目，具体内容详见工程量清单。具体以工程量清单为准。</w:t>
            </w:r>
          </w:p>
          <w:p w14:paraId="6BDDCE6D">
            <w:pPr>
              <w:snapToGrid w:val="0"/>
              <w:spacing w:line="360" w:lineRule="auto"/>
              <w:rPr>
                <w:rFonts w:ascii="宋体" w:hAnsi="宋体" w:cs="宋体"/>
                <w:sz w:val="24"/>
              </w:rPr>
            </w:pPr>
            <w:r>
              <w:rPr>
                <w:rFonts w:hint="eastAsia" w:ascii="宋体" w:hAnsi="宋体" w:cs="宋体"/>
                <w:sz w:val="24"/>
              </w:rPr>
              <w:t>五、工程质量：达到国家验收规范合格标准。</w:t>
            </w:r>
          </w:p>
          <w:p w14:paraId="388093D5">
            <w:pPr>
              <w:snapToGrid w:val="0"/>
              <w:spacing w:line="360" w:lineRule="auto"/>
              <w:rPr>
                <w:rFonts w:ascii="宋体" w:hAnsi="宋体" w:cs="宋体"/>
                <w:sz w:val="24"/>
              </w:rPr>
            </w:pPr>
            <w:r>
              <w:rPr>
                <w:rFonts w:hint="eastAsia" w:ascii="宋体" w:hAnsi="宋体" w:cs="宋体"/>
                <w:sz w:val="24"/>
              </w:rPr>
              <w:t>六、编制依据：</w:t>
            </w:r>
          </w:p>
          <w:p w14:paraId="377BC9DD">
            <w:pPr>
              <w:snapToGrid w:val="0"/>
              <w:spacing w:line="360" w:lineRule="auto"/>
              <w:ind w:firstLine="480" w:firstLineChars="200"/>
              <w:rPr>
                <w:rFonts w:ascii="宋体" w:hAnsi="宋体" w:cs="宋体"/>
                <w:sz w:val="24"/>
              </w:rPr>
            </w:pPr>
            <w:r>
              <w:rPr>
                <w:rFonts w:hint="eastAsia" w:ascii="宋体" w:hAnsi="宋体" w:cs="宋体"/>
                <w:sz w:val="24"/>
              </w:rPr>
              <w:t>1.建设单位提供的施工图纸；</w:t>
            </w:r>
          </w:p>
          <w:p w14:paraId="27ED8673">
            <w:pPr>
              <w:snapToGrid w:val="0"/>
              <w:spacing w:line="360" w:lineRule="auto"/>
              <w:ind w:firstLine="480" w:firstLineChars="200"/>
              <w:rPr>
                <w:rFonts w:hint="eastAsia" w:ascii="宋体" w:hAnsi="宋体" w:cs="宋体"/>
                <w:sz w:val="24"/>
              </w:rPr>
            </w:pPr>
            <w:r>
              <w:rPr>
                <w:rFonts w:hint="eastAsia" w:ascii="宋体" w:hAnsi="宋体" w:cs="宋体"/>
                <w:sz w:val="24"/>
              </w:rPr>
              <w:t>2.《建设工程工程量清单计价</w:t>
            </w:r>
            <w:r>
              <w:rPr>
                <w:rFonts w:hint="eastAsia" w:ascii="宋体" w:hAnsi="宋体" w:cs="宋体"/>
                <w:sz w:val="24"/>
                <w:lang w:eastAsia="zh-CN"/>
              </w:rPr>
              <w:t>标准</w:t>
            </w:r>
            <w:r>
              <w:rPr>
                <w:rFonts w:hint="eastAsia" w:ascii="宋体" w:hAnsi="宋体" w:cs="宋体"/>
                <w:sz w:val="24"/>
              </w:rPr>
              <w:t>》（GB</w:t>
            </w:r>
            <w:r>
              <w:rPr>
                <w:rFonts w:hint="eastAsia" w:ascii="宋体" w:hAnsi="宋体" w:cs="宋体"/>
                <w:sz w:val="24"/>
                <w:lang w:val="en-US" w:eastAsia="zh-CN"/>
              </w:rPr>
              <w:t>/T</w:t>
            </w:r>
            <w:r>
              <w:rPr>
                <w:rFonts w:hint="eastAsia" w:ascii="宋体" w:hAnsi="宋体" w:cs="宋体"/>
                <w:sz w:val="24"/>
              </w:rPr>
              <w:t>50500-20</w:t>
            </w:r>
            <w:r>
              <w:rPr>
                <w:rFonts w:hint="eastAsia" w:ascii="宋体" w:hAnsi="宋体" w:cs="宋体"/>
                <w:sz w:val="24"/>
                <w:lang w:val="en-US" w:eastAsia="zh-CN"/>
              </w:rPr>
              <w:t>24</w:t>
            </w:r>
            <w:r>
              <w:rPr>
                <w:rFonts w:hint="eastAsia" w:ascii="宋体" w:hAnsi="宋体" w:cs="宋体"/>
                <w:sz w:val="24"/>
              </w:rPr>
              <w:t>）；</w:t>
            </w:r>
          </w:p>
          <w:p w14:paraId="209A34B1">
            <w:pPr>
              <w:snapToGrid w:val="0"/>
              <w:spacing w:line="360" w:lineRule="auto"/>
              <w:ind w:firstLine="480" w:firstLineChars="200"/>
              <w:rPr>
                <w:rFonts w:hint="eastAsia" w:ascii="宋体" w:hAnsi="宋体" w:cs="宋体"/>
                <w:sz w:val="24"/>
              </w:rPr>
            </w:pPr>
            <w:r>
              <w:rPr>
                <w:rFonts w:hint="eastAsia" w:ascii="宋体" w:hAnsi="宋体" w:cs="宋体"/>
                <w:sz w:val="24"/>
              </w:rPr>
              <w:t>3.《山东省建设工程费用项目组成及计算规则》(20</w:t>
            </w:r>
            <w:r>
              <w:rPr>
                <w:rFonts w:hint="eastAsia" w:ascii="宋体" w:hAnsi="宋体" w:cs="宋体"/>
                <w:sz w:val="24"/>
                <w:lang w:val="en-US" w:eastAsia="zh-CN"/>
              </w:rPr>
              <w:t>25</w:t>
            </w:r>
            <w:r>
              <w:rPr>
                <w:rFonts w:hint="eastAsia" w:ascii="宋体" w:hAnsi="宋体" w:cs="宋体"/>
                <w:sz w:val="24"/>
              </w:rPr>
              <w:t>)；</w:t>
            </w:r>
          </w:p>
          <w:p w14:paraId="38148982">
            <w:pPr>
              <w:snapToGrid w:val="0"/>
              <w:spacing w:line="360" w:lineRule="auto"/>
              <w:ind w:firstLine="480" w:firstLineChars="200"/>
              <w:rPr>
                <w:rFonts w:hint="eastAsia" w:ascii="宋体" w:hAnsi="宋体" w:cs="宋体"/>
                <w:sz w:val="24"/>
              </w:rPr>
            </w:pPr>
            <w:r>
              <w:rPr>
                <w:rFonts w:hint="eastAsia" w:ascii="宋体" w:hAnsi="宋体" w:cs="宋体"/>
                <w:sz w:val="24"/>
              </w:rPr>
              <w:t>4.省和市建设主管部门颁发的计价定额和计价管理办法及有关计价要求；</w:t>
            </w:r>
          </w:p>
          <w:p w14:paraId="167D872D">
            <w:pPr>
              <w:snapToGrid w:val="0"/>
              <w:spacing w:line="360" w:lineRule="auto"/>
              <w:ind w:firstLine="480" w:firstLineChars="200"/>
              <w:rPr>
                <w:rFonts w:ascii="宋体" w:hAnsi="宋体" w:cs="宋体"/>
                <w:sz w:val="24"/>
              </w:rPr>
            </w:pPr>
            <w:r>
              <w:rPr>
                <w:rFonts w:hint="eastAsia" w:ascii="宋体" w:hAnsi="宋体" w:cs="宋体"/>
                <w:sz w:val="24"/>
              </w:rPr>
              <w:t>5.与建设项目相关的标准设计图集、规范、技术资料等；</w:t>
            </w:r>
          </w:p>
          <w:p w14:paraId="76BDB811">
            <w:pPr>
              <w:snapToGrid w:val="0"/>
              <w:spacing w:line="360" w:lineRule="auto"/>
              <w:ind w:firstLine="480" w:firstLineChars="200"/>
              <w:rPr>
                <w:rFonts w:ascii="宋体" w:hAnsi="宋体" w:cs="宋体"/>
                <w:sz w:val="24"/>
              </w:rPr>
            </w:pPr>
            <w:r>
              <w:rPr>
                <w:rFonts w:hint="eastAsia" w:ascii="宋体" w:hAnsi="宋体" w:cs="宋体"/>
                <w:sz w:val="24"/>
              </w:rPr>
              <w:t>6.建筑市场情况。</w:t>
            </w:r>
            <w:bookmarkStart w:id="0" w:name="_GoBack"/>
            <w:bookmarkEnd w:id="0"/>
          </w:p>
          <w:p w14:paraId="1A15FF3B">
            <w:pPr>
              <w:snapToGrid w:val="0"/>
              <w:spacing w:line="360" w:lineRule="auto"/>
              <w:ind w:left="480" w:hanging="480" w:hangingChars="200"/>
              <w:rPr>
                <w:rFonts w:ascii="宋体" w:hAnsi="宋体" w:cs="宋体"/>
                <w:sz w:val="24"/>
              </w:rPr>
            </w:pPr>
            <w:r>
              <w:rPr>
                <w:rFonts w:hint="eastAsia" w:ascii="宋体" w:hAnsi="宋体" w:cs="宋体"/>
                <w:sz w:val="24"/>
              </w:rPr>
              <w:t>七、清单项目中凡注明“以下、以内、小于”字样者，均包括本身；注明“以上、以外、大于”字样者，均不包括本身。</w:t>
            </w:r>
          </w:p>
          <w:p w14:paraId="241776F2">
            <w:pPr>
              <w:snapToGrid w:val="0"/>
              <w:spacing w:line="360" w:lineRule="auto"/>
              <w:ind w:left="480" w:hanging="480" w:hangingChars="200"/>
              <w:rPr>
                <w:rFonts w:ascii="宋体" w:hAnsi="宋体" w:cs="宋体"/>
                <w:sz w:val="24"/>
              </w:rPr>
            </w:pPr>
            <w:r>
              <w:rPr>
                <w:rFonts w:hint="eastAsia" w:ascii="宋体" w:hAnsi="宋体" w:cs="宋体"/>
                <w:sz w:val="24"/>
              </w:rPr>
              <w:t>八、投标单位参与投标视为已考察工程现场、现场原有的工程情况（包括工地位置情况、道路、存贮空间、装运限制及任何其他足以影响报价的情况）已较为了解和充分预计，并能根据已了解情况合理组织完成施工，现场原有工程的实际情况（包括与总承包单位及专业分包单位交接过程中的各种因素）视为在报价中已充分考虑。</w:t>
            </w:r>
          </w:p>
          <w:p w14:paraId="425FDE40">
            <w:pPr>
              <w:snapToGrid w:val="0"/>
              <w:spacing w:line="360" w:lineRule="auto"/>
              <w:ind w:left="480" w:hanging="480" w:hangingChars="200"/>
              <w:rPr>
                <w:rFonts w:ascii="宋体" w:hAnsi="宋体" w:cs="宋体"/>
                <w:sz w:val="24"/>
              </w:rPr>
            </w:pPr>
            <w:r>
              <w:rPr>
                <w:rFonts w:hint="eastAsia" w:ascii="宋体" w:hAnsi="宋体" w:cs="宋体"/>
                <w:sz w:val="24"/>
              </w:rPr>
              <w:t>九、投标单位在投标报价时，应根据现场条件、招标文件要求，按照《建设工程工程量清单计价</w:t>
            </w:r>
            <w:r>
              <w:rPr>
                <w:rFonts w:hint="eastAsia" w:ascii="宋体" w:hAnsi="宋体" w:cs="宋体"/>
                <w:sz w:val="24"/>
                <w:lang w:eastAsia="zh-CN"/>
              </w:rPr>
              <w:t>标准</w:t>
            </w:r>
            <w:r>
              <w:rPr>
                <w:rFonts w:hint="eastAsia" w:ascii="宋体" w:hAnsi="宋体" w:cs="宋体"/>
                <w:sz w:val="24"/>
              </w:rPr>
              <w:t>》</w:t>
            </w:r>
            <w:r>
              <w:rPr>
                <w:rFonts w:hint="eastAsia" w:ascii="宋体" w:hAnsi="宋体"/>
                <w:sz w:val="24"/>
              </w:rPr>
              <w:t>(GB</w:t>
            </w:r>
            <w:r>
              <w:rPr>
                <w:rFonts w:hint="eastAsia" w:ascii="宋体" w:hAnsi="宋体"/>
                <w:sz w:val="24"/>
                <w:lang w:val="en-US" w:eastAsia="zh-CN"/>
              </w:rPr>
              <w:t>/T</w:t>
            </w:r>
            <w:r>
              <w:rPr>
                <w:rFonts w:hint="eastAsia" w:ascii="宋体" w:hAnsi="宋体"/>
                <w:sz w:val="24"/>
              </w:rPr>
              <w:t>50500-20</w:t>
            </w:r>
            <w:r>
              <w:rPr>
                <w:rFonts w:hint="eastAsia" w:ascii="宋体" w:hAnsi="宋体"/>
                <w:sz w:val="24"/>
                <w:lang w:val="en-US" w:eastAsia="zh-CN"/>
              </w:rPr>
              <w:t>24</w:t>
            </w:r>
            <w:r>
              <w:rPr>
                <w:rFonts w:hint="eastAsia" w:ascii="宋体" w:hAnsi="宋体"/>
                <w:sz w:val="24"/>
              </w:rPr>
              <w:t>)</w:t>
            </w:r>
            <w:r>
              <w:rPr>
                <w:rFonts w:hint="eastAsia" w:ascii="宋体" w:hAnsi="宋体" w:cs="宋体"/>
                <w:sz w:val="24"/>
              </w:rPr>
              <w:t>、《山东省建设工程费用项目组成及计价规则》</w:t>
            </w:r>
            <w:r>
              <w:rPr>
                <w:rFonts w:hint="eastAsia" w:ascii="宋体" w:hAnsi="宋体" w:cs="宋体"/>
                <w:sz w:val="24"/>
                <w:lang w:eastAsia="zh-CN"/>
              </w:rPr>
              <w:t>（</w:t>
            </w:r>
            <w:r>
              <w:rPr>
                <w:rFonts w:hint="eastAsia" w:ascii="宋体" w:hAnsi="宋体" w:cs="宋体"/>
                <w:sz w:val="24"/>
                <w:lang w:val="en-US" w:eastAsia="zh-CN"/>
              </w:rPr>
              <w:t>2025</w:t>
            </w:r>
            <w:r>
              <w:rPr>
                <w:rFonts w:hint="eastAsia" w:ascii="宋体" w:hAnsi="宋体" w:cs="宋体"/>
                <w:sz w:val="24"/>
                <w:lang w:eastAsia="zh-CN"/>
              </w:rPr>
              <w:t>）</w:t>
            </w:r>
            <w:r>
              <w:rPr>
                <w:rFonts w:hint="eastAsia" w:ascii="宋体" w:hAnsi="宋体" w:cs="宋体"/>
                <w:sz w:val="24"/>
              </w:rPr>
              <w:t>、本清单说明及子目规定的计算规则，结合施工方案、技术规范、技术装备、技术能力、施工管理经验及市场行情等规定综合分析及测算，在保证成本且有适当利润的前提下填报。</w:t>
            </w:r>
          </w:p>
          <w:p w14:paraId="2595300B">
            <w:pPr>
              <w:snapToGrid w:val="0"/>
              <w:spacing w:line="360" w:lineRule="auto"/>
              <w:ind w:left="480" w:hanging="480" w:hangingChars="200"/>
              <w:rPr>
                <w:rFonts w:ascii="宋体" w:hAnsi="宋体" w:cs="宋体"/>
                <w:sz w:val="24"/>
              </w:rPr>
            </w:pPr>
            <w:r>
              <w:rPr>
                <w:rFonts w:hint="eastAsia" w:ascii="宋体" w:hAnsi="宋体" w:cs="宋体"/>
                <w:sz w:val="24"/>
              </w:rPr>
              <w:t>十、投标单位在投标报价时，应考虑本工程的招标范围、工期要求与承包方式、以及不同专业交叉作业影响，并将与此有关的可能产生的费用考虑在相应的投标报价中。</w:t>
            </w:r>
          </w:p>
          <w:p w14:paraId="5184DF51">
            <w:pPr>
              <w:snapToGrid w:val="0"/>
              <w:spacing w:line="360" w:lineRule="auto"/>
              <w:ind w:left="480" w:hanging="480" w:hangingChars="200"/>
              <w:rPr>
                <w:rFonts w:ascii="宋体" w:hAnsi="宋体" w:cs="宋体"/>
                <w:sz w:val="24"/>
              </w:rPr>
            </w:pPr>
            <w:r>
              <w:rPr>
                <w:rFonts w:hint="eastAsia" w:ascii="宋体" w:hAnsi="宋体" w:cs="宋体"/>
                <w:sz w:val="24"/>
              </w:rPr>
              <w:t>十一、投标单位在投标报价时，应根据企业自身实力结合市场信息，充分考虑市场竞争因素和市场风险进行自主报价。</w:t>
            </w:r>
            <w:r>
              <w:rPr>
                <w:rFonts w:hint="eastAsia" w:ascii="宋体" w:hAnsi="宋体"/>
                <w:sz w:val="24"/>
              </w:rPr>
              <w:t>工程量清单计价表中的综合单价应包括完成本项目（清单子目）内容所需的人工费、材料费、机械使用费</w:t>
            </w:r>
            <w:r>
              <w:rPr>
                <w:rFonts w:hint="eastAsia" w:ascii="宋体" w:hAnsi="宋体"/>
                <w:sz w:val="24"/>
                <w:lang w:eastAsia="zh-CN"/>
              </w:rPr>
              <w:t>（包含吊车增加费用及电费）</w:t>
            </w:r>
            <w:r>
              <w:rPr>
                <w:rFonts w:hint="eastAsia" w:ascii="宋体" w:hAnsi="宋体"/>
                <w:sz w:val="24"/>
              </w:rPr>
              <w:t>、制作费、运输费、安装费、管理费、利润、采保费（包括自购、指定及甲供材料）、损耗等,并考虑风险因素,以及为完成本工程项目（清单子目）的施工所发生于该工程施工前和施工过程中技术、生活、安全等方面的非工程实体项目费用,以及招标文件和合同中明确的其他责任和义务。</w:t>
            </w:r>
          </w:p>
          <w:p w14:paraId="3CC79776">
            <w:pPr>
              <w:snapToGrid w:val="0"/>
              <w:spacing w:line="360" w:lineRule="auto"/>
              <w:ind w:left="480" w:hanging="480" w:hangingChars="200"/>
              <w:rPr>
                <w:rFonts w:ascii="宋体" w:hAnsi="宋体" w:cs="宋体"/>
                <w:sz w:val="24"/>
              </w:rPr>
            </w:pPr>
            <w:r>
              <w:rPr>
                <w:rFonts w:hint="eastAsia" w:ascii="宋体" w:hAnsi="宋体" w:cs="宋体"/>
                <w:sz w:val="24"/>
              </w:rPr>
              <w:t>十二、投标单位在投标时应按清单给定的统一格式，</w:t>
            </w:r>
            <w:r>
              <w:rPr>
                <w:rFonts w:hint="eastAsia" w:ascii="宋体" w:hAnsi="宋体" w:cs="宋体"/>
                <w:b/>
                <w:bCs/>
                <w:sz w:val="24"/>
              </w:rPr>
              <w:t>投标单位应按其规定内容填写。如系统不能生成，需自行补充至商务标内。</w:t>
            </w:r>
          </w:p>
          <w:p w14:paraId="33BDBF92">
            <w:pPr>
              <w:snapToGrid w:val="0"/>
              <w:spacing w:line="360" w:lineRule="auto"/>
              <w:ind w:left="480" w:hanging="480" w:hangingChars="200"/>
              <w:rPr>
                <w:rFonts w:ascii="宋体" w:hAnsi="宋体"/>
                <w:sz w:val="24"/>
              </w:rPr>
            </w:pPr>
            <w:r>
              <w:rPr>
                <w:rFonts w:hint="eastAsia" w:ascii="宋体" w:hAnsi="宋体" w:cs="宋体"/>
                <w:sz w:val="24"/>
              </w:rPr>
              <w:t>十三、</w:t>
            </w:r>
            <w:r>
              <w:rPr>
                <w:rFonts w:hint="eastAsia" w:ascii="宋体" w:hAnsi="宋体"/>
                <w:sz w:val="24"/>
              </w:rPr>
              <w:t>投标单位按照本清单填报工程量清单计价表中的综合单价，严禁不平衡报价，不得恶意降低报价扰乱市场，评标委员会有权对不合理报价进行质疑，投标单位应给予合理的答复。否则，经评标委员会评定为不合理报价的投标文件将视为无效投标文件。如中标人编制的部分工程量清单单价与市场价偏离较大，招标人有权要求中标单位在工程结算时调整至合理价格。</w:t>
            </w:r>
          </w:p>
          <w:p w14:paraId="4452EEAD">
            <w:pPr>
              <w:snapToGrid w:val="0"/>
              <w:spacing w:line="360" w:lineRule="auto"/>
              <w:ind w:left="480" w:hanging="480" w:hangingChars="200"/>
              <w:rPr>
                <w:rFonts w:ascii="宋体" w:hAnsi="宋体"/>
                <w:sz w:val="24"/>
              </w:rPr>
            </w:pPr>
            <w:r>
              <w:rPr>
                <w:rFonts w:hint="eastAsia" w:ascii="宋体" w:hAnsi="宋体" w:cs="宋体"/>
                <w:sz w:val="24"/>
              </w:rPr>
              <w:t>十四、</w:t>
            </w:r>
            <w:r>
              <w:rPr>
                <w:rFonts w:hint="eastAsia" w:ascii="宋体" w:hAnsi="宋体"/>
                <w:sz w:val="24"/>
              </w:rPr>
              <w:t>投标单位必须完成所有按国家相关法律法规、行业规范等文件要求的检验、检测和验收（包括自购、指定、成品、半成品的检验检测费）工作，</w:t>
            </w:r>
            <w:r>
              <w:rPr>
                <w:rFonts w:hint="eastAsia" w:ascii="宋体" w:hAnsi="宋体" w:cs="宋体"/>
                <w:sz w:val="24"/>
              </w:rPr>
              <w:t>由此产生的所有费用投标单位在报价时须予以考虑，结算时不增加此部分费用，清单项目特征中特别注明的除外。</w:t>
            </w:r>
          </w:p>
          <w:p w14:paraId="081407EF">
            <w:pPr>
              <w:snapToGrid w:val="0"/>
              <w:spacing w:line="360" w:lineRule="auto"/>
              <w:ind w:left="480" w:hanging="480" w:hangingChars="200"/>
              <w:rPr>
                <w:rFonts w:ascii="宋体" w:hAnsi="宋体" w:cs="宋体"/>
                <w:sz w:val="24"/>
              </w:rPr>
            </w:pPr>
            <w:r>
              <w:rPr>
                <w:rFonts w:hint="eastAsia" w:ascii="宋体" w:hAnsi="宋体" w:cs="宋体"/>
                <w:sz w:val="24"/>
              </w:rPr>
              <w:t>十五、工程施工中，为保证工程质量，投标单位自行采取的施工工艺措施项目，均由其在报价时自行考虑，结算时不增加此部分费用。</w:t>
            </w:r>
          </w:p>
          <w:p w14:paraId="7941CC53">
            <w:pPr>
              <w:snapToGrid w:val="0"/>
              <w:spacing w:line="360" w:lineRule="auto"/>
              <w:ind w:left="480" w:hanging="480" w:hangingChars="200"/>
              <w:rPr>
                <w:rFonts w:ascii="宋体" w:hAnsi="宋体" w:cs="宋体"/>
                <w:sz w:val="24"/>
              </w:rPr>
            </w:pPr>
            <w:r>
              <w:rPr>
                <w:rFonts w:hint="eastAsia" w:ascii="宋体" w:hAnsi="宋体" w:cs="宋体"/>
                <w:sz w:val="24"/>
              </w:rPr>
              <w:t>十六、</w:t>
            </w:r>
            <w:r>
              <w:rPr>
                <w:rFonts w:hint="eastAsia" w:ascii="宋体" w:hAnsi="宋体"/>
                <w:sz w:val="24"/>
              </w:rPr>
              <w:t>投标单位在投标报价中，税金必须足额计取，取费基数及费率须按规定计取不得调整，否则按否决投标处理。</w:t>
            </w:r>
          </w:p>
          <w:p w14:paraId="7E5AC611">
            <w:pPr>
              <w:snapToGrid w:val="0"/>
              <w:spacing w:line="360" w:lineRule="auto"/>
              <w:ind w:left="480" w:hanging="480" w:hangingChars="200"/>
              <w:rPr>
                <w:rFonts w:ascii="宋体" w:hAnsi="宋体"/>
                <w:sz w:val="24"/>
              </w:rPr>
            </w:pPr>
            <w:r>
              <w:rPr>
                <w:rFonts w:hint="eastAsia" w:ascii="宋体" w:hAnsi="宋体" w:cs="宋体"/>
                <w:sz w:val="24"/>
              </w:rPr>
              <w:t>十七、本次报价应包含在建设过程中发生诸如市场物价浮动和政策性调价等因素而可能产生的风险因素，结算时综合单价不会因此而调整（</w:t>
            </w:r>
            <w:r>
              <w:rPr>
                <w:rFonts w:hint="eastAsia" w:ascii="宋体" w:hAnsi="宋体" w:cs="宋体"/>
                <w:b/>
                <w:bCs/>
                <w:sz w:val="24"/>
              </w:rPr>
              <w:t>清单或招标文件另有约定的除外</w:t>
            </w:r>
            <w:r>
              <w:rPr>
                <w:rFonts w:hint="eastAsia" w:ascii="宋体" w:hAnsi="宋体" w:cs="宋体"/>
                <w:sz w:val="24"/>
              </w:rPr>
              <w:t>）。</w:t>
            </w:r>
          </w:p>
          <w:p w14:paraId="6B4776AB">
            <w:pPr>
              <w:snapToGrid w:val="0"/>
              <w:spacing w:line="360" w:lineRule="auto"/>
              <w:ind w:left="480" w:hanging="480" w:hangingChars="200"/>
              <w:rPr>
                <w:rFonts w:hint="eastAsia" w:ascii="宋体" w:hAnsi="宋体"/>
                <w:sz w:val="24"/>
              </w:rPr>
            </w:pPr>
            <w:r>
              <w:rPr>
                <w:rFonts w:hint="eastAsia" w:ascii="宋体" w:hAnsi="宋体"/>
                <w:sz w:val="24"/>
              </w:rPr>
              <w:t>十八、投标单位在投标报价时税金执行鲁建标字[2019]10号文规定不含税造价的9%计取，中标后需按此税率开具增值税专用发票。若后期出现政策性税率调整，或出现因中标单位纳税资格所开具的增值税发票税率与投标税率不一致的情况，最终结算时税率按照中标单位实际开具的增值税发票税率计取。</w:t>
            </w:r>
          </w:p>
          <w:p w14:paraId="12CEE878">
            <w:pPr>
              <w:snapToGrid w:val="0"/>
              <w:spacing w:line="360" w:lineRule="auto"/>
              <w:ind w:left="480" w:hanging="480" w:hangingChars="200"/>
              <w:rPr>
                <w:rFonts w:hint="eastAsia" w:ascii="宋体" w:hAnsi="宋体" w:cs="宋体"/>
                <w:sz w:val="24"/>
                <w:lang w:val="en-US" w:eastAsia="zh-CN"/>
              </w:rPr>
            </w:pPr>
            <w:r>
              <w:rPr>
                <w:rFonts w:hint="eastAsia"/>
                <w:sz w:val="24"/>
                <w:szCs w:val="24"/>
                <w:lang w:val="en-US" w:eastAsia="zh-CN"/>
              </w:rPr>
              <w:t>十九</w:t>
            </w:r>
            <w:r>
              <w:rPr>
                <w:rFonts w:hint="eastAsia" w:ascii="宋体" w:hAnsi="宋体" w:eastAsia="宋体" w:cs="Times New Roman"/>
                <w:kern w:val="2"/>
                <w:sz w:val="24"/>
                <w:szCs w:val="24"/>
                <w:lang w:val="en-US" w:eastAsia="zh-CN" w:bidi="ar-SA"/>
              </w:rPr>
              <w:t>、若投标人有不平衡报价的单项产生了做法或材质变更，结算价格以清单控制价的单价为基准来调差。</w:t>
            </w:r>
          </w:p>
          <w:p w14:paraId="5109B1E0">
            <w:pPr>
              <w:snapToGrid w:val="0"/>
              <w:spacing w:line="360" w:lineRule="auto"/>
              <w:ind w:left="480" w:hanging="480" w:hangingChars="200"/>
              <w:rPr>
                <w:rFonts w:hint="eastAsia" w:ascii="宋体" w:hAnsi="宋体" w:cs="宋体"/>
                <w:sz w:val="24"/>
                <w:lang w:val="en-US" w:eastAsia="zh-CN"/>
              </w:rPr>
            </w:pPr>
            <w:r>
              <w:rPr>
                <w:rFonts w:hint="eastAsia" w:ascii="宋体" w:hAnsi="宋体" w:cs="宋体"/>
                <w:sz w:val="24"/>
                <w:lang w:val="en-US" w:eastAsia="zh-CN"/>
              </w:rPr>
              <w:t>二十、变更导致实际完成的工程量超过已标价工程量清单工程量15%的，招标人有权将实际完成的工程量超过已标价工程量清单工程量15%以外部分单价重新组价。</w:t>
            </w:r>
          </w:p>
          <w:p w14:paraId="137D64ED">
            <w:pPr>
              <w:snapToGrid w:val="0"/>
              <w:spacing w:line="360" w:lineRule="auto"/>
              <w:ind w:left="480" w:hanging="480" w:hangingChars="200"/>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二十一</w:t>
            </w:r>
            <w:r>
              <w:rPr>
                <w:rFonts w:hint="eastAsia" w:ascii="宋体" w:hAnsi="宋体" w:eastAsia="宋体" w:cs="Times New Roman"/>
                <w:kern w:val="2"/>
                <w:sz w:val="24"/>
                <w:szCs w:val="24"/>
                <w:lang w:val="en-US" w:eastAsia="zh-CN" w:bidi="ar-SA"/>
              </w:rPr>
              <w:t>、投标单位在投标报价时，应综合考虑以下费用:</w:t>
            </w:r>
          </w:p>
          <w:p w14:paraId="4C069248">
            <w:pPr>
              <w:snapToGrid w:val="0"/>
              <w:spacing w:line="360" w:lineRule="auto"/>
              <w:ind w:firstLine="480" w:firstLineChars="200"/>
              <w:rPr>
                <w:rFonts w:ascii="宋体" w:hAnsi="宋体" w:cs="宋体"/>
                <w:sz w:val="24"/>
              </w:rPr>
            </w:pPr>
            <w:r>
              <w:rPr>
                <w:rFonts w:hint="eastAsia" w:ascii="宋体" w:hAnsi="宋体" w:cs="宋体"/>
                <w:sz w:val="24"/>
              </w:rPr>
              <w:t>1.图纸与清单不符的以清单为准，清单未注明的以图纸为准。</w:t>
            </w:r>
          </w:p>
          <w:p w14:paraId="21FDA720">
            <w:pPr>
              <w:snapToGrid w:val="0"/>
              <w:spacing w:line="360" w:lineRule="auto"/>
              <w:ind w:left="479" w:leftChars="228"/>
              <w:rPr>
                <w:rFonts w:ascii="宋体" w:hAnsi="宋体" w:cs="宋体"/>
                <w:sz w:val="24"/>
              </w:rPr>
            </w:pPr>
            <w:r>
              <w:rPr>
                <w:rFonts w:hint="eastAsia" w:ascii="宋体" w:hAnsi="宋体" w:cs="宋体"/>
                <w:sz w:val="24"/>
              </w:rPr>
              <w:t>2.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7A3825A1">
            <w:pPr>
              <w:snapToGrid w:val="0"/>
              <w:spacing w:line="360" w:lineRule="auto"/>
              <w:ind w:left="479" w:leftChars="228"/>
              <w:rPr>
                <w:rFonts w:ascii="宋体" w:hAnsi="宋体" w:cs="宋体"/>
                <w:sz w:val="24"/>
              </w:rPr>
            </w:pPr>
            <w:r>
              <w:rPr>
                <w:rFonts w:hint="eastAsia" w:ascii="宋体" w:hAnsi="宋体" w:cs="宋体"/>
                <w:sz w:val="24"/>
              </w:rPr>
              <w:t>3.招标图纸设计不完善或节点遗漏等情况，各投标方应结合施工经验及规范充分考虑该部分费用并计入到综合报价中，结算时不再调整。</w:t>
            </w:r>
          </w:p>
          <w:p w14:paraId="3116B8EE">
            <w:pPr>
              <w:snapToGrid w:val="0"/>
              <w:spacing w:line="360" w:lineRule="auto"/>
              <w:ind w:left="479" w:leftChars="228"/>
              <w:rPr>
                <w:rFonts w:ascii="宋体" w:hAnsi="宋体" w:cs="宋体"/>
                <w:sz w:val="24"/>
              </w:rPr>
            </w:pPr>
            <w:r>
              <w:rPr>
                <w:rFonts w:hint="eastAsia" w:ascii="宋体" w:hAnsi="宋体" w:cs="宋体"/>
                <w:sz w:val="24"/>
              </w:rPr>
              <w:t>4.</w:t>
            </w:r>
            <w:r>
              <w:rPr>
                <w:rFonts w:ascii="宋体" w:hAnsi="宋体" w:cs="宋体"/>
                <w:sz w:val="24"/>
              </w:rPr>
              <w:t>在施工过程中可能产生的扬尘、噪音、车辆进出等因素，不得对周围居民的安全、财产及正常生活等造成影响，</w:t>
            </w:r>
            <w:r>
              <w:rPr>
                <w:rFonts w:hint="eastAsia" w:ascii="宋体" w:hAnsi="宋体" w:cs="宋体"/>
                <w:sz w:val="24"/>
              </w:rPr>
              <w:t>进出场车辆清洗，相邻场地道路清扫冲洗等</w:t>
            </w:r>
            <w:r>
              <w:rPr>
                <w:rFonts w:ascii="宋体" w:hAnsi="宋体" w:cs="宋体"/>
                <w:sz w:val="24"/>
              </w:rPr>
              <w:t>需采取的措施及费用均需考虑在投标报价当中，结算时不再增加此部分费用，若因此引起纠纷及损失，均由投标单位自行解决。其中施工扬尘治理应达到威住建通字【2017】9号、威住建通字【2017】38号文、《2019年全市建筑施工扬尘治理提升行动工作方案》的要求。</w:t>
            </w:r>
          </w:p>
          <w:p w14:paraId="340EB6F0">
            <w:pPr>
              <w:snapToGrid w:val="0"/>
              <w:spacing w:line="360" w:lineRule="auto"/>
              <w:ind w:left="479" w:leftChars="228"/>
              <w:rPr>
                <w:rFonts w:ascii="宋体" w:hAnsi="宋体" w:cs="宋体"/>
                <w:sz w:val="24"/>
              </w:rPr>
            </w:pPr>
            <w:r>
              <w:rPr>
                <w:rFonts w:hint="eastAsia" w:ascii="宋体" w:hAnsi="宋体" w:cs="宋体"/>
                <w:sz w:val="24"/>
              </w:rPr>
              <w:t>5.本工程的主要材料,招标单位都有提出更换的权力,因招标单位提出材料变更导致材料产生差价招标单位给予找补差价,但差价不再参与取费,只计取税金。</w:t>
            </w:r>
          </w:p>
          <w:p w14:paraId="7ED9399E">
            <w:pPr>
              <w:snapToGrid w:val="0"/>
              <w:spacing w:line="360" w:lineRule="auto"/>
              <w:ind w:left="479" w:leftChars="228"/>
              <w:rPr>
                <w:rFonts w:ascii="宋体" w:hAnsi="宋体" w:cs="宋体"/>
                <w:sz w:val="24"/>
              </w:rPr>
            </w:pPr>
            <w:r>
              <w:rPr>
                <w:rFonts w:hint="eastAsia" w:ascii="宋体" w:hAnsi="宋体" w:cs="宋体"/>
                <w:sz w:val="24"/>
              </w:rPr>
              <w:t>6.所有投标报价材料均应包括其采购保管费用,运输费、施工现场内外搬运费、二次倒运费等所有费用,并根据实际情况考虑材料的损耗率,在结算中,不再因损耗及运距等因素而调整综合单价。</w:t>
            </w:r>
          </w:p>
          <w:p w14:paraId="1EC3876E">
            <w:pPr>
              <w:snapToGrid w:val="0"/>
              <w:spacing w:line="360" w:lineRule="auto"/>
              <w:ind w:left="479" w:leftChars="228"/>
              <w:rPr>
                <w:rFonts w:ascii="宋体" w:hAnsi="宋体" w:cs="宋体"/>
                <w:sz w:val="24"/>
              </w:rPr>
            </w:pPr>
            <w:r>
              <w:rPr>
                <w:rFonts w:hint="eastAsia" w:ascii="宋体" w:hAnsi="宋体" w:cs="宋体"/>
                <w:sz w:val="24"/>
              </w:rPr>
              <w:t>7.综合单价中应包括材料、半成品构件和成品构件运至工地现场堆放点的场外运输费用及从堆放点至施工点的场内运输费用；吊装点不能堆放构件时,构件的场内运输费用；构件运输过程中,如遇路桥限载（限高）而发生的加固、拓宽等有关费用；均应包括在工程清单报价中,结算时不增加此部分费用。</w:t>
            </w:r>
          </w:p>
          <w:p w14:paraId="07BDBC0F">
            <w:pPr>
              <w:snapToGrid w:val="0"/>
              <w:spacing w:line="360" w:lineRule="auto"/>
              <w:ind w:left="479" w:leftChars="228"/>
              <w:rPr>
                <w:rFonts w:ascii="宋体" w:hAnsi="宋体" w:cs="宋体"/>
                <w:sz w:val="24"/>
              </w:rPr>
            </w:pPr>
            <w:r>
              <w:rPr>
                <w:rFonts w:hint="eastAsia" w:ascii="宋体" w:hAnsi="宋体" w:cs="宋体"/>
                <w:sz w:val="24"/>
              </w:rPr>
              <w:t>8.施工现场临时场地、临时水电及施工过程中用水(包括投标单位利用地下水的费用）、用电费用、机械使用及施工配合费用由投标单位自行解决, 并且根据水源电源接入点及平面布置,不到位的管线等所需费用全部包含在相应的投标报价中,结算时不增加此部分费用。</w:t>
            </w:r>
          </w:p>
          <w:p w14:paraId="11CFD465">
            <w:pPr>
              <w:snapToGrid w:val="0"/>
              <w:spacing w:line="360" w:lineRule="auto"/>
              <w:ind w:left="479" w:leftChars="228"/>
              <w:rPr>
                <w:rFonts w:ascii="宋体" w:hAnsi="宋体" w:cs="宋体"/>
                <w:sz w:val="24"/>
              </w:rPr>
            </w:pPr>
            <w:r>
              <w:rPr>
                <w:rFonts w:hint="eastAsia" w:ascii="宋体" w:hAnsi="宋体" w:cs="宋体"/>
                <w:sz w:val="24"/>
              </w:rPr>
              <w:t>9.投标单位为本工程提供的各类车辆及打桩机等各类机械设备费用,包括机械设备的进出场、装卸、拼装、交通标示牌、警示牌等所有费用,应包括在清单报价中,投标单位应充分考虑施工过程中发生的各种机械的多次进出场和机械停滞的费用及风险费用,结算时不增加此部分费用。</w:t>
            </w:r>
          </w:p>
          <w:p w14:paraId="73A70F5C">
            <w:pPr>
              <w:snapToGrid w:val="0"/>
              <w:spacing w:line="360" w:lineRule="auto"/>
              <w:ind w:left="479" w:leftChars="228"/>
              <w:rPr>
                <w:rFonts w:ascii="宋体" w:hAnsi="宋体" w:cs="宋体"/>
                <w:sz w:val="24"/>
              </w:rPr>
            </w:pPr>
            <w:r>
              <w:rPr>
                <w:rFonts w:hint="eastAsia" w:ascii="宋体" w:hAnsi="宋体" w:cs="宋体"/>
                <w:sz w:val="24"/>
              </w:rPr>
              <w:t>10.投标单位在报价时,均应充分考虑土方外运过程,场地出入口运输车辆的清洗费用、车顶覆盖费用、运输过程中的洒水降尘保洁费用。</w:t>
            </w:r>
          </w:p>
          <w:p w14:paraId="25FC7040">
            <w:pPr>
              <w:snapToGrid w:val="0"/>
              <w:spacing w:line="360" w:lineRule="auto"/>
              <w:ind w:left="479" w:leftChars="228"/>
              <w:rPr>
                <w:rFonts w:ascii="宋体" w:hAnsi="宋体" w:cs="宋体"/>
                <w:sz w:val="24"/>
              </w:rPr>
            </w:pPr>
            <w:r>
              <w:rPr>
                <w:rFonts w:hint="eastAsia" w:ascii="宋体" w:hAnsi="宋体" w:cs="宋体"/>
                <w:sz w:val="24"/>
              </w:rPr>
              <w:t>11.报价单位应根据现场实际情况,自己考虑临时设施的搭设位置,但必须符合规定。无论场内场外,结算时不增加此部分费用。</w:t>
            </w:r>
          </w:p>
          <w:p w14:paraId="5D687FA0">
            <w:pPr>
              <w:snapToGrid w:val="0"/>
              <w:spacing w:line="360" w:lineRule="auto"/>
              <w:ind w:left="479" w:leftChars="228"/>
              <w:rPr>
                <w:rFonts w:ascii="宋体" w:hAnsi="宋体" w:cs="宋体"/>
                <w:sz w:val="24"/>
              </w:rPr>
            </w:pPr>
            <w:r>
              <w:rPr>
                <w:rFonts w:hint="eastAsia" w:ascii="宋体" w:hAnsi="宋体" w:cs="宋体"/>
                <w:sz w:val="24"/>
              </w:rPr>
              <w:t>12.报价单位依据项目的工程特点、现场实际情况、主管部门安全文明施工要求、批准的施工组织设计等综合考虑现场道路硬化（含砼、石子道路）、场地绿化、覆盖、围挡外侧绿化或盆栽等所有安全文明施工费和临时施设费用,结算时不增加此部分费用。</w:t>
            </w:r>
          </w:p>
          <w:p w14:paraId="602D6602">
            <w:pPr>
              <w:snapToGrid w:val="0"/>
              <w:spacing w:line="360" w:lineRule="auto"/>
              <w:ind w:left="479" w:leftChars="228"/>
              <w:rPr>
                <w:rFonts w:hint="eastAsia" w:ascii="宋体" w:hAnsi="宋体" w:cs="宋体"/>
                <w:sz w:val="24"/>
              </w:rPr>
            </w:pPr>
            <w:r>
              <w:rPr>
                <w:rFonts w:hint="eastAsia" w:ascii="宋体" w:hAnsi="宋体" w:cs="宋体"/>
                <w:sz w:val="24"/>
              </w:rPr>
              <w:t>13.投标单位作为总承包单位,必须负责收集整理总承包范围内所有项目（包括各分包单位）的符合城建档案馆要求的竣工资料并归档,相应发生的费用也应充分考虑在投标报价中。</w:t>
            </w:r>
          </w:p>
          <w:p w14:paraId="03535711">
            <w:pPr>
              <w:snapToGrid w:val="0"/>
              <w:spacing w:line="360" w:lineRule="auto"/>
              <w:ind w:left="479" w:leftChars="228"/>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4</w:t>
            </w:r>
            <w:r>
              <w:rPr>
                <w:rFonts w:hint="eastAsia" w:ascii="宋体" w:hAnsi="宋体" w:cs="宋体"/>
                <w:sz w:val="24"/>
              </w:rPr>
              <w:t>.所有混凝土项目的报价应结合本工程的实际情况和政府的相关规定考虑混凝土的施工方式，清单中的砼标号如果与实际施工中的砼标号（经现场确认并签字）不同时，结算时可以根据所报材料单价进行换算，调整差价，差价只计取规费及税金；无论采用何种搅拌、运输方式、泵送方式，结算时均不调整报价中的综合单价。砼报价中应包含各种添加剂的费用，结算时不再增加此部分费用。</w:t>
            </w:r>
          </w:p>
          <w:p w14:paraId="54A1A3C3">
            <w:pPr>
              <w:snapToGrid w:val="0"/>
              <w:spacing w:line="360" w:lineRule="auto"/>
              <w:ind w:left="479" w:leftChars="228"/>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5</w:t>
            </w:r>
            <w:r>
              <w:rPr>
                <w:rFonts w:hint="eastAsia" w:ascii="宋体" w:hAnsi="宋体" w:cs="宋体"/>
                <w:sz w:val="24"/>
              </w:rPr>
              <w:t>.所有砼项的报价均考虑模板制作支拆、砼搅拌浇捣养护、相应构件可能发生的脚手架搭拆及水平垂直运输等所有费用。</w:t>
            </w:r>
          </w:p>
          <w:p w14:paraId="0C6708E7">
            <w:pPr>
              <w:snapToGrid w:val="0"/>
              <w:spacing w:line="360" w:lineRule="auto"/>
              <w:ind w:left="479" w:leftChars="228"/>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6</w:t>
            </w:r>
            <w:r>
              <w:rPr>
                <w:rFonts w:hint="eastAsia" w:ascii="宋体" w:hAnsi="宋体" w:cs="宋体"/>
                <w:sz w:val="24"/>
              </w:rPr>
              <w:t>.所有砂浆项目的报价应结合本工程的实际情况和政府的相关规定考虑砂浆的施工方式，无论采用何种搅拌、运输方式，结算时均不调整报价中的综合单价。</w:t>
            </w:r>
          </w:p>
          <w:p w14:paraId="3BEF03E3">
            <w:pPr>
              <w:snapToGrid w:val="0"/>
              <w:spacing w:line="360" w:lineRule="auto"/>
              <w:ind w:left="479" w:leftChars="228"/>
              <w:rPr>
                <w:rFonts w:hint="eastAsia"/>
              </w:rPr>
            </w:pPr>
            <w:r>
              <w:rPr>
                <w:rFonts w:hint="eastAsia" w:ascii="宋体" w:hAnsi="宋体" w:cs="宋体"/>
                <w:sz w:val="24"/>
              </w:rPr>
              <w:t>1</w:t>
            </w:r>
            <w:r>
              <w:rPr>
                <w:rFonts w:hint="eastAsia" w:ascii="宋体" w:hAnsi="宋体" w:cs="宋体"/>
                <w:sz w:val="24"/>
                <w:lang w:val="en-US" w:eastAsia="zh-CN"/>
              </w:rPr>
              <w:t>7</w:t>
            </w:r>
            <w:r>
              <w:rPr>
                <w:rFonts w:hint="eastAsia" w:ascii="宋体" w:hAnsi="宋体" w:cs="宋体"/>
                <w:sz w:val="24"/>
              </w:rPr>
              <w:t>.钢筋的损耗不另计取，均包括在钢筋的综合单价当中；钢筋项目的报价应考虑所有不同的接头方式，并包括接头费用，实际施工中无论采用何种连接方式，结算均不做调整。</w:t>
            </w:r>
          </w:p>
          <w:p w14:paraId="4528F417">
            <w:pPr>
              <w:snapToGrid w:val="0"/>
              <w:spacing w:line="360" w:lineRule="auto"/>
              <w:ind w:left="479" w:leftChars="228"/>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8</w:t>
            </w:r>
            <w:r>
              <w:rPr>
                <w:rFonts w:hint="eastAsia" w:ascii="宋体" w:hAnsi="宋体" w:cs="宋体"/>
                <w:sz w:val="24"/>
              </w:rPr>
              <w:t>.措施</w:t>
            </w:r>
            <w:r>
              <w:rPr>
                <w:rFonts w:hint="eastAsia" w:ascii="宋体" w:hAnsi="宋体" w:cs="宋体"/>
                <w:sz w:val="24"/>
                <w:lang w:eastAsia="zh-CN"/>
              </w:rPr>
              <w:t>项目包干记取使用</w:t>
            </w:r>
            <w:r>
              <w:rPr>
                <w:rFonts w:hint="eastAsia" w:ascii="宋体" w:hAnsi="宋体" w:cs="宋体"/>
                <w:sz w:val="24"/>
              </w:rPr>
              <w:t>。填报综合单价时应考虑完成本项目（清单子目）内容所需的人工费、材料费、机械使用费、管理费、利润,并考虑与此项目有关的风险因素等一切费用,结算时不再调整。投标单位对措施费用的投标报价,除工程量清单所列措施项目外,还应根据招标文件、补充招标文件的要求及自身拟订的本工程施工组织设计、施工方案以及工程现场的实际情况和投标单位的施工经验、投标单位本企业的实际情况等增列项目并报价,已单独列项的措施项目费用的报价,投标单位应充分考虑施工现场的具体情况自主报价,未单独列项的措施费用视为已包括在综合单价中。</w:t>
            </w:r>
          </w:p>
          <w:p w14:paraId="061493FD">
            <w:pPr>
              <w:snapToGrid w:val="0"/>
              <w:spacing w:line="360" w:lineRule="auto"/>
              <w:ind w:left="479" w:leftChars="228"/>
              <w:rPr>
                <w:rFonts w:ascii="宋体" w:hAnsi="宋体" w:cs="宋体"/>
                <w:sz w:val="24"/>
              </w:rPr>
            </w:pPr>
            <w:r>
              <w:rPr>
                <w:rFonts w:hint="eastAsia" w:ascii="宋体" w:hAnsi="宋体" w:cs="宋体"/>
                <w:sz w:val="24"/>
              </w:rPr>
              <w:t>1</w:t>
            </w:r>
            <w:r>
              <w:rPr>
                <w:rFonts w:hint="eastAsia" w:ascii="宋体" w:hAnsi="宋体" w:cs="宋体"/>
                <w:sz w:val="24"/>
                <w:lang w:val="en-US" w:eastAsia="zh-CN"/>
              </w:rPr>
              <w:t>9</w:t>
            </w:r>
            <w:r>
              <w:rPr>
                <w:rFonts w:hint="eastAsia" w:ascii="宋体" w:hAnsi="宋体" w:cs="宋体"/>
                <w:sz w:val="24"/>
              </w:rPr>
              <w:t>.投标报价要充分考虑施工过程中不可避免的赶工期增加费,结算时不增加此部分费用。</w:t>
            </w:r>
          </w:p>
          <w:p w14:paraId="6A0508AD">
            <w:pPr>
              <w:snapToGrid w:val="0"/>
              <w:spacing w:line="360" w:lineRule="auto"/>
              <w:ind w:left="479" w:leftChars="228"/>
              <w:rPr>
                <w:rFonts w:hint="eastAsia" w:ascii="宋体" w:hAnsi="宋体" w:cs="宋体"/>
                <w:sz w:val="24"/>
              </w:rPr>
            </w:pPr>
            <w:r>
              <w:rPr>
                <w:rFonts w:hint="eastAsia" w:ascii="宋体" w:hAnsi="宋体" w:cs="宋体"/>
                <w:sz w:val="24"/>
                <w:lang w:val="en-US" w:eastAsia="zh-CN"/>
              </w:rPr>
              <w:t>20</w:t>
            </w:r>
            <w:r>
              <w:rPr>
                <w:rFonts w:hint="eastAsia" w:ascii="宋体" w:hAnsi="宋体" w:cs="宋体"/>
                <w:sz w:val="24"/>
              </w:rPr>
              <w:t>.投标单位在投标报价时需要综合考虑检查、临时封堵、技术参数测定等为完成本工程项目而发生的所有费用。有清单子目的单独报价，没有单列清单项目的应综合考虑在相应的清单报价中，结算时不再增加此类费用。</w:t>
            </w:r>
          </w:p>
          <w:p w14:paraId="265C5288">
            <w:pPr>
              <w:snapToGrid w:val="0"/>
              <w:spacing w:line="360" w:lineRule="auto"/>
              <w:ind w:left="479" w:leftChars="228"/>
              <w:rPr>
                <w:rFonts w:hint="eastAsia" w:ascii="宋体" w:hAnsi="宋体" w:cs="宋体"/>
                <w:sz w:val="24"/>
                <w:lang w:val="en-US" w:eastAsia="zh-CN"/>
              </w:rPr>
            </w:pPr>
            <w:r>
              <w:rPr>
                <w:rFonts w:hint="eastAsia" w:ascii="宋体" w:hAnsi="宋体" w:cs="宋体"/>
                <w:sz w:val="24"/>
                <w:lang w:val="en-US" w:eastAsia="zh-CN"/>
              </w:rPr>
              <w:t>21</w:t>
            </w:r>
            <w:r>
              <w:rPr>
                <w:rFonts w:hint="eastAsia" w:ascii="宋体" w:hAnsi="宋体" w:cs="宋体"/>
                <w:sz w:val="24"/>
              </w:rPr>
              <w:t>. 本项目拆除的可利旧材料及设备归建设单位所有，施工单位负责</w:t>
            </w:r>
            <w:r>
              <w:rPr>
                <w:rFonts w:hint="eastAsia" w:ascii="宋体" w:hAnsi="宋体" w:cs="宋体"/>
                <w:sz w:val="24"/>
                <w:lang w:eastAsia="zh-CN"/>
              </w:rPr>
              <w:t>吊装</w:t>
            </w:r>
            <w:r>
              <w:rPr>
                <w:rFonts w:hint="eastAsia" w:ascii="宋体" w:hAnsi="宋体" w:cs="宋体"/>
                <w:sz w:val="24"/>
              </w:rPr>
              <w:t>拆除、清理、搬运</w:t>
            </w:r>
            <w:r>
              <w:rPr>
                <w:rFonts w:hint="eastAsia" w:ascii="宋体" w:hAnsi="宋体" w:cs="宋体"/>
                <w:sz w:val="24"/>
                <w:lang w:eastAsia="zh-CN"/>
              </w:rPr>
              <w:t>至甲方</w:t>
            </w:r>
            <w:r>
              <w:rPr>
                <w:rFonts w:hint="eastAsia" w:ascii="宋体" w:hAnsi="宋体" w:cs="宋体"/>
                <w:sz w:val="24"/>
                <w:lang w:val="en-US" w:eastAsia="zh-CN"/>
              </w:rPr>
              <w:t>指定</w:t>
            </w:r>
            <w:r>
              <w:rPr>
                <w:rFonts w:hint="eastAsia" w:ascii="宋体" w:hAnsi="宋体" w:cs="宋体"/>
                <w:sz w:val="24"/>
                <w:lang w:eastAsia="zh-CN"/>
              </w:rPr>
              <w:t>仓库，</w:t>
            </w:r>
            <w:r>
              <w:rPr>
                <w:rFonts w:hint="eastAsia" w:ascii="宋体" w:hAnsi="宋体" w:cs="宋体"/>
                <w:sz w:val="24"/>
              </w:rPr>
              <w:t>投标单位在投标报价时</w:t>
            </w:r>
            <w:r>
              <w:rPr>
                <w:rFonts w:hint="eastAsia" w:ascii="宋体" w:hAnsi="宋体" w:cs="宋体"/>
                <w:sz w:val="24"/>
                <w:lang w:eastAsia="zh-CN"/>
              </w:rPr>
              <w:t>应综合考虑此项费用，结算时不</w:t>
            </w:r>
            <w:r>
              <w:rPr>
                <w:rFonts w:hint="eastAsia" w:ascii="宋体" w:hAnsi="宋体" w:cs="宋体"/>
                <w:sz w:val="24"/>
                <w:lang w:val="en-US" w:eastAsia="zh-CN"/>
              </w:rPr>
              <w:t>再</w:t>
            </w:r>
            <w:r>
              <w:rPr>
                <w:rFonts w:hint="eastAsia" w:ascii="宋体" w:hAnsi="宋体" w:cs="宋体"/>
                <w:sz w:val="24"/>
                <w:lang w:eastAsia="zh-CN"/>
              </w:rPr>
              <w:t>调整。</w:t>
            </w:r>
          </w:p>
          <w:p w14:paraId="162593D7">
            <w:pPr>
              <w:snapToGrid w:val="0"/>
              <w:spacing w:line="360" w:lineRule="auto"/>
              <w:ind w:left="479" w:leftChars="228"/>
              <w:rPr>
                <w:rFonts w:hint="eastAsia" w:ascii="宋体" w:hAnsi="宋体" w:cs="宋体"/>
                <w:sz w:val="24"/>
                <w:lang w:eastAsia="zh-CN"/>
              </w:rPr>
            </w:pPr>
            <w:r>
              <w:rPr>
                <w:rFonts w:hint="eastAsia" w:ascii="宋体" w:hAnsi="宋体" w:cs="宋体"/>
                <w:sz w:val="24"/>
                <w:lang w:val="en-US" w:eastAsia="zh-CN"/>
              </w:rPr>
              <w:t>22</w:t>
            </w:r>
            <w:r>
              <w:rPr>
                <w:rFonts w:hint="eastAsia" w:ascii="宋体" w:hAnsi="宋体" w:cs="宋体"/>
                <w:sz w:val="24"/>
              </w:rPr>
              <w:t>.结算时，土方外运的运距</w:t>
            </w:r>
            <w:r>
              <w:rPr>
                <w:rFonts w:hint="eastAsia" w:ascii="宋体" w:hAnsi="宋体" w:cs="宋体"/>
                <w:sz w:val="24"/>
                <w:lang w:val="en-US" w:eastAsia="zh-CN"/>
              </w:rPr>
              <w:t>不再调整</w:t>
            </w:r>
            <w:r>
              <w:rPr>
                <w:rFonts w:hint="eastAsia" w:ascii="宋体" w:hAnsi="宋体" w:cs="宋体"/>
                <w:sz w:val="24"/>
              </w:rPr>
              <w:t>，超</w:t>
            </w:r>
            <w:r>
              <w:rPr>
                <w:rFonts w:hint="eastAsia" w:ascii="宋体" w:hAnsi="宋体" w:cs="宋体"/>
                <w:sz w:val="24"/>
                <w:lang w:val="en-US" w:eastAsia="zh-CN"/>
              </w:rPr>
              <w:t>出</w:t>
            </w:r>
            <w:r>
              <w:rPr>
                <w:rFonts w:hint="eastAsia" w:ascii="宋体" w:hAnsi="宋体" w:cs="宋体"/>
                <w:sz w:val="24"/>
              </w:rPr>
              <w:t>部分由投标单位在报价中综合考虑</w:t>
            </w:r>
            <w:r>
              <w:rPr>
                <w:rFonts w:hint="eastAsia" w:ascii="宋体" w:hAnsi="宋体" w:cs="宋体"/>
                <w:sz w:val="24"/>
                <w:lang w:eastAsia="zh-CN"/>
              </w:rPr>
              <w:t>。</w:t>
            </w:r>
          </w:p>
          <w:p w14:paraId="6EADDA91">
            <w:pPr>
              <w:snapToGrid w:val="0"/>
              <w:spacing w:line="360" w:lineRule="auto"/>
              <w:ind w:left="479" w:leftChars="228"/>
              <w:rPr>
                <w:rFonts w:hint="eastAsia" w:ascii="宋体" w:hAnsi="宋体" w:cs="宋体"/>
                <w:sz w:val="24"/>
                <w:lang w:val="en-US" w:eastAsia="zh-CN"/>
              </w:rPr>
            </w:pPr>
            <w:r>
              <w:rPr>
                <w:rFonts w:hint="eastAsia" w:ascii="宋体" w:hAnsi="宋体" w:cs="宋体"/>
                <w:sz w:val="24"/>
                <w:lang w:val="en-US" w:eastAsia="zh-CN"/>
              </w:rPr>
              <w:t>23.暂列金额按照招标文件提供的造价计入，正常取费。</w:t>
            </w:r>
          </w:p>
          <w:p w14:paraId="4CD978B3">
            <w:pPr>
              <w:snapToGrid w:val="0"/>
              <w:spacing w:line="360" w:lineRule="auto"/>
              <w:ind w:left="479" w:leftChars="228"/>
              <w:rPr>
                <w:rFonts w:hint="eastAsia" w:ascii="宋体" w:hAnsi="宋体" w:cs="宋体"/>
                <w:sz w:val="24"/>
                <w:lang w:val="en-US" w:eastAsia="zh-CN"/>
              </w:rPr>
            </w:pPr>
            <w:r>
              <w:rPr>
                <w:rFonts w:hint="eastAsia" w:ascii="宋体" w:hAnsi="宋体" w:cs="宋体"/>
                <w:sz w:val="24"/>
                <w:lang w:val="en-US" w:eastAsia="zh-CN"/>
              </w:rPr>
              <w:t>24.甲供材料：管道、管件、阀门、法兰、井盖等，具体详见甲供材料表。</w:t>
            </w:r>
          </w:p>
          <w:p w14:paraId="68DEC3C2">
            <w:pPr>
              <w:pStyle w:val="6"/>
              <w:rPr>
                <w:rFonts w:hint="default" w:ascii="宋体" w:hAnsi="宋体" w:eastAsia="宋体" w:cs="宋体"/>
                <w:kern w:val="2"/>
                <w:sz w:val="24"/>
                <w:szCs w:val="24"/>
                <w:lang w:val="en-US" w:eastAsia="zh-CN" w:bidi="ar-SA"/>
              </w:rPr>
            </w:pPr>
          </w:p>
          <w:p w14:paraId="5196E800">
            <w:pPr>
              <w:snapToGrid w:val="0"/>
              <w:spacing w:line="360" w:lineRule="auto"/>
              <w:ind w:firstLine="480" w:firstLineChars="200"/>
              <w:rPr>
                <w:rFonts w:ascii="宋体" w:hAnsi="宋体" w:cs="宋体"/>
                <w:sz w:val="24"/>
              </w:rPr>
            </w:pPr>
          </w:p>
        </w:tc>
      </w:tr>
    </w:tbl>
    <w:p w14:paraId="2E0AB1CA">
      <w:pPr>
        <w:snapToGrid w:val="0"/>
        <w:spacing w:line="360" w:lineRule="auto"/>
      </w:pPr>
    </w:p>
    <w:sectPr>
      <w:headerReference r:id="rId3" w:type="default"/>
      <w:pgSz w:w="11906" w:h="16838"/>
      <w:pgMar w:top="1440" w:right="1134" w:bottom="1440"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9A839">
    <w:pPr>
      <w:jc w:val="center"/>
      <w:rPr>
        <w:rFonts w:ascii="宋体" w:hAnsi="宋体"/>
        <w:b/>
        <w:sz w:val="44"/>
        <w:szCs w:val="44"/>
      </w:rPr>
    </w:pPr>
    <w:r>
      <w:rPr>
        <w:rFonts w:hint="eastAsia" w:ascii="宋体" w:hAnsi="宋体"/>
        <w:b/>
        <w:sz w:val="44"/>
        <w:szCs w:val="44"/>
      </w:rPr>
      <w:t>总  说  明</w:t>
    </w:r>
  </w:p>
  <w:p w14:paraId="21912E3D">
    <w:pPr>
      <w:rPr>
        <w:rFonts w:hint="eastAsia" w:ascii="宋体" w:hAnsi="宋体"/>
        <w:sz w:val="28"/>
        <w:szCs w:val="28"/>
        <w:lang w:val="en-US" w:eastAsia="zh-CN"/>
      </w:rPr>
    </w:pPr>
    <w:r>
      <w:rPr>
        <w:rFonts w:hint="eastAsia" w:ascii="宋体" w:hAnsi="宋体"/>
        <w:sz w:val="24"/>
      </w:rPr>
      <w:t>工程名称：</w:t>
    </w:r>
    <w:r>
      <w:rPr>
        <w:rFonts w:hint="eastAsia" w:ascii="宋体" w:hAnsi="宋体"/>
        <w:sz w:val="28"/>
        <w:szCs w:val="28"/>
        <w:lang w:val="en-US" w:eastAsia="zh-CN"/>
      </w:rPr>
      <w:t>金苹果小区、国安小区等12个小区区间管网改造工程（昌盛花园）</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xMTlkMDljN2Q2MWYxZmFlNWE1OGM3NjM4ZmYzYTMifQ=="/>
  </w:docVars>
  <w:rsids>
    <w:rsidRoot w:val="00A848A4"/>
    <w:rsid w:val="0001451E"/>
    <w:rsid w:val="00033CE7"/>
    <w:rsid w:val="00034A8A"/>
    <w:rsid w:val="000A0AF9"/>
    <w:rsid w:val="000A7A81"/>
    <w:rsid w:val="00135ADD"/>
    <w:rsid w:val="00140BC2"/>
    <w:rsid w:val="00150613"/>
    <w:rsid w:val="001B6310"/>
    <w:rsid w:val="001E00BE"/>
    <w:rsid w:val="00212A5B"/>
    <w:rsid w:val="002923B5"/>
    <w:rsid w:val="002E6137"/>
    <w:rsid w:val="00306248"/>
    <w:rsid w:val="00335DB6"/>
    <w:rsid w:val="00343B2D"/>
    <w:rsid w:val="003A3F68"/>
    <w:rsid w:val="003C7D65"/>
    <w:rsid w:val="003E07C1"/>
    <w:rsid w:val="00447DF3"/>
    <w:rsid w:val="004A16B3"/>
    <w:rsid w:val="004F2958"/>
    <w:rsid w:val="005268CD"/>
    <w:rsid w:val="005341F4"/>
    <w:rsid w:val="0054302A"/>
    <w:rsid w:val="005614EB"/>
    <w:rsid w:val="005747D0"/>
    <w:rsid w:val="005C5863"/>
    <w:rsid w:val="005D3C02"/>
    <w:rsid w:val="00644649"/>
    <w:rsid w:val="006925A9"/>
    <w:rsid w:val="006B1F5B"/>
    <w:rsid w:val="00780659"/>
    <w:rsid w:val="007B2BCB"/>
    <w:rsid w:val="008234AA"/>
    <w:rsid w:val="008319CB"/>
    <w:rsid w:val="0087066C"/>
    <w:rsid w:val="00881C92"/>
    <w:rsid w:val="008A73A2"/>
    <w:rsid w:val="008B5930"/>
    <w:rsid w:val="008F4B16"/>
    <w:rsid w:val="00922FDD"/>
    <w:rsid w:val="00924FBE"/>
    <w:rsid w:val="0097755D"/>
    <w:rsid w:val="009B1215"/>
    <w:rsid w:val="009C147B"/>
    <w:rsid w:val="009D41F0"/>
    <w:rsid w:val="009E6873"/>
    <w:rsid w:val="00A2162E"/>
    <w:rsid w:val="00A234FC"/>
    <w:rsid w:val="00A476A2"/>
    <w:rsid w:val="00A61E31"/>
    <w:rsid w:val="00A64B30"/>
    <w:rsid w:val="00A75FC1"/>
    <w:rsid w:val="00A848A4"/>
    <w:rsid w:val="00B10873"/>
    <w:rsid w:val="00B146BD"/>
    <w:rsid w:val="00B422F7"/>
    <w:rsid w:val="00B45195"/>
    <w:rsid w:val="00B65736"/>
    <w:rsid w:val="00BA565B"/>
    <w:rsid w:val="00BE6239"/>
    <w:rsid w:val="00C22635"/>
    <w:rsid w:val="00CA7143"/>
    <w:rsid w:val="00CC6496"/>
    <w:rsid w:val="00CE17F8"/>
    <w:rsid w:val="00D075CA"/>
    <w:rsid w:val="00D1554B"/>
    <w:rsid w:val="00D94B99"/>
    <w:rsid w:val="00D97D14"/>
    <w:rsid w:val="00DA2882"/>
    <w:rsid w:val="00DF01B0"/>
    <w:rsid w:val="00F06C40"/>
    <w:rsid w:val="00F80F50"/>
    <w:rsid w:val="00FB61F2"/>
    <w:rsid w:val="00FD29B3"/>
    <w:rsid w:val="012113F6"/>
    <w:rsid w:val="026D2722"/>
    <w:rsid w:val="0412366C"/>
    <w:rsid w:val="04171E0B"/>
    <w:rsid w:val="041D2C26"/>
    <w:rsid w:val="046E5ABD"/>
    <w:rsid w:val="0476078C"/>
    <w:rsid w:val="05127B4F"/>
    <w:rsid w:val="06C76C7A"/>
    <w:rsid w:val="07B57A88"/>
    <w:rsid w:val="095603CD"/>
    <w:rsid w:val="0AE1353D"/>
    <w:rsid w:val="0B865355"/>
    <w:rsid w:val="0B923CFA"/>
    <w:rsid w:val="0D8F0C7D"/>
    <w:rsid w:val="0DDF588C"/>
    <w:rsid w:val="0F2F1860"/>
    <w:rsid w:val="0F933B9D"/>
    <w:rsid w:val="0FB224C0"/>
    <w:rsid w:val="0FC56207"/>
    <w:rsid w:val="11782033"/>
    <w:rsid w:val="129F3280"/>
    <w:rsid w:val="12EC5240"/>
    <w:rsid w:val="15227C0C"/>
    <w:rsid w:val="171E552A"/>
    <w:rsid w:val="174A7859"/>
    <w:rsid w:val="17D30B9C"/>
    <w:rsid w:val="18F83DFF"/>
    <w:rsid w:val="1AB53561"/>
    <w:rsid w:val="1B20231F"/>
    <w:rsid w:val="1B6A4C5B"/>
    <w:rsid w:val="1B972626"/>
    <w:rsid w:val="1C613B77"/>
    <w:rsid w:val="1E195666"/>
    <w:rsid w:val="1E6F19E0"/>
    <w:rsid w:val="1EDE31E4"/>
    <w:rsid w:val="1F755A95"/>
    <w:rsid w:val="1F8450DB"/>
    <w:rsid w:val="221A64F2"/>
    <w:rsid w:val="22D811DC"/>
    <w:rsid w:val="22F70944"/>
    <w:rsid w:val="230A7F34"/>
    <w:rsid w:val="23C06211"/>
    <w:rsid w:val="244B6640"/>
    <w:rsid w:val="24843748"/>
    <w:rsid w:val="277D11B2"/>
    <w:rsid w:val="27997CE3"/>
    <w:rsid w:val="28D259D5"/>
    <w:rsid w:val="2A8D5D92"/>
    <w:rsid w:val="2C1E3259"/>
    <w:rsid w:val="2C974AB5"/>
    <w:rsid w:val="2D5C44F5"/>
    <w:rsid w:val="2D7D51E9"/>
    <w:rsid w:val="2D844B9E"/>
    <w:rsid w:val="2D9238EF"/>
    <w:rsid w:val="2DEB678A"/>
    <w:rsid w:val="2E4167D1"/>
    <w:rsid w:val="317F1658"/>
    <w:rsid w:val="342E1F62"/>
    <w:rsid w:val="34381982"/>
    <w:rsid w:val="35B50461"/>
    <w:rsid w:val="37771194"/>
    <w:rsid w:val="377B6536"/>
    <w:rsid w:val="37BA3B0D"/>
    <w:rsid w:val="37E312B6"/>
    <w:rsid w:val="37F744C0"/>
    <w:rsid w:val="38F30E76"/>
    <w:rsid w:val="399C171C"/>
    <w:rsid w:val="3A7925D8"/>
    <w:rsid w:val="3ACA601A"/>
    <w:rsid w:val="3B511B1E"/>
    <w:rsid w:val="3D323E6D"/>
    <w:rsid w:val="3DFB2F75"/>
    <w:rsid w:val="412B4769"/>
    <w:rsid w:val="421C57E9"/>
    <w:rsid w:val="42671257"/>
    <w:rsid w:val="42BF2893"/>
    <w:rsid w:val="43151D0D"/>
    <w:rsid w:val="43921E4E"/>
    <w:rsid w:val="43A14429"/>
    <w:rsid w:val="468B762E"/>
    <w:rsid w:val="473025FD"/>
    <w:rsid w:val="4A6B73DA"/>
    <w:rsid w:val="4A7C340B"/>
    <w:rsid w:val="4AFA7B24"/>
    <w:rsid w:val="4C2C04FD"/>
    <w:rsid w:val="4D5D12CF"/>
    <w:rsid w:val="4DD25CBE"/>
    <w:rsid w:val="4EC50692"/>
    <w:rsid w:val="4F4C553B"/>
    <w:rsid w:val="541C6A3D"/>
    <w:rsid w:val="54D42082"/>
    <w:rsid w:val="57480C4D"/>
    <w:rsid w:val="579544E0"/>
    <w:rsid w:val="5AF820D3"/>
    <w:rsid w:val="5C41208D"/>
    <w:rsid w:val="5F612609"/>
    <w:rsid w:val="60D07D7A"/>
    <w:rsid w:val="61812E22"/>
    <w:rsid w:val="62165C60"/>
    <w:rsid w:val="623C4F9B"/>
    <w:rsid w:val="63695C75"/>
    <w:rsid w:val="66F67E0E"/>
    <w:rsid w:val="676A6106"/>
    <w:rsid w:val="677E5FB8"/>
    <w:rsid w:val="68C70871"/>
    <w:rsid w:val="6A1606E2"/>
    <w:rsid w:val="6A88030A"/>
    <w:rsid w:val="6AC47AC2"/>
    <w:rsid w:val="6C010A69"/>
    <w:rsid w:val="6D172EB7"/>
    <w:rsid w:val="6E022FC4"/>
    <w:rsid w:val="6EE826DD"/>
    <w:rsid w:val="71E7597F"/>
    <w:rsid w:val="75594368"/>
    <w:rsid w:val="768A0573"/>
    <w:rsid w:val="768A7828"/>
    <w:rsid w:val="776B26F8"/>
    <w:rsid w:val="77A45665"/>
    <w:rsid w:val="77BD49A3"/>
    <w:rsid w:val="78745037"/>
    <w:rsid w:val="78D6184E"/>
    <w:rsid w:val="79DA65D6"/>
    <w:rsid w:val="7AC9463B"/>
    <w:rsid w:val="7B4F58E7"/>
    <w:rsid w:val="7CEB0C7B"/>
    <w:rsid w:val="7CF16C56"/>
    <w:rsid w:val="7E8D29AE"/>
    <w:rsid w:val="7ED93E46"/>
    <w:rsid w:val="7F534B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lang w:eastAsia="en-US"/>
    </w:rPr>
  </w:style>
  <w:style w:type="paragraph" w:styleId="3">
    <w:name w:val="annotation text"/>
    <w:basedOn w:val="1"/>
    <w:autoRedefine/>
    <w:qFormat/>
    <w:uiPriority w:val="0"/>
    <w:pPr>
      <w:jc w:val="left"/>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Body Text Indent 3"/>
    <w:basedOn w:val="1"/>
    <w:autoRedefine/>
    <w:qFormat/>
    <w:uiPriority w:val="0"/>
    <w:pPr>
      <w:spacing w:after="120"/>
      <w:ind w:left="420" w:leftChars="200"/>
    </w:pPr>
    <w:rPr>
      <w:sz w:val="16"/>
      <w:szCs w:val="16"/>
    </w:rPr>
  </w:style>
  <w:style w:type="paragraph" w:styleId="7">
    <w:name w:val="Normal (Web)"/>
    <w:basedOn w:val="1"/>
    <w:autoRedefine/>
    <w:qFormat/>
    <w:uiPriority w:val="0"/>
    <w:pPr>
      <w:spacing w:beforeAutospacing="1" w:afterAutospacing="1"/>
      <w:jc w:val="left"/>
    </w:pPr>
    <w:rPr>
      <w:kern w:val="0"/>
      <w:sz w:val="24"/>
    </w:rPr>
  </w:style>
  <w:style w:type="character" w:styleId="10">
    <w:name w:val="page number"/>
    <w:qFormat/>
    <w:uiPriority w:val="0"/>
  </w:style>
  <w:style w:type="paragraph" w:customStyle="1" w:styleId="11">
    <w:name w:val="列出段落1"/>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4168</Words>
  <Characters>4277</Characters>
  <Lines>28</Lines>
  <Paragraphs>7</Paragraphs>
  <TotalTime>9</TotalTime>
  <ScaleCrop>false</ScaleCrop>
  <LinksUpToDate>false</LinksUpToDate>
  <CharactersWithSpaces>4279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2018-12-19T10:10:00Z</dcterms:created>
  <dc:creator>~天空湛蓝~</dc:creator>
  <cp:lastModifiedBy>飞舞的裙摆</cp:lastModifiedBy>
  <dcterms:modified xsi:type="dcterms:W3CDTF">2026-07-27T08:53:33Z</dcterms:modified>
  <dc:title>一、报价人须知：</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89F59989534649019A6A327CD32363C6_13</vt:lpwstr>
  </property>
  <property fmtid="{D5CDD505-2E9C-101B-9397-08002B2CF9AE}" pid="4" name="KSOTemplateDocerSaveRecord">
    <vt:lpwstr>eyJoZGlkIjoiNzc2YmNkYzQzNWJlNWVjNzk2ZTZmN2ZkZWQ5ZDgxNmMiLCJ1c2VySWQiOiI5NjEwMzQzNDcifQ==</vt:lpwstr>
  </property>
</Properties>
</file>