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lang w:val="en-US" w:eastAsia="zh-CN"/>
        </w:rPr>
      </w:pPr>
      <w:r>
        <w:rPr>
          <w:rFonts w:hint="eastAsia" w:eastAsia="方正小标宋简体" w:cs="宋体"/>
          <w:color w:val="auto"/>
          <w:sz w:val="36"/>
          <w:szCs w:val="36"/>
          <w:lang w:val="en-US" w:eastAsia="zh-CN"/>
        </w:rPr>
        <w:t xml:space="preserve">  </w:t>
      </w:r>
    </w:p>
    <w:p w14:paraId="0BFA9720">
      <w:pPr>
        <w:spacing w:line="360" w:lineRule="exact"/>
        <w:rPr>
          <w:rFonts w:ascii="宋体" w:hAnsi="宋体"/>
          <w:color w:val="auto"/>
          <w:szCs w:val="21"/>
          <w:highlight w:val="white"/>
        </w:rPr>
      </w:pPr>
    </w:p>
    <w:p w14:paraId="2582496B">
      <w:pPr>
        <w:spacing w:line="360" w:lineRule="exact"/>
        <w:rPr>
          <w:rFonts w:ascii="宋体" w:hAnsi="宋体"/>
          <w:color w:val="auto"/>
          <w:szCs w:val="21"/>
          <w:highlight w:val="white"/>
        </w:rPr>
      </w:pPr>
    </w:p>
    <w:p w14:paraId="1FC5309A">
      <w:pPr>
        <w:spacing w:line="360" w:lineRule="auto"/>
        <w:ind w:firstLine="565" w:firstLineChars="201"/>
        <w:jc w:val="center"/>
        <w:rPr>
          <w:rFonts w:ascii="宋体" w:hAnsi="宋体"/>
          <w:b/>
          <w:bCs/>
          <w:color w:val="auto"/>
          <w:kern w:val="0"/>
          <w:sz w:val="28"/>
          <w:szCs w:val="28"/>
        </w:rPr>
      </w:pPr>
    </w:p>
    <w:p w14:paraId="27E9EFD3">
      <w:pPr>
        <w:snapToGrid w:val="0"/>
        <w:jc w:val="center"/>
        <w:rPr>
          <w:rFonts w:hint="default"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乳山市金岭矿业科技有限公司</w:t>
      </w:r>
    </w:p>
    <w:p w14:paraId="4D9958AA">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lang w:eastAsia="zh-CN"/>
        </w:rPr>
        <w:t>自愿公开招标</w:t>
      </w:r>
      <w:r>
        <w:rPr>
          <w:rFonts w:hint="eastAsia" w:ascii="方正小标宋简体" w:hAnsi="黑体" w:eastAsia="方正小标宋简体" w:cs="方正小标宋简体"/>
          <w:color w:val="auto"/>
          <w:kern w:val="0"/>
          <w:sz w:val="72"/>
          <w:szCs w:val="52"/>
        </w:rPr>
        <w:t>文件</w:t>
      </w:r>
    </w:p>
    <w:p w14:paraId="4189A972">
      <w:pPr>
        <w:spacing w:line="360" w:lineRule="auto"/>
        <w:ind w:firstLine="723" w:firstLineChars="201"/>
        <w:jc w:val="left"/>
        <w:rPr>
          <w:rFonts w:ascii="宋体" w:hAnsi="宋体"/>
          <w:color w:val="auto"/>
          <w:sz w:val="36"/>
          <w:szCs w:val="36"/>
        </w:rPr>
      </w:pPr>
    </w:p>
    <w:p w14:paraId="0E6353B8">
      <w:pPr>
        <w:pStyle w:val="12"/>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乳山市白沙滩镇潘家、冯家镇卧龙饰面用花岗岩矿两矿区可行性研究报告、安全预评价及安全设施设计</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WHJX-ZB-2026-055</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包段名称：</w:t>
      </w:r>
      <w:r>
        <w:rPr>
          <w:rFonts w:hint="eastAsia" w:ascii="仿宋_GB2312" w:hAnsi="仿宋" w:eastAsia="仿宋_GB2312" w:cs="方正楷体简体"/>
          <w:color w:val="auto"/>
          <w:sz w:val="36"/>
          <w:szCs w:val="36"/>
          <w:lang w:eastAsia="zh-CN"/>
        </w:rPr>
        <w:t>安全预评价（</w:t>
      </w:r>
      <w:r>
        <w:rPr>
          <w:rFonts w:hint="eastAsia" w:ascii="仿宋_GB2312" w:hAnsi="仿宋" w:eastAsia="仿宋_GB2312" w:cs="方正楷体简体"/>
          <w:sz w:val="36"/>
          <w:szCs w:val="36"/>
        </w:rPr>
        <w:t>第</w:t>
      </w:r>
      <w:r>
        <w:rPr>
          <w:rFonts w:ascii="仿宋_GB2312" w:hAnsi="仿宋" w:eastAsia="仿宋_GB2312" w:cs="方正楷体简体"/>
          <w:sz w:val="36"/>
          <w:szCs w:val="36"/>
        </w:rPr>
        <w:t>A</w:t>
      </w:r>
      <w:r>
        <w:rPr>
          <w:rFonts w:hint="eastAsia" w:ascii="仿宋_GB2312" w:hAnsi="仿宋" w:eastAsia="仿宋_GB2312" w:cs="方正楷体简体"/>
          <w:sz w:val="36"/>
          <w:szCs w:val="36"/>
        </w:rPr>
        <w:t>包，共</w:t>
      </w:r>
      <w:r>
        <w:rPr>
          <w:rFonts w:hint="eastAsia" w:ascii="仿宋_GB2312" w:hAnsi="仿宋" w:eastAsia="仿宋_GB2312" w:cs="方正楷体简体"/>
          <w:sz w:val="36"/>
          <w:szCs w:val="36"/>
          <w:lang w:eastAsia="zh-CN"/>
        </w:rPr>
        <w:t>2</w:t>
      </w:r>
      <w:r>
        <w:rPr>
          <w:rFonts w:hint="eastAsia" w:ascii="仿宋_GB2312" w:hAnsi="仿宋" w:eastAsia="仿宋_GB2312" w:cs="方正楷体简体"/>
          <w:sz w:val="36"/>
          <w:szCs w:val="36"/>
        </w:rPr>
        <w:t>包</w:t>
      </w:r>
      <w:r>
        <w:rPr>
          <w:rFonts w:hint="eastAsia" w:ascii="仿宋_GB2312" w:hAnsi="仿宋" w:eastAsia="仿宋_GB2312" w:cs="方正楷体简体"/>
          <w:color w:val="auto"/>
          <w:sz w:val="36"/>
          <w:szCs w:val="36"/>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采购方式：</w:t>
      </w:r>
      <w:r>
        <w:rPr>
          <w:rFonts w:hint="eastAsia" w:ascii="仿宋_GB2312" w:hAnsi="仿宋" w:eastAsia="仿宋_GB2312" w:cs="方正楷体简体"/>
          <w:color w:val="auto"/>
          <w:sz w:val="36"/>
          <w:szCs w:val="36"/>
          <w:lang w:eastAsia="zh-CN"/>
        </w:rPr>
        <w:t>自愿公开招标</w:t>
      </w:r>
    </w:p>
    <w:p w14:paraId="14835177">
      <w:pPr>
        <w:spacing w:line="360" w:lineRule="auto"/>
        <w:rPr>
          <w:rFonts w:ascii="仿宋_GB2312" w:hAnsi="仿宋" w:eastAsia="仿宋_GB2312" w:cs="方正楷体简体"/>
          <w:b/>
          <w:color w:val="auto"/>
          <w:sz w:val="16"/>
          <w:szCs w:val="36"/>
        </w:rPr>
      </w:pPr>
    </w:p>
    <w:p w14:paraId="14F2B12E">
      <w:pPr>
        <w:spacing w:line="360" w:lineRule="auto"/>
        <w:ind w:firstLine="363" w:firstLineChars="201"/>
        <w:jc w:val="center"/>
        <w:rPr>
          <w:rFonts w:ascii="仿宋_GB2312" w:hAnsi="仿宋" w:eastAsia="仿宋_GB2312" w:cs="方正楷体简体"/>
          <w:b/>
          <w:color w:val="auto"/>
          <w:sz w:val="18"/>
          <w:szCs w:val="36"/>
        </w:rPr>
      </w:pPr>
    </w:p>
    <w:p w14:paraId="008A357F">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hint="eastAsia" w:ascii="仿宋_GB2312" w:hAnsi="仿宋" w:eastAsia="仿宋_GB2312" w:cs="方正楷体简体"/>
          <w:color w:val="auto"/>
          <w:sz w:val="36"/>
          <w:szCs w:val="36"/>
          <w:lang w:eastAsia="zh-CN"/>
        </w:rPr>
        <w:t>2026年0</w:t>
      </w:r>
      <w:r>
        <w:rPr>
          <w:rFonts w:hint="eastAsia" w:ascii="仿宋_GB2312" w:hAnsi="仿宋" w:eastAsia="仿宋_GB2312" w:cs="方正楷体简体"/>
          <w:color w:val="auto"/>
          <w:sz w:val="36"/>
          <w:szCs w:val="36"/>
          <w:lang w:val="en-US" w:eastAsia="zh-CN"/>
        </w:rPr>
        <w:t>8</w:t>
      </w:r>
      <w:r>
        <w:rPr>
          <w:rFonts w:hint="eastAsia" w:ascii="仿宋_GB2312" w:hAnsi="仿宋" w:eastAsia="仿宋_GB2312" w:cs="方正楷体简体"/>
          <w:color w:val="auto"/>
          <w:sz w:val="36"/>
          <w:szCs w:val="36"/>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3C63A567">
      <w:pPr>
        <w:spacing w:line="560" w:lineRule="exact"/>
        <w:ind w:firstLine="562" w:firstLineChars="201"/>
        <w:jc w:val="left"/>
        <w:rPr>
          <w:rFonts w:ascii="宋体" w:hAnsi="宋体" w:cs="方正楷体简体"/>
          <w:color w:val="auto"/>
          <w:sz w:val="28"/>
          <w:szCs w:val="28"/>
        </w:rPr>
      </w:pPr>
    </w:p>
    <w:p w14:paraId="22C33214">
      <w:pPr>
        <w:spacing w:line="560" w:lineRule="exact"/>
        <w:ind w:firstLine="562" w:firstLineChars="201"/>
        <w:jc w:val="left"/>
        <w:rPr>
          <w:rFonts w:ascii="宋体" w:hAnsi="宋体" w:cs="方正楷体简体"/>
          <w:color w:val="auto"/>
          <w:sz w:val="28"/>
          <w:szCs w:val="28"/>
        </w:rPr>
      </w:pPr>
    </w:p>
    <w:p w14:paraId="3E543F33">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 xml:space="preserve">第一章   </w:t>
      </w:r>
      <w:r>
        <w:rPr>
          <w:rFonts w:hint="eastAsia" w:ascii="仿宋_GB2312" w:hAnsi="黑体" w:eastAsia="仿宋_GB2312" w:cs="宋体"/>
          <w:b/>
          <w:bCs/>
          <w:caps/>
          <w:color w:val="auto"/>
          <w:sz w:val="28"/>
          <w:szCs w:val="28"/>
          <w:lang w:eastAsia="zh-CN"/>
        </w:rPr>
        <w:t>自愿公开招标</w:t>
      </w:r>
      <w:r>
        <w:rPr>
          <w:rFonts w:hint="eastAsia" w:ascii="仿宋_GB2312" w:hAnsi="黑体" w:eastAsia="仿宋_GB2312" w:cs="宋体"/>
          <w:b/>
          <w:bCs/>
          <w:caps/>
          <w:color w:val="auto"/>
          <w:sz w:val="28"/>
          <w:szCs w:val="28"/>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第三章   </w:t>
      </w:r>
      <w:r>
        <w:rPr>
          <w:rFonts w:hint="eastAsia" w:ascii="仿宋_GB2312" w:hAnsi="黑体" w:eastAsia="仿宋_GB2312" w:cs="宋体"/>
          <w:b/>
          <w:bCs/>
          <w:caps/>
          <w:color w:val="auto"/>
          <w:sz w:val="28"/>
          <w:szCs w:val="28"/>
          <w:lang w:eastAsia="zh-CN"/>
        </w:rPr>
        <w:t>招标</w:t>
      </w:r>
      <w:r>
        <w:rPr>
          <w:rFonts w:hint="eastAsia" w:ascii="仿宋_GB2312" w:hAnsi="黑体" w:eastAsia="仿宋_GB2312" w:cs="宋体"/>
          <w:b/>
          <w:bCs/>
          <w:caps/>
          <w:color w:val="auto"/>
          <w:sz w:val="28"/>
          <w:szCs w:val="28"/>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rPr>
      </w:pPr>
    </w:p>
    <w:p w14:paraId="1F743653">
      <w:pPr>
        <w:rPr>
          <w:rFonts w:ascii="仿宋_GB2312" w:hAnsi="宋体" w:eastAsia="仿宋_GB2312"/>
          <w:b/>
          <w:color w:val="auto"/>
        </w:rPr>
      </w:pPr>
    </w:p>
    <w:p w14:paraId="3D793CB5">
      <w:pPr>
        <w:spacing w:line="560" w:lineRule="exact"/>
        <w:ind w:firstLine="565" w:firstLineChars="201"/>
        <w:jc w:val="left"/>
        <w:rPr>
          <w:rFonts w:ascii="仿宋_GB2312" w:hAnsi="宋体" w:eastAsia="仿宋_GB2312"/>
          <w:b/>
          <w:bCs/>
          <w:caps/>
          <w:color w:val="auto"/>
          <w:sz w:val="28"/>
          <w:szCs w:val="28"/>
        </w:rPr>
      </w:pPr>
    </w:p>
    <w:p w14:paraId="1B4EACA4">
      <w:pPr>
        <w:spacing w:line="560" w:lineRule="exact"/>
        <w:ind w:firstLine="424" w:firstLineChars="151"/>
        <w:jc w:val="left"/>
        <w:rPr>
          <w:rFonts w:ascii="仿宋_GB2312" w:hAnsi="宋体" w:eastAsia="仿宋_GB2312" w:cs="宋体"/>
          <w:b/>
          <w:bCs/>
          <w:caps/>
          <w:color w:val="auto"/>
          <w:sz w:val="28"/>
          <w:szCs w:val="28"/>
        </w:rPr>
      </w:pPr>
    </w:p>
    <w:p w14:paraId="0B6114D2">
      <w:pPr>
        <w:spacing w:line="560" w:lineRule="exact"/>
        <w:ind w:firstLine="424" w:firstLineChars="151"/>
        <w:jc w:val="left"/>
        <w:rPr>
          <w:rFonts w:ascii="仿宋_GB2312" w:hAnsi="宋体" w:eastAsia="仿宋_GB2312"/>
          <w:b/>
          <w:bCs/>
          <w:caps/>
          <w:color w:val="auto"/>
          <w:sz w:val="28"/>
          <w:szCs w:val="28"/>
        </w:rPr>
      </w:pPr>
    </w:p>
    <w:p w14:paraId="3B6B581B">
      <w:pPr>
        <w:rPr>
          <w:rFonts w:ascii="宋体" w:hAnsi="宋体"/>
          <w:color w:val="auto"/>
          <w:kern w:val="0"/>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30"/>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55F8F2A6">
      <w:pPr>
        <w:rPr>
          <w:color w:val="auto"/>
        </w:rPr>
      </w:pPr>
    </w:p>
    <w:p w14:paraId="16819F5F">
      <w:pPr>
        <w:rPr>
          <w:color w:val="auto"/>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乳山市白沙滩镇潘家、冯家镇卧龙饰面用花岗岩矿两矿区可行性研究报告、安全预评价及安全设施设计</w:t>
      </w:r>
      <w:r>
        <w:rPr>
          <w:rFonts w:hint="eastAsia" w:ascii="方正小标宋简体" w:eastAsia="方正小标宋简体"/>
          <w:b/>
          <w:color w:val="auto"/>
          <w:sz w:val="30"/>
          <w:szCs w:val="30"/>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乳山市白沙滩镇潘家、冯家镇卧龙饰面用花岗岩矿两矿区可行性研究报告、安全预评价及安全设施设计</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w:t>
      </w:r>
      <w:r>
        <w:rPr>
          <w:rFonts w:hint="eastAsia" w:ascii="仿宋_GB2312" w:hAnsi="仿宋" w:eastAsia="仿宋_GB2312" w:cs="宋体"/>
          <w:color w:val="auto"/>
          <w:spacing w:val="8"/>
          <w:kern w:val="0"/>
          <w:sz w:val="28"/>
          <w:szCs w:val="28"/>
          <w:u w:val="single"/>
          <w:lang w:eastAsia="zh-CN"/>
        </w:rPr>
        <w:t>威海市公共资源交易网（乳山分中心）</w:t>
      </w:r>
      <w:r>
        <w:rPr>
          <w:rFonts w:hint="eastAsia" w:ascii="仿宋_GB2312" w:hAnsi="仿宋" w:eastAsia="仿宋_GB2312" w:cs="宋体"/>
          <w:color w:val="auto"/>
          <w:spacing w:val="8"/>
          <w:kern w:val="0"/>
          <w:sz w:val="28"/>
          <w:szCs w:val="28"/>
          <w:u w:val="single"/>
        </w:rPr>
        <w:t>首页右侧“</w:t>
      </w:r>
      <w:r>
        <w:rPr>
          <w:rFonts w:hint="eastAsia" w:ascii="仿宋_GB2312" w:hAnsi="仿宋" w:eastAsia="仿宋_GB2312" w:cs="宋体"/>
          <w:color w:val="auto"/>
          <w:spacing w:val="8"/>
          <w:kern w:val="0"/>
          <w:sz w:val="28"/>
          <w:szCs w:val="28"/>
          <w:u w:val="single"/>
          <w:lang w:eastAsia="zh-CN"/>
        </w:rPr>
        <w:t>交易服务一网通办系统-（新版）</w:t>
      </w:r>
      <w:r>
        <w:rPr>
          <w:rFonts w:hint="eastAsia" w:ascii="仿宋_GB2312" w:hAnsi="仿宋" w:eastAsia="仿宋_GB2312" w:cs="宋体"/>
          <w:color w:val="auto"/>
          <w:spacing w:val="8"/>
          <w:kern w:val="0"/>
          <w:sz w:val="28"/>
          <w:szCs w:val="28"/>
          <w:u w:val="single"/>
        </w:rPr>
        <w:t>”进行平台切换点击“国企采购”进入国有企业阳光采购电子化服务平台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000000" w:themeColor="text1"/>
          <w:spacing w:val="8"/>
          <w:kern w:val="0"/>
          <w:sz w:val="28"/>
          <w:szCs w:val="28"/>
          <w:u w:val="single"/>
          <w:lang w:eastAsia="zh-CN"/>
          <w14:textFill>
            <w14:solidFill>
              <w14:schemeClr w14:val="tx1"/>
            </w14:solidFill>
          </w14:textFill>
        </w:rPr>
        <w:t>2026年09月04日09时00分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7C91AEC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WHJX-ZB-2026-055</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乳山市白沙滩镇潘家、冯家镇卧龙饰面用花岗岩矿两矿区可行性研究报告、安全预评价及安全设施设计</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项目分包情况：</w:t>
      </w:r>
    </w:p>
    <w:tbl>
      <w:tblPr>
        <w:tblStyle w:val="33"/>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包预算金额</w:t>
            </w:r>
          </w:p>
          <w:p w14:paraId="058A1667">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安全预评价</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120000.00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120000.00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r>
      <w:tr w14:paraId="693DD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4CCCE15B">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B</w:t>
            </w:r>
          </w:p>
        </w:tc>
        <w:tc>
          <w:tcPr>
            <w:tcW w:w="2268" w:type="dxa"/>
            <w:vAlign w:val="center"/>
          </w:tcPr>
          <w:p w14:paraId="3F8C1418">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可行性研究报告及安全设施设计</w:t>
            </w:r>
          </w:p>
        </w:tc>
        <w:tc>
          <w:tcPr>
            <w:tcW w:w="709" w:type="dxa"/>
            <w:shd w:val="clear" w:color="auto" w:fill="auto"/>
            <w:vAlign w:val="center"/>
          </w:tcPr>
          <w:p w14:paraId="6A02BAA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shd w:val="clear" w:color="auto" w:fill="auto"/>
            <w:vAlign w:val="center"/>
          </w:tcPr>
          <w:p w14:paraId="4A2E08AF">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360000.00</w:t>
            </w:r>
          </w:p>
        </w:tc>
        <w:tc>
          <w:tcPr>
            <w:tcW w:w="1559" w:type="dxa"/>
            <w:shd w:val="clear" w:color="auto" w:fill="auto"/>
            <w:vAlign w:val="center"/>
          </w:tcPr>
          <w:p w14:paraId="562D2E2D">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360000.00</w:t>
            </w:r>
          </w:p>
        </w:tc>
        <w:tc>
          <w:tcPr>
            <w:tcW w:w="1461" w:type="dxa"/>
            <w:tcBorders>
              <w:right w:val="single" w:color="auto" w:sz="4" w:space="0"/>
            </w:tcBorders>
            <w:shd w:val="clear" w:color="auto" w:fill="auto"/>
            <w:vAlign w:val="center"/>
          </w:tcPr>
          <w:p w14:paraId="0F13F0C2">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shd w:val="clear" w:color="auto" w:fill="auto"/>
            <w:vAlign w:val="center"/>
          </w:tcPr>
          <w:p w14:paraId="2C1659C0">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lang w:eastAsia="zh-CN"/>
        </w:rPr>
      </w:pPr>
      <w:r>
        <w:rPr>
          <w:rFonts w:hint="eastAsia" w:ascii="黑体" w:hAnsi="黑体" w:eastAsia="黑体" w:cs="宋体"/>
          <w:color w:val="auto"/>
          <w:kern w:val="0"/>
          <w:sz w:val="28"/>
          <w:szCs w:val="28"/>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1.具有独立承担民事责任的能力；</w:t>
      </w:r>
    </w:p>
    <w:p w14:paraId="6CA14BB3">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2.</w:t>
      </w:r>
      <w:r>
        <w:rPr>
          <w:rFonts w:hint="eastAsia" w:ascii="仿宋_GB2312" w:hAnsi="仿宋" w:eastAsia="仿宋_GB2312" w:cs="宋体"/>
          <w:color w:val="auto"/>
          <w:spacing w:val="8"/>
          <w:kern w:val="0"/>
          <w:sz w:val="28"/>
          <w:szCs w:val="28"/>
          <w:lang w:val="en-US" w:eastAsia="zh-CN"/>
        </w:rPr>
        <w:t>A包:</w:t>
      </w:r>
      <w:r>
        <w:rPr>
          <w:rFonts w:hint="eastAsia" w:ascii="仿宋_GB2312" w:hAnsi="仿宋" w:eastAsia="仿宋_GB2312" w:cs="宋体"/>
          <w:color w:val="auto"/>
          <w:spacing w:val="8"/>
          <w:kern w:val="0"/>
          <w:sz w:val="28"/>
          <w:szCs w:val="28"/>
          <w:lang w:eastAsia="zh-CN"/>
        </w:rPr>
        <w:t>具有金属、非金属矿及其他矿采选业范围的安全评价资质；</w:t>
      </w:r>
    </w:p>
    <w:p w14:paraId="0F13FCBA">
      <w:pPr>
        <w:pStyle w:val="4"/>
        <w:spacing w:before="0" w:after="0" w:line="240" w:lineRule="auto"/>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 xml:space="preserve">  </w:t>
      </w:r>
      <w:r>
        <w:rPr>
          <w:rFonts w:hint="eastAsia" w:ascii="仿宋_GB2312" w:hAnsi="仿宋" w:eastAsia="仿宋_GB2312" w:cs="宋体"/>
          <w:b w:val="0"/>
          <w:bCs w:val="0"/>
          <w:color w:val="auto"/>
          <w:spacing w:val="8"/>
          <w:kern w:val="0"/>
          <w:sz w:val="28"/>
          <w:szCs w:val="28"/>
          <w:lang w:val="en-US" w:eastAsia="zh-CN" w:bidi="ar-SA"/>
        </w:rPr>
        <w:t xml:space="preserve">  B包:具有住房和城乡建设部颁发的工程设计综合甲级资质或建材行业甲级或建材行业（非金属矿及原料制备工程）专业甲级工程设计资质；</w:t>
      </w:r>
    </w:p>
    <w:p w14:paraId="287FD9A0">
      <w:pPr>
        <w:pStyle w:val="4"/>
        <w:spacing w:before="0" w:after="0" w:line="240" w:lineRule="auto"/>
        <w:ind w:firstLine="592" w:firstLineChars="200"/>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b w:val="0"/>
          <w:bCs w:val="0"/>
          <w:color w:val="auto"/>
          <w:spacing w:val="8"/>
          <w:kern w:val="0"/>
          <w:sz w:val="28"/>
          <w:szCs w:val="28"/>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4</w:t>
      </w:r>
      <w:r>
        <w:rPr>
          <w:rFonts w:hint="eastAsia" w:ascii="仿宋_GB2312" w:hAnsi="仿宋" w:eastAsia="仿宋_GB2312" w:cs="宋体"/>
          <w:color w:val="auto"/>
          <w:spacing w:val="8"/>
          <w:kern w:val="0"/>
          <w:sz w:val="28"/>
          <w:szCs w:val="28"/>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5</w:t>
      </w:r>
      <w:r>
        <w:rPr>
          <w:rFonts w:hint="eastAsia" w:ascii="仿宋_GB2312" w:hAnsi="仿宋" w:eastAsia="仿宋_GB2312" w:cs="宋体"/>
          <w:color w:val="auto"/>
          <w:spacing w:val="8"/>
          <w:kern w:val="0"/>
          <w:sz w:val="28"/>
          <w:szCs w:val="28"/>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6</w:t>
      </w:r>
      <w:r>
        <w:rPr>
          <w:rFonts w:hint="eastAsia" w:ascii="仿宋_GB2312" w:hAnsi="仿宋" w:eastAsia="仿宋_GB2312" w:cs="宋体"/>
          <w:color w:val="auto"/>
          <w:spacing w:val="8"/>
          <w:kern w:val="0"/>
          <w:sz w:val="28"/>
          <w:szCs w:val="28"/>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7</w:t>
      </w:r>
      <w:r>
        <w:rPr>
          <w:rFonts w:hint="eastAsia" w:ascii="仿宋_GB2312" w:hAnsi="仿宋" w:eastAsia="仿宋_GB2312" w:cs="宋体"/>
          <w:color w:val="auto"/>
          <w:spacing w:val="8"/>
          <w:kern w:val="0"/>
          <w:sz w:val="28"/>
          <w:szCs w:val="28"/>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8</w:t>
      </w:r>
      <w:r>
        <w:rPr>
          <w:rFonts w:hint="eastAsia" w:ascii="仿宋_GB2312" w:hAnsi="仿宋" w:eastAsia="仿宋_GB2312" w:cs="宋体"/>
          <w:color w:val="auto"/>
          <w:spacing w:val="8"/>
          <w:kern w:val="0"/>
          <w:sz w:val="28"/>
          <w:szCs w:val="28"/>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auto"/>
          <w:spacing w:val="8"/>
          <w:kern w:val="0"/>
          <w:sz w:val="28"/>
          <w:szCs w:val="28"/>
        </w:rPr>
        <w:t>1.时间：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2026年08月25日17时00分至2026年09月01日17时00分</w:t>
      </w:r>
      <w:r>
        <w:rPr>
          <w:rFonts w:hint="eastAsia" w:ascii="仿宋_GB2312" w:hAnsi="仿宋" w:eastAsia="仿宋_GB2312" w:cs="宋体"/>
          <w:color w:val="000000" w:themeColor="text1"/>
          <w:spacing w:val="8"/>
          <w:kern w:val="0"/>
          <w:sz w:val="28"/>
          <w:szCs w:val="28"/>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2.地点：登录“</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首页右侧“</w:t>
      </w: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rPr>
        <w:fldChar w:fldCharType="begin"/>
      </w:r>
      <w:r>
        <w:rPr>
          <w:rFonts w:hint="eastAsia" w:ascii="仿宋_GB2312" w:hAnsi="仿宋" w:eastAsia="仿宋_GB2312" w:cs="宋体"/>
          <w:color w:val="auto"/>
          <w:spacing w:val="8"/>
          <w:kern w:val="0"/>
          <w:sz w:val="28"/>
          <w:szCs w:val="28"/>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rPr>
        <w:fldChar w:fldCharType="separate"/>
      </w:r>
      <w:r>
        <w:rPr>
          <w:rFonts w:hint="eastAsia" w:ascii="仿宋_GB2312" w:hAnsi="仿宋" w:eastAsia="仿宋_GB2312" w:cs="宋体"/>
          <w:color w:val="auto"/>
          <w:spacing w:val="8"/>
          <w:kern w:val="0"/>
          <w:sz w:val="28"/>
          <w:szCs w:val="28"/>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注：未注册用户请先免费注册。在“威海市国有企业阳光采购电子化服务平台”（</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3.售价：免费</w:t>
      </w:r>
    </w:p>
    <w:p w14:paraId="57F27B6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2026年08月25日18时00分至2026年09月04日09时00分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2.地点：</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000000" w:themeColor="text1"/>
          <w:spacing w:val="8"/>
          <w:kern w:val="0"/>
          <w:sz w:val="28"/>
          <w:szCs w:val="28"/>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2026年09月04日09时00分</w:t>
      </w:r>
      <w:r>
        <w:rPr>
          <w:rFonts w:hint="eastAsia" w:ascii="仿宋_GB2312" w:hAnsi="仿宋" w:eastAsia="仿宋_GB2312" w:cs="宋体"/>
          <w:color w:val="auto"/>
          <w:spacing w:val="8"/>
          <w:kern w:val="0"/>
          <w:sz w:val="28"/>
          <w:szCs w:val="28"/>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自本公告发布之日起5日历天。</w:t>
      </w:r>
    </w:p>
    <w:p w14:paraId="38E768B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称：乳山市金岭矿业科技有限公司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w:t>
      </w:r>
      <w:r>
        <w:rPr>
          <w:rFonts w:hint="eastAsia" w:ascii="仿宋_GB2312" w:hAnsi="仿宋" w:eastAsia="仿宋_GB2312" w:cs="宋体"/>
          <w:color w:val="auto"/>
          <w:spacing w:val="8"/>
          <w:kern w:val="0"/>
          <w:sz w:val="28"/>
          <w:szCs w:val="28"/>
          <w:lang w:val="en-US" w:eastAsia="zh-CN"/>
        </w:rPr>
        <w:t>山东省威海市乳山市城区商业街2号</w:t>
      </w:r>
      <w:r>
        <w:rPr>
          <w:rFonts w:hint="eastAsia" w:ascii="仿宋_GB2312" w:hAnsi="仿宋" w:eastAsia="仿宋_GB2312" w:cs="宋体"/>
          <w:color w:val="auto"/>
          <w:spacing w:val="8"/>
          <w:kern w:val="0"/>
          <w:sz w:val="28"/>
          <w:szCs w:val="28"/>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联系方式：0631-6650885</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eastAsia="zh-CN"/>
        </w:rPr>
        <w:t>2.采购代理机构信息</w:t>
      </w:r>
      <w:r>
        <w:rPr>
          <w:rFonts w:hint="eastAsia" w:ascii="仿宋_GB2312" w:hAnsi="仿宋" w:eastAsia="仿宋_GB2312" w:cs="宋体"/>
          <w:color w:val="auto"/>
          <w:spacing w:val="8"/>
          <w:kern w:val="0"/>
          <w:sz w:val="28"/>
          <w:szCs w:val="28"/>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址：乳山市胜利街东首</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项目联系人：</w:t>
      </w:r>
      <w:r>
        <w:rPr>
          <w:rFonts w:hint="eastAsia" w:ascii="仿宋_GB2312" w:hAnsi="仿宋" w:eastAsia="仿宋_GB2312" w:cs="宋体"/>
          <w:color w:val="auto"/>
          <w:spacing w:val="8"/>
          <w:kern w:val="0"/>
          <w:sz w:val="28"/>
          <w:szCs w:val="28"/>
          <w:lang w:val="en-US" w:eastAsia="zh-CN"/>
        </w:rPr>
        <w:t>王君楠</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lang w:eastAsia="zh-CN"/>
        </w:rPr>
        <w:t>威海市公共资源交易网（乳山分中心）</w:t>
      </w:r>
      <w:r>
        <w:rPr>
          <w:rFonts w:hint="eastAsia" w:ascii="仿宋_GB2312" w:hAnsi="微软雅黑" w:eastAsia="仿宋_GB2312" w:cs="宋体"/>
          <w:color w:val="auto"/>
          <w:spacing w:val="8"/>
          <w:kern w:val="0"/>
          <w:sz w:val="28"/>
          <w:szCs w:val="28"/>
        </w:rPr>
        <w:t>（http://ggzyjy.weihai.cn/rushan/）同时发布，其它媒介转发无效。</w:t>
      </w:r>
    </w:p>
    <w:p w14:paraId="37636957">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70127DB4">
      <w:pPr>
        <w:ind w:firstLine="5880" w:firstLineChars="2100"/>
        <w:rPr>
          <w:rFonts w:hint="eastAsia" w:ascii="仿宋_GB2312" w:hAnsi="宋体" w:eastAsia="仿宋_GB2312" w:cs="宋体"/>
          <w:color w:val="000000" w:themeColor="text1"/>
          <w:kern w:val="0"/>
          <w:sz w:val="28"/>
          <w:szCs w:val="28"/>
          <w:lang w:eastAsia="zh-CN"/>
          <w14:textFill>
            <w14:solidFill>
              <w14:schemeClr w14:val="tx1"/>
            </w14:solidFill>
          </w14:textFill>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000000" w:themeColor="text1"/>
          <w:kern w:val="0"/>
          <w:sz w:val="28"/>
          <w:szCs w:val="28"/>
          <w14:textFill>
            <w14:solidFill>
              <w14:schemeClr w14:val="tx1"/>
            </w14:solidFill>
          </w14:textFill>
        </w:rPr>
        <w:t>：</w:t>
      </w:r>
      <w:r>
        <w:rPr>
          <w:rFonts w:hint="eastAsia" w:ascii="仿宋_GB2312" w:hAnsi="宋体" w:eastAsia="仿宋_GB2312" w:cs="宋体"/>
          <w:color w:val="000000" w:themeColor="text1"/>
          <w:kern w:val="0"/>
          <w:sz w:val="28"/>
          <w:szCs w:val="28"/>
          <w:lang w:eastAsia="zh-CN"/>
          <w14:textFill>
            <w14:solidFill>
              <w14:schemeClr w14:val="tx1"/>
            </w14:solidFill>
          </w14:textFill>
        </w:rPr>
        <w:t>2026年08月25日</w:t>
      </w:r>
    </w:p>
    <w:p w14:paraId="1A21A453">
      <w:pPr>
        <w:rPr>
          <w:color w:val="000000" w:themeColor="text1"/>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30"/>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35BA347E">
      <w:pPr>
        <w:rPr>
          <w:color w:val="auto"/>
        </w:rPr>
      </w:pPr>
    </w:p>
    <w:p w14:paraId="0AE37249">
      <w:pPr>
        <w:rPr>
          <w:color w:val="auto"/>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rPr>
      </w:pPr>
      <w:r>
        <w:rPr>
          <w:rFonts w:hint="eastAsia" w:ascii="黑体" w:hAnsi="黑体" w:eastAsia="黑体"/>
          <w:color w:val="auto"/>
          <w:sz w:val="32"/>
          <w:szCs w:val="32"/>
        </w:rPr>
        <w:t>投标须知前附表</w:t>
      </w:r>
    </w:p>
    <w:p w14:paraId="21CE7AC4">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乳山市白沙滩镇潘家、冯家镇卧龙饰面用花岗岩矿两矿区可行性研究报告、安全预评价及安全设施设计</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WHJX-ZB-2026-055</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采购人名称：</w:t>
            </w:r>
            <w:r>
              <w:rPr>
                <w:rFonts w:hint="eastAsia" w:ascii="仿宋_GB2312" w:hAnsi="宋体" w:eastAsia="仿宋_GB2312"/>
                <w:color w:val="auto"/>
                <w:sz w:val="28"/>
                <w:szCs w:val="28"/>
                <w:lang w:eastAsia="zh-CN"/>
              </w:rPr>
              <w:t>乳山市金岭矿业科技有限公司</w:t>
            </w:r>
          </w:p>
          <w:p w14:paraId="074B829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山东省威海市乳山市城区商业街2号</w:t>
            </w:r>
          </w:p>
          <w:p w14:paraId="65C75C1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王工</w:t>
            </w:r>
          </w:p>
          <w:p w14:paraId="2A16E0A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0631-6650885</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0959655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乳山市胜利街东首</w:t>
            </w:r>
          </w:p>
          <w:p w14:paraId="296104C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17B0C79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w:t>
            </w:r>
            <w:r>
              <w:rPr>
                <w:rFonts w:hint="eastAsia" w:ascii="仿宋_GB2312" w:hAnsi="宋体" w:eastAsia="仿宋_GB2312"/>
                <w:color w:val="auto"/>
                <w:sz w:val="28"/>
                <w:szCs w:val="28"/>
                <w:lang w:eastAsia="zh-CN"/>
              </w:rPr>
              <w:t>威海市公共资源交易网（乳山分中心）</w:t>
            </w:r>
            <w:r>
              <w:rPr>
                <w:rFonts w:hint="eastAsia" w:ascii="仿宋_GB2312" w:hAnsi="宋体" w:eastAsia="仿宋_GB2312"/>
                <w:color w:val="auto"/>
                <w:sz w:val="28"/>
                <w:szCs w:val="28"/>
              </w:rPr>
              <w:t>（</w:t>
            </w:r>
            <w:r>
              <w:rPr>
                <w:color w:val="auto"/>
              </w:rPr>
              <w:fldChar w:fldCharType="begin"/>
            </w:r>
            <w:r>
              <w:rPr>
                <w:color w:val="auto"/>
              </w:rPr>
              <w:instrText xml:space="preserve"> HYPERLINK "http://rc.whggzyjy.cn/" </w:instrText>
            </w:r>
            <w:r>
              <w:rPr>
                <w:color w:val="auto"/>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w:t>
            </w:r>
            <w:r>
              <w:rPr>
                <w:rFonts w:hint="eastAsia" w:ascii="仿宋_GB2312" w:hAnsi="宋体" w:eastAsia="仿宋_GB2312"/>
                <w:color w:val="auto"/>
                <w:sz w:val="28"/>
                <w:szCs w:val="28"/>
                <w:lang w:eastAsia="zh-CN"/>
              </w:rPr>
              <w:t>交易服务一网通办系统-（新版）</w:t>
            </w:r>
            <w:r>
              <w:rPr>
                <w:rFonts w:hint="eastAsia" w:ascii="仿宋_GB2312" w:hAnsi="宋体" w:eastAsia="仿宋_GB2312"/>
                <w:color w:val="auto"/>
                <w:sz w:val="28"/>
                <w:szCs w:val="28"/>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rPr>
              <w:t>18769124292</w:t>
            </w:r>
            <w:r>
              <w:rPr>
                <w:rFonts w:hint="eastAsia" w:ascii="仿宋_GB2312" w:hAnsi="宋体" w:eastAsia="仿宋_GB2312"/>
                <w:color w:val="auto"/>
                <w:sz w:val="28"/>
                <w:szCs w:val="28"/>
              </w:rPr>
              <w:t>；0631-5307028；平台QQ服务群：</w:t>
            </w:r>
            <w:r>
              <w:rPr>
                <w:rFonts w:ascii="仿宋_GB2312" w:hAnsi="宋体" w:eastAsia="仿宋_GB2312"/>
                <w:color w:val="auto"/>
                <w:sz w:val="28"/>
                <w:szCs w:val="28"/>
              </w:rPr>
              <w:t>1146578397</w:t>
            </w:r>
            <w:r>
              <w:rPr>
                <w:rFonts w:hint="eastAsia" w:ascii="仿宋_GB2312" w:hAnsi="宋体" w:eastAsia="仿宋_GB2312"/>
                <w:color w:val="auto"/>
                <w:sz w:val="28"/>
                <w:szCs w:val="28"/>
              </w:rPr>
              <w:t>。</w:t>
            </w:r>
          </w:p>
          <w:p w14:paraId="4B4030B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8</w:t>
            </w:r>
            <w:r>
              <w:rPr>
                <w:rFonts w:hint="eastAsia" w:ascii="仿宋_GB2312" w:hAnsi="宋体" w:eastAsia="仿宋_GB2312"/>
                <w:color w:val="auto"/>
                <w:sz w:val="28"/>
                <w:szCs w:val="28"/>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rPr>
              <w:t>招标代理机构</w:t>
            </w:r>
            <w:r>
              <w:rPr>
                <w:rFonts w:hint="eastAsia" w:ascii="仿宋_GB2312" w:hAnsi="宋体" w:eastAsia="仿宋_GB2312"/>
                <w:color w:val="auto"/>
                <w:sz w:val="28"/>
                <w:szCs w:val="28"/>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报价有效期：开标之日起</w:t>
            </w:r>
            <w:r>
              <w:rPr>
                <w:rFonts w:hint="eastAsia" w:ascii="仿宋_GB2312" w:hAnsi="宋体" w:eastAsia="仿宋_GB2312"/>
                <w:color w:val="auto"/>
                <w:sz w:val="28"/>
                <w:szCs w:val="28"/>
                <w:lang w:val="en-US" w:eastAsia="zh-CN"/>
              </w:rPr>
              <w:t>60</w:t>
            </w:r>
            <w:r>
              <w:rPr>
                <w:rFonts w:hint="eastAsia" w:ascii="仿宋_GB2312" w:hAnsi="宋体" w:eastAsia="仿宋_GB2312"/>
                <w:color w:val="auto"/>
                <w:sz w:val="28"/>
                <w:szCs w:val="28"/>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28C7BDBD">
            <w:pPr>
              <w:spacing w:line="60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lang w:val="en-US" w:eastAsia="zh-CN"/>
              </w:rPr>
              <w:t>120000.00</w:t>
            </w:r>
            <w:r>
              <w:rPr>
                <w:rFonts w:hint="eastAsia" w:ascii="仿宋_GB2312" w:hAnsi="宋体" w:eastAsia="仿宋_GB2312"/>
                <w:color w:val="auto"/>
                <w:sz w:val="28"/>
                <w:szCs w:val="28"/>
              </w:rPr>
              <w:t>元</w:t>
            </w:r>
            <w:r>
              <w:rPr>
                <w:rFonts w:hint="eastAsia" w:ascii="仿宋_GB2312" w:hAnsi="宋体" w:eastAsia="仿宋_GB2312"/>
                <w:color w:val="auto"/>
                <w:sz w:val="28"/>
                <w:szCs w:val="28"/>
                <w:lang w:eastAsia="zh-CN"/>
              </w:rPr>
              <w:t>。</w:t>
            </w:r>
          </w:p>
          <w:p w14:paraId="3989EFAA">
            <w:pPr>
              <w:spacing w:line="600" w:lineRule="exact"/>
              <w:rPr>
                <w:rFonts w:hint="eastAsia" w:ascii="仿宋_GB2312" w:hAnsi="宋体" w:eastAsia="仿宋_GB2312"/>
                <w:color w:val="auto"/>
                <w:sz w:val="28"/>
                <w:szCs w:val="28"/>
                <w:lang w:val="en-US" w:eastAsia="zh-CN"/>
              </w:rPr>
            </w:pPr>
            <w:r>
              <w:rPr>
                <w:rFonts w:hint="eastAsia" w:ascii="仿宋_GB2312" w:hAnsi="宋体" w:eastAsia="仿宋_GB2312"/>
                <w:sz w:val="28"/>
                <w:szCs w:val="28"/>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2026年08月25日18时00分至2026年09月04日09时00分</w:t>
            </w:r>
            <w:r>
              <w:rPr>
                <w:rFonts w:hint="eastAsia" w:ascii="仿宋_GB2312" w:hAnsi="宋体" w:eastAsia="仿宋_GB2312"/>
                <w:color w:val="000000" w:themeColor="text1"/>
                <w:sz w:val="28"/>
                <w:szCs w:val="28"/>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投标文件开启（解密）时间：</w:t>
            </w:r>
            <w:r>
              <w:rPr>
                <w:rFonts w:hint="eastAsia" w:ascii="仿宋_GB2312" w:hAnsi="宋体" w:eastAsia="仿宋_GB2312"/>
                <w:color w:val="000000" w:themeColor="text1"/>
                <w:sz w:val="28"/>
                <w:szCs w:val="28"/>
                <w:lang w:eastAsia="zh-CN"/>
                <w14:textFill>
                  <w14:solidFill>
                    <w14:schemeClr w14:val="tx1"/>
                  </w14:solidFill>
                </w14:textFill>
              </w:rPr>
              <w:t>2026年09月04日09时00分</w:t>
            </w:r>
          </w:p>
          <w:p w14:paraId="150D319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533E52C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服务期：自合同签订之日起一年</w:t>
            </w:r>
          </w:p>
          <w:p w14:paraId="4466879B">
            <w:pPr>
              <w:spacing w:line="560" w:lineRule="exact"/>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交付期：自合同签订之日起，甲方向乙方提交资料齐全后15个工作日完成相应工作。</w:t>
            </w:r>
          </w:p>
          <w:p w14:paraId="6F0B6B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lang w:eastAsia="zh-CN"/>
              </w:rPr>
            </w:pPr>
            <w:r>
              <w:rPr>
                <w:rFonts w:ascii="仿宋_GB2312" w:hAnsi="宋体" w:eastAsia="仿宋_GB2312"/>
                <w:color w:val="auto"/>
                <w:sz w:val="28"/>
                <w:szCs w:val="28"/>
              </w:rPr>
              <w:t>是否兼投不兼中：</w:t>
            </w:r>
            <w:r>
              <w:rPr>
                <w:rFonts w:hint="eastAsia" w:ascii="仿宋_GB2312" w:hAnsi="宋体" w:eastAsia="仿宋_GB2312"/>
                <w:color w:val="auto"/>
                <w:sz w:val="28"/>
                <w:szCs w:val="28"/>
                <w:lang w:eastAsia="zh-CN"/>
              </w:rPr>
              <w:t>是</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171AC000">
            <w:pPr>
              <w:spacing w:line="560" w:lineRule="exact"/>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eastAsia="zh-CN"/>
              </w:rPr>
              <w:t>所有工作完成并提交成果文件，待基建批复下达后，支付合同总价款的50%；剩余款项，待安全生产许可证取得后支付。</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是否委托评审委员会确定成交供应商：</w:t>
            </w:r>
            <w:r>
              <w:rPr>
                <w:rFonts w:hint="eastAsia" w:ascii="仿宋_GB2312" w:hAnsi="宋体" w:eastAsia="仿宋_GB2312"/>
                <w:color w:val="auto"/>
                <w:sz w:val="28"/>
                <w:szCs w:val="28"/>
                <w:lang w:val="en-US" w:eastAsia="zh-CN"/>
              </w:rPr>
              <w:t>是</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3FA19DC2">
            <w:pPr>
              <w:spacing w:line="560" w:lineRule="exact"/>
              <w:rPr>
                <w:rFonts w:hint="eastAsia" w:ascii="仿宋_GB2312" w:hAnsi="宋体" w:eastAsia="仿宋_GB2312"/>
                <w:color w:val="auto"/>
                <w:sz w:val="28"/>
                <w:szCs w:val="28"/>
              </w:rPr>
            </w:pP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1）当面接收：接收地址详见本表采购人及代理机构地址。</w:t>
            </w:r>
          </w:p>
          <w:p w14:paraId="0A1B1420">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（2）邮件接收：</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"mailto:rsfzch@126.com"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lang w:eastAsia="zh-CN"/>
              </w:rPr>
              <w:t>whjxzbs@126.com</w:t>
            </w:r>
            <w:r>
              <w:rPr>
                <w:rFonts w:hint="eastAsia" w:ascii="仿宋_GB2312" w:hAnsi="宋体" w:eastAsia="仿宋_GB2312"/>
                <w:color w:val="auto"/>
                <w:sz w:val="28"/>
                <w:szCs w:val="28"/>
              </w:rPr>
              <w:fldChar w:fldCharType="end"/>
            </w:r>
          </w:p>
          <w:p w14:paraId="69651F91">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代理服务费：</w:t>
            </w:r>
          </w:p>
          <w:p w14:paraId="3EC93700">
            <w:pPr>
              <w:spacing w:line="560" w:lineRule="exact"/>
              <w:rPr>
                <w:rFonts w:hint="default"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参照“发改价格[2011]534号”规定的收费标准向成交供应商收取代理服务费：人民币3000.00元，由成交单位在签订合同前向采购代理机构缴纳。</w:t>
            </w:r>
          </w:p>
          <w:p w14:paraId="619158AF">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账    号：37001708108050156089</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03A58B9B">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w:t>
            </w:r>
            <w:r>
              <w:rPr>
                <w:rFonts w:hint="eastAsia" w:ascii="仿宋_GB2312" w:hAnsi="宋体" w:eastAsia="仿宋_GB2312"/>
                <w:color w:val="auto"/>
                <w:sz w:val="28"/>
                <w:szCs w:val="28"/>
                <w:lang w:eastAsia="zh-CN"/>
              </w:rPr>
              <w:t>有效的法人或其他组织的营业执照等证明文件（统一社会信用代码证书）扫描件；</w:t>
            </w:r>
            <w:r>
              <w:rPr>
                <w:rFonts w:hint="eastAsia" w:ascii="仿宋_GB2312" w:hAnsi="宋体" w:eastAsia="仿宋_GB2312"/>
                <w:color w:val="auto"/>
                <w:sz w:val="28"/>
                <w:szCs w:val="28"/>
              </w:rPr>
              <w:t>（A）包</w:t>
            </w:r>
          </w:p>
          <w:p w14:paraId="11B8AA7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具有金属、非金属矿及其他矿采选业范围的安全评价资质</w:t>
            </w:r>
            <w:r>
              <w:rPr>
                <w:rFonts w:hint="default" w:ascii="仿宋_GB2312" w:hAnsi="宋体" w:eastAsia="仿宋_GB2312"/>
                <w:color w:val="auto"/>
                <w:sz w:val="28"/>
                <w:szCs w:val="28"/>
                <w:lang w:eastAsia="zh-CN"/>
              </w:rPr>
              <w:t>，需提供证书扫描件；</w:t>
            </w:r>
            <w:r>
              <w:rPr>
                <w:rFonts w:hint="eastAsia" w:ascii="仿宋_GB2312" w:hAnsi="宋体" w:eastAsia="仿宋_GB2312"/>
                <w:color w:val="auto"/>
                <w:sz w:val="28"/>
                <w:szCs w:val="28"/>
              </w:rPr>
              <w:t>（A）包</w:t>
            </w:r>
          </w:p>
          <w:p w14:paraId="0E6B03AF">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3</w:t>
            </w:r>
            <w:r>
              <w:rPr>
                <w:rFonts w:ascii="仿宋_GB2312" w:hAnsi="宋体" w:eastAsia="仿宋_GB2312"/>
                <w:color w:val="auto"/>
                <w:sz w:val="28"/>
                <w:szCs w:val="28"/>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rPr>
              <w:t>（A）包</w:t>
            </w:r>
          </w:p>
          <w:p w14:paraId="24BCA313">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4</w:t>
            </w:r>
            <w:r>
              <w:rPr>
                <w:rFonts w:ascii="仿宋_GB2312" w:hAnsi="宋体" w:eastAsia="仿宋_GB2312"/>
                <w:color w:val="auto"/>
                <w:sz w:val="28"/>
                <w:szCs w:val="28"/>
              </w:rPr>
              <w:t>、投标人依法缴纳税收和社会保障资金的声明（格式自拟）；近期的完税凭证及交纳社保资金凭证的扫描件；</w:t>
            </w:r>
            <w:r>
              <w:rPr>
                <w:rFonts w:hint="eastAsia" w:ascii="仿宋_GB2312" w:hAnsi="宋体" w:eastAsia="仿宋_GB2312"/>
                <w:color w:val="auto"/>
                <w:sz w:val="28"/>
                <w:szCs w:val="28"/>
              </w:rPr>
              <w:t>（A）包</w:t>
            </w:r>
          </w:p>
          <w:p w14:paraId="63749027">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5</w:t>
            </w:r>
            <w:r>
              <w:rPr>
                <w:rFonts w:ascii="仿宋_GB2312" w:hAnsi="宋体" w:eastAsia="仿宋_GB2312"/>
                <w:color w:val="auto"/>
                <w:sz w:val="28"/>
                <w:szCs w:val="28"/>
              </w:rPr>
              <w:t>、投标人参加本项目报价前三年内无重大违法记录声明（格式自定）；</w:t>
            </w:r>
            <w:r>
              <w:rPr>
                <w:rFonts w:hint="eastAsia" w:ascii="仿宋_GB2312" w:hAnsi="宋体" w:eastAsia="仿宋_GB2312"/>
                <w:color w:val="auto"/>
                <w:sz w:val="28"/>
                <w:szCs w:val="28"/>
              </w:rPr>
              <w:t>（A）包</w:t>
            </w:r>
          </w:p>
          <w:p w14:paraId="2090158F">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6、</w:t>
            </w:r>
            <w:r>
              <w:rPr>
                <w:rFonts w:hint="eastAsia" w:ascii="仿宋_GB2312" w:hAnsi="宋体" w:eastAsia="仿宋_GB2312"/>
                <w:sz w:val="28"/>
                <w:szCs w:val="28"/>
                <w:lang w:eastAsia="zh-CN"/>
              </w:rPr>
              <w:t>投标人</w:t>
            </w:r>
            <w:r>
              <w:rPr>
                <w:rFonts w:hint="eastAsia" w:ascii="仿宋_GB2312" w:hAnsi="宋体" w:eastAsia="仿宋_GB2312"/>
                <w:sz w:val="28"/>
                <w:szCs w:val="28"/>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sz w:val="28"/>
                <w:szCs w:val="28"/>
                <w:lang w:eastAsia="zh-CN"/>
              </w:rPr>
              <w:t>投标人</w:t>
            </w:r>
            <w:r>
              <w:rPr>
                <w:rFonts w:hint="eastAsia" w:ascii="仿宋_GB2312" w:hAnsi="宋体" w:eastAsia="仿宋_GB2312"/>
                <w:sz w:val="28"/>
                <w:szCs w:val="28"/>
              </w:rPr>
              <w:t>及其法定代表人、授权委托人在“全国法院失信被执行人名单公布及查询（http://zxgk.court.gov.cn/shixin/）”网站截图；</w:t>
            </w:r>
            <w:r>
              <w:rPr>
                <w:rFonts w:hint="eastAsia" w:ascii="仿宋_GB2312" w:hAnsi="宋体" w:eastAsia="仿宋_GB2312"/>
                <w:color w:val="auto"/>
                <w:sz w:val="28"/>
                <w:szCs w:val="28"/>
              </w:rPr>
              <w:t>（A）包</w:t>
            </w:r>
          </w:p>
          <w:p w14:paraId="5265502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7</w:t>
            </w:r>
            <w:r>
              <w:rPr>
                <w:rFonts w:ascii="仿宋_GB2312" w:hAnsi="宋体" w:eastAsia="仿宋_GB2312"/>
                <w:color w:val="auto"/>
                <w:sz w:val="28"/>
                <w:szCs w:val="28"/>
              </w:rPr>
              <w:t>、</w:t>
            </w:r>
            <w:r>
              <w:rPr>
                <w:rFonts w:hint="eastAsia" w:ascii="仿宋_GB2312" w:hAnsi="宋体" w:eastAsia="仿宋_GB2312"/>
                <w:color w:val="auto"/>
                <w:sz w:val="28"/>
                <w:szCs w:val="28"/>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2024或2025年度</w:t>
            </w:r>
            <w:r>
              <w:rPr>
                <w:rFonts w:hint="eastAsia" w:ascii="仿宋_GB2312" w:hAnsi="宋体" w:eastAsia="仿宋_GB2312"/>
                <w:color w:val="auto"/>
                <w:sz w:val="28"/>
                <w:szCs w:val="28"/>
              </w:rPr>
              <w:t>）；</w:t>
            </w:r>
          </w:p>
          <w:p w14:paraId="31ECB6CB">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注：A、B两项提供任意一项均可。（A）包</w:t>
            </w:r>
          </w:p>
          <w:p w14:paraId="0F5A7E47">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8</w:t>
            </w:r>
            <w:r>
              <w:rPr>
                <w:rFonts w:ascii="仿宋_GB2312" w:hAnsi="宋体" w:eastAsia="仿宋_GB2312"/>
                <w:color w:val="auto"/>
                <w:sz w:val="28"/>
                <w:szCs w:val="28"/>
              </w:rPr>
              <w:t>、投标人具有履行合同所必需的设备和专业技术能力承诺函（格式自拟）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1、</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未按规定签章的，作为无效报价；（A）包</w:t>
            </w:r>
          </w:p>
          <w:p w14:paraId="55A3B16A">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2、被授权人未在规定时间内答疑或澄清的，作为无效报价；（A）包</w:t>
            </w:r>
          </w:p>
          <w:p w14:paraId="2DD6E94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含有采购人不能接受的附加条件的，作为无效报价；（A）包</w:t>
            </w:r>
          </w:p>
          <w:p w14:paraId="4AB0F5A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4、</w:t>
            </w:r>
            <w:r>
              <w:rPr>
                <w:rFonts w:hint="eastAsia" w:ascii="仿宋_GB2312" w:hAnsi="宋体" w:eastAsia="仿宋_GB2312"/>
                <w:color w:val="auto"/>
                <w:sz w:val="28"/>
                <w:szCs w:val="28"/>
                <w:lang w:val="en-US" w:eastAsia="zh-CN"/>
              </w:rPr>
              <w:t>投标</w:t>
            </w:r>
            <w:r>
              <w:rPr>
                <w:rFonts w:hint="eastAsia" w:ascii="仿宋_GB2312" w:hAnsi="宋体" w:eastAsia="仿宋_GB2312"/>
                <w:color w:val="auto"/>
                <w:sz w:val="28"/>
                <w:szCs w:val="28"/>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6、评审小组认为不符合采购文件其他实质性要求或法律法规规定的其他情形；作为无效报价。（A）包</w:t>
            </w:r>
          </w:p>
        </w:tc>
      </w:tr>
    </w:tbl>
    <w:p w14:paraId="1F2C3235">
      <w:pPr>
        <w:rPr>
          <w:rFonts w:ascii="宋体" w:hAnsi="宋体"/>
          <w:color w:val="auto"/>
          <w:szCs w:val="28"/>
        </w:rPr>
      </w:pPr>
    </w:p>
    <w:p w14:paraId="610B461F">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113BC8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7E5E9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6096C5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2.采购人、采购代理机构及投标人</w:t>
      </w:r>
    </w:p>
    <w:p w14:paraId="35923E7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2.1采购人：本项目的采购人见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B85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13438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投标人：是指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、参加投标竞争的法人、其他组织或者自然人</w:t>
      </w:r>
      <w:r>
        <w:rPr>
          <w:rFonts w:hint="eastAsia" w:ascii="仿宋_GB2312" w:hAnsi="仿宋" w:eastAsia="仿宋_GB2312" w:cs="宋体"/>
          <w:color w:val="auto"/>
          <w:sz w:val="28"/>
          <w:szCs w:val="28"/>
        </w:rPr>
        <w:t>，以招标文件规定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w:t>
      </w:r>
      <w:r>
        <w:rPr>
          <w:rFonts w:ascii="仿宋_GB2312" w:hAnsi="仿宋" w:eastAsia="仿宋_GB2312" w:cs="宋体"/>
          <w:color w:val="auto"/>
          <w:sz w:val="28"/>
          <w:szCs w:val="28"/>
        </w:rPr>
        <w:t>负责人为同一</w:t>
      </w:r>
      <w:r>
        <w:rPr>
          <w:rFonts w:hint="eastAsia" w:ascii="仿宋_GB2312" w:hAnsi="仿宋" w:eastAsia="仿宋_GB2312" w:cs="宋体"/>
          <w:color w:val="auto"/>
          <w:sz w:val="28"/>
          <w:szCs w:val="28"/>
        </w:rPr>
        <w:t>人</w:t>
      </w:r>
      <w:r>
        <w:rPr>
          <w:rFonts w:ascii="仿宋_GB2312" w:hAnsi="仿宋" w:eastAsia="仿宋_GB2312" w:cs="宋体"/>
          <w:color w:val="auto"/>
          <w:sz w:val="28"/>
          <w:szCs w:val="28"/>
        </w:rPr>
        <w:t>或者存在</w:t>
      </w:r>
      <w:r>
        <w:rPr>
          <w:rFonts w:hint="eastAsia" w:ascii="仿宋_GB2312" w:hAnsi="仿宋" w:eastAsia="仿宋_GB2312" w:cs="宋体"/>
          <w:color w:val="auto"/>
          <w:sz w:val="28"/>
          <w:szCs w:val="28"/>
        </w:rPr>
        <w:t>直接</w:t>
      </w:r>
      <w:r>
        <w:rPr>
          <w:rFonts w:ascii="仿宋_GB2312" w:hAnsi="仿宋" w:eastAsia="仿宋_GB2312" w:cs="宋体"/>
          <w:color w:val="auto"/>
          <w:sz w:val="28"/>
          <w:szCs w:val="28"/>
        </w:rPr>
        <w:t>控股、管理</w:t>
      </w:r>
      <w:r>
        <w:rPr>
          <w:rFonts w:hint="eastAsia" w:ascii="仿宋_GB2312" w:hAnsi="仿宋" w:eastAsia="仿宋_GB2312" w:cs="宋体"/>
          <w:color w:val="auto"/>
          <w:sz w:val="28"/>
          <w:szCs w:val="28"/>
        </w:rPr>
        <w:t>关系</w:t>
      </w:r>
      <w:r>
        <w:rPr>
          <w:rFonts w:ascii="仿宋_GB2312" w:hAnsi="仿宋" w:eastAsia="仿宋_GB2312" w:cs="宋体"/>
          <w:color w:val="auto"/>
          <w:sz w:val="28"/>
          <w:szCs w:val="28"/>
        </w:rPr>
        <w:t>的不同</w:t>
      </w:r>
      <w:r>
        <w:rPr>
          <w:rFonts w:hint="eastAsia" w:ascii="仿宋_GB2312" w:hAnsi="仿宋" w:eastAsia="仿宋_GB2312" w:cs="宋体"/>
          <w:color w:val="auto"/>
          <w:sz w:val="28"/>
          <w:szCs w:val="28"/>
        </w:rPr>
        <w:t>投标人</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参加同一合同项下的政府采购活动，否则其相关投标均将被认定为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7BF12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2.7投标人在投标过程中不得向采购人提供或给予影响其正常决策行为的任何有价值物品或</w:t>
      </w:r>
      <w:r>
        <w:rPr>
          <w:rFonts w:ascii="仿宋_GB2312" w:hAnsi="仿宋" w:eastAsia="仿宋_GB2312" w:cs="宋体"/>
          <w:color w:val="auto"/>
          <w:sz w:val="28"/>
          <w:szCs w:val="28"/>
        </w:rPr>
        <w:t>服务</w:t>
      </w:r>
      <w:r>
        <w:rPr>
          <w:rFonts w:hint="eastAsia" w:ascii="仿宋_GB2312" w:hAnsi="仿宋" w:eastAsia="仿宋_GB2312" w:cs="宋体"/>
          <w:color w:val="auto"/>
          <w:sz w:val="28"/>
          <w:szCs w:val="28"/>
        </w:rPr>
        <w:t>。</w:t>
      </w:r>
    </w:p>
    <w:p w14:paraId="2051CE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1F6328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3D64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642EDC7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056D95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7A7439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w:t>
      </w:r>
      <w:r>
        <w:rPr>
          <w:rFonts w:hint="eastAsia" w:ascii="仿宋_GB2312" w:hAnsi="宋体" w:eastAsia="仿宋_GB2312"/>
          <w:b/>
          <w:color w:val="auto"/>
          <w:sz w:val="28"/>
          <w:szCs w:val="28"/>
          <w:lang w:eastAsia="zh-CN"/>
        </w:rPr>
        <w:t>威海市公共资源交易网（乳山分中心）</w:t>
      </w:r>
      <w:r>
        <w:rPr>
          <w:rFonts w:hint="eastAsia" w:ascii="仿宋_GB2312" w:hAnsi="宋体" w:eastAsia="仿宋_GB2312"/>
          <w:b/>
          <w:color w:val="auto"/>
          <w:sz w:val="28"/>
          <w:szCs w:val="28"/>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5</w:t>
      </w:r>
      <w:r>
        <w:rPr>
          <w:rFonts w:hint="eastAsia" w:ascii="楷体_GB2312" w:hAnsi="仿宋" w:eastAsia="楷体_GB2312" w:cs="宋体"/>
          <w:b/>
          <w:color w:val="auto"/>
          <w:sz w:val="28"/>
          <w:szCs w:val="28"/>
        </w:rPr>
        <w:t>.电子投标特别提示</w:t>
      </w:r>
    </w:p>
    <w:p w14:paraId="2D849D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本项目供应商必须登录</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（http://ggzyjy.weihai.cn/rushan</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），点击右侧【交易服务一网通办】按钮，进入“威海市</w:t>
      </w:r>
      <w:r>
        <w:rPr>
          <w:rFonts w:hint="eastAsia" w:ascii="仿宋_GB2312" w:hAnsi="仿宋" w:eastAsia="仿宋_GB2312" w:cs="宋体"/>
          <w:color w:val="auto"/>
          <w:sz w:val="28"/>
          <w:szCs w:val="28"/>
          <w:lang w:eastAsia="zh-CN"/>
        </w:rPr>
        <w:t>交易服务一网通办系统-（新版）</w:t>
      </w:r>
      <w:r>
        <w:rPr>
          <w:rFonts w:hint="eastAsia" w:ascii="仿宋_GB2312" w:hAnsi="仿宋" w:eastAsia="仿宋_GB2312" w:cs="宋体"/>
          <w:color w:val="auto"/>
          <w:sz w:val="28"/>
          <w:szCs w:val="28"/>
        </w:rPr>
        <w:t>”进行注册，取得用户名和密码（已经完成注册的供应商无须重复注册）；首次注册供应商应及时在</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申请办理安全证书（CA锁）及电子签章。</w:t>
      </w:r>
    </w:p>
    <w:p w14:paraId="6AF301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 xml:space="preserve">网上报价时，登录交易平台的电脑须满足以下环境要求：（1）操作系统：Windows 7 </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 xml:space="preserve"> Windows </w:t>
      </w:r>
      <w:r>
        <w:rPr>
          <w:rFonts w:ascii="仿宋_GB2312" w:hAnsi="仿宋" w:eastAsia="仿宋_GB2312" w:cs="宋体"/>
          <w:color w:val="auto"/>
          <w:sz w:val="28"/>
          <w:szCs w:val="28"/>
        </w:rPr>
        <w:t>10</w:t>
      </w:r>
      <w:r>
        <w:rPr>
          <w:rFonts w:hint="eastAsia" w:ascii="仿宋_GB2312" w:hAnsi="仿宋" w:eastAsia="仿宋_GB2312" w:cs="宋体"/>
          <w:color w:val="auto"/>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威海市公共资源交易网）办事指南栏目-国企采购专区-《威海国企阳光采购电子化服务平台供应商操作视频教程》，网址:</w:t>
      </w:r>
      <w:r>
        <w:rPr>
          <w:rFonts w:ascii="仿宋_GB2312" w:hAnsi="宋体" w:eastAsia="仿宋_GB2312"/>
          <w:color w:val="auto"/>
          <w:sz w:val="28"/>
          <w:szCs w:val="28"/>
        </w:rPr>
        <w:t xml:space="preserve"> </w:t>
      </w:r>
      <w:r>
        <w:rPr>
          <w:rFonts w:hint="eastAsia" w:ascii="仿宋_GB2312" w:hAnsi="宋体" w:eastAsia="仿宋_GB2312"/>
          <w:color w:val="auto"/>
          <w:sz w:val="28"/>
          <w:szCs w:val="28"/>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1A7AA534">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751033E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416510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F82B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002FD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1D1DD6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628CB5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622C8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5EB32E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w:t>
      </w:r>
      <w:r>
        <w:rPr>
          <w:rFonts w:hint="eastAsia" w:ascii="仿宋_GB2312" w:hAnsi="仿宋" w:eastAsia="仿宋_GB2312" w:cs="宋体"/>
          <w:color w:val="auto"/>
          <w:sz w:val="28"/>
          <w:szCs w:val="28"/>
          <w:lang w:eastAsia="zh-CN"/>
        </w:rPr>
        <w:t>合同书</w:t>
      </w:r>
      <w:r>
        <w:rPr>
          <w:rFonts w:hint="eastAsia" w:ascii="仿宋_GB2312" w:hAnsi="仿宋" w:eastAsia="仿宋_GB2312" w:cs="宋体"/>
          <w:color w:val="auto"/>
          <w:sz w:val="28"/>
          <w:szCs w:val="28"/>
        </w:rPr>
        <w:t>（范本）</w:t>
      </w:r>
    </w:p>
    <w:p w14:paraId="069FD2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7ED963D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1A598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CE508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211478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6374B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79EABE69">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746BF3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58FC9CD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将协助采购人组织所有获取采购文件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185F2D8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01D7FE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623B93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0DBAB1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74834D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2B437BEA">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087881C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7BCBA3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54E9C9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3D462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75CA0A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37BDBEB1">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①有效的法人或其他组织的营业执照等证明文件（统一社会信用代码证书）扫描件；</w:t>
      </w:r>
    </w:p>
    <w:p w14:paraId="18439F76">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②具有金属、非金属矿及其他矿采选业范围的安全评价资质</w:t>
      </w:r>
      <w:r>
        <w:rPr>
          <w:rFonts w:hint="default" w:ascii="仿宋_GB2312" w:hAnsi="宋体" w:eastAsia="仿宋_GB2312"/>
          <w:color w:val="auto"/>
          <w:sz w:val="28"/>
          <w:szCs w:val="28"/>
          <w:lang w:eastAsia="zh-CN"/>
        </w:rPr>
        <w:t>，需提供证书扫描件</w:t>
      </w:r>
      <w:r>
        <w:rPr>
          <w:rFonts w:hint="default" w:ascii="仿宋_GB2312" w:hAnsi="宋体" w:eastAsia="仿宋_GB2312"/>
          <w:color w:val="auto"/>
          <w:sz w:val="28"/>
          <w:szCs w:val="28"/>
        </w:rPr>
        <w:t>；</w:t>
      </w:r>
    </w:p>
    <w:p w14:paraId="714F3AA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③</w:t>
      </w:r>
      <w:r>
        <w:rPr>
          <w:rFonts w:ascii="仿宋_GB2312" w:hAnsi="宋体" w:eastAsia="仿宋_GB2312"/>
          <w:color w:val="auto"/>
          <w:sz w:val="28"/>
          <w:szCs w:val="28"/>
        </w:rPr>
        <w:t>法定代表人授权委托书；被授权人身份证扫描件；</w:t>
      </w:r>
    </w:p>
    <w:p w14:paraId="7A42FB6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23444FD2">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④</w:t>
      </w:r>
      <w:r>
        <w:rPr>
          <w:rFonts w:ascii="仿宋_GB2312" w:hAnsi="宋体" w:eastAsia="仿宋_GB2312"/>
          <w:color w:val="auto"/>
          <w:sz w:val="28"/>
          <w:szCs w:val="28"/>
        </w:rPr>
        <w:t>投标人依法缴纳税收和社会保障资金的声明（格式自拟）；近期的完税凭证及交纳社保资金凭证的扫描件；</w:t>
      </w:r>
    </w:p>
    <w:p w14:paraId="0129CD80">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⑤</w:t>
      </w:r>
      <w:r>
        <w:rPr>
          <w:rFonts w:ascii="仿宋_GB2312" w:hAnsi="宋体" w:eastAsia="仿宋_GB2312"/>
          <w:color w:val="auto"/>
          <w:sz w:val="28"/>
          <w:szCs w:val="28"/>
        </w:rPr>
        <w:t>投标人参加本项目报价前三年内无重大违法记录声明（格式自定）；</w:t>
      </w:r>
    </w:p>
    <w:p w14:paraId="4E26F8AB">
      <w:pPr>
        <w:snapToGrid w:val="0"/>
        <w:spacing w:line="560" w:lineRule="exact"/>
        <w:ind w:firstLine="280" w:firstLineChars="100"/>
        <w:rPr>
          <w:rFonts w:ascii="仿宋_GB2312" w:hAnsi="宋体" w:eastAsia="仿宋_GB2312"/>
          <w:sz w:val="28"/>
          <w:szCs w:val="28"/>
        </w:rPr>
      </w:pPr>
      <w:r>
        <w:rPr>
          <w:rFonts w:hint="eastAsia" w:ascii="仿宋_GB2312" w:hAnsi="宋体" w:eastAsia="仿宋_GB2312"/>
          <w:color w:val="auto"/>
          <w:sz w:val="28"/>
          <w:szCs w:val="28"/>
          <w:lang w:val="en-US" w:eastAsia="zh-CN"/>
        </w:rPr>
        <w:t>⑥</w:t>
      </w:r>
      <w:r>
        <w:rPr>
          <w:rFonts w:ascii="仿宋_GB2312" w:hAnsi="宋体" w:eastAsia="仿宋_GB2312"/>
          <w:sz w:val="28"/>
          <w:szCs w:val="28"/>
        </w:rPr>
        <w:t>投标人未被工商行政管理机关在全国企业信用信息公示系统中列入严重违法失信企业名单（附企业信用信息公示报告，查询网址http://www.gsxt.gov.cn/index.html）；</w:t>
      </w:r>
    </w:p>
    <w:p w14:paraId="7AA166D7">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w:t>
      </w:r>
    </w:p>
    <w:p w14:paraId="42FC9460">
      <w:pPr>
        <w:spacing w:line="560" w:lineRule="exact"/>
        <w:ind w:firstLine="560" w:firstLineChars="2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⑦</w:t>
      </w:r>
      <w:r>
        <w:rPr>
          <w:rFonts w:hint="eastAsia" w:ascii="仿宋_GB2312" w:hAnsi="宋体" w:eastAsia="仿宋_GB2312"/>
          <w:color w:val="auto"/>
          <w:sz w:val="28"/>
          <w:szCs w:val="28"/>
        </w:rPr>
        <w:t>投标人财务状况报告等相关材料</w:t>
      </w:r>
      <w:r>
        <w:rPr>
          <w:rFonts w:hint="eastAsia" w:ascii="仿宋_GB2312" w:hAnsi="宋体" w:eastAsia="仿宋_GB2312"/>
          <w:color w:val="auto"/>
          <w:sz w:val="28"/>
          <w:szCs w:val="28"/>
          <w:lang w:eastAsia="zh-CN"/>
        </w:rPr>
        <w:t>。</w:t>
      </w:r>
    </w:p>
    <w:p w14:paraId="000391D7">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rPr>
        <w:t>年度）；</w:t>
      </w:r>
    </w:p>
    <w:p w14:paraId="29A61A48">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33C9F39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p>
    <w:p w14:paraId="382F53F1">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⑧</w:t>
      </w:r>
      <w:r>
        <w:rPr>
          <w:rFonts w:ascii="仿宋_GB2312" w:hAnsi="宋体" w:eastAsia="仿宋_GB2312"/>
          <w:color w:val="auto"/>
          <w:sz w:val="28"/>
          <w:szCs w:val="28"/>
        </w:rPr>
        <w:t>投标人具有履行合同所必需的设备和专业技术能力承诺函（格式自拟）</w:t>
      </w:r>
    </w:p>
    <w:p w14:paraId="1563CE30">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以上所有资质资格证明文件均需加盖投标人签章。</w:t>
      </w:r>
    </w:p>
    <w:p w14:paraId="44FA454A">
      <w:pPr>
        <w:numPr>
          <w:ilvl w:val="0"/>
          <w:numId w:val="0"/>
        </w:num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lang w:val="en-US" w:eastAsia="zh-CN"/>
        </w:rPr>
        <w:t>5</w:t>
      </w: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rPr>
        <w:t>商务文件部分</w:t>
      </w:r>
    </w:p>
    <w:p w14:paraId="3070B587">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w:t>
      </w:r>
      <w:r>
        <w:rPr>
          <w:rFonts w:hint="eastAsia" w:ascii="仿宋_GB2312" w:hAnsi="宋体" w:eastAsia="仿宋_GB2312"/>
          <w:color w:val="auto"/>
          <w:sz w:val="28"/>
          <w:szCs w:val="28"/>
          <w:lang w:val="en-US" w:eastAsia="zh-CN"/>
        </w:rPr>
        <w:t>项目人员配备；</w:t>
      </w:r>
    </w:p>
    <w:p w14:paraId="21E4E21A">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②企业业绩</w:t>
      </w:r>
      <w:r>
        <w:rPr>
          <w:rFonts w:hint="eastAsia" w:ascii="仿宋_GB2312" w:hAnsi="宋体" w:eastAsia="仿宋_GB2312"/>
          <w:color w:val="auto"/>
          <w:sz w:val="28"/>
          <w:szCs w:val="28"/>
          <w:lang w:eastAsia="zh-CN"/>
        </w:rPr>
        <w:t>；</w:t>
      </w:r>
    </w:p>
    <w:p w14:paraId="43AEB4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（6）技术文件，包括但不限于以下内容:</w:t>
      </w:r>
    </w:p>
    <w:p w14:paraId="1DBAE889">
      <w:pPr>
        <w:spacing w:line="560" w:lineRule="exact"/>
        <w:ind w:firstLine="562" w:firstLineChars="201"/>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①质量保证措施；</w:t>
      </w:r>
    </w:p>
    <w:p w14:paraId="44703E85">
      <w:pPr>
        <w:spacing w:line="560" w:lineRule="exact"/>
        <w:ind w:firstLine="562" w:firstLineChars="201"/>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②实施方案；</w:t>
      </w:r>
    </w:p>
    <w:p w14:paraId="1C9BA854">
      <w:pPr>
        <w:spacing w:line="560" w:lineRule="exact"/>
        <w:ind w:firstLine="562" w:firstLineChars="201"/>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③工作进度计划保障措施；</w:t>
      </w:r>
    </w:p>
    <w:p w14:paraId="78B07A22">
      <w:pPr>
        <w:spacing w:line="560" w:lineRule="exact"/>
        <w:ind w:firstLine="562" w:firstLineChars="201"/>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④服务承诺；</w:t>
      </w:r>
    </w:p>
    <w:p w14:paraId="4142AA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2DF0A4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6EA7E1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6BE27C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C9E350A">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664EB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w:t>
      </w:r>
      <w:r>
        <w:rPr>
          <w:rFonts w:hint="eastAsia" w:ascii="仿宋_GB2312" w:hAnsi="宋体" w:eastAsia="仿宋_GB2312"/>
          <w:color w:val="auto"/>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4C1B66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6512E700">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76E218C8">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47928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2E036F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1CC216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2E187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32685B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337D7EB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759EA5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11BDC3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1E2B78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40092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2B36BE7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54BB1BF">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5F9AEB6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18202E14">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2FB2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111A7B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25EC843A">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170603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339AAE47">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2CAB8FF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1413FCA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7EE4F4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采购人和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有权按本须知的规定，延迟投标截止时间。在此情况下，采购人、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2758742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7CB8655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23.1采购人可以要求投标人对其提供的信息化、自动化等相关类别服务进行演示。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47D087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0F5D0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3FEDDFD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67805A5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1F6FE3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14977F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291590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06D2B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50AA69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753866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3A0BD2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4F9C68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07B059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3AAF3E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210A16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67C8A7E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60438AB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63D96D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74787A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34A9BF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28EEFB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0368DE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26.2采购人员及相关人员与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5560A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C88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795ECB3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129A0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334996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31E809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1520B1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或采购人的职责：</w:t>
      </w:r>
    </w:p>
    <w:p w14:paraId="0613AB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3FFFB1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221528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55084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50C4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55281D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1EAFFF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56E5336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310935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43AE0A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7EFC55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w:t>
      </w:r>
      <w:r>
        <w:rPr>
          <w:rFonts w:hint="eastAsia" w:ascii="仿宋_GB2312" w:hAnsi="仿宋" w:eastAsia="仿宋_GB2312" w:cs="宋体"/>
          <w:color w:val="auto"/>
          <w:sz w:val="28"/>
          <w:szCs w:val="28"/>
          <w:lang w:eastAsia="zh-CN"/>
        </w:rPr>
        <w:t>人</w:t>
      </w:r>
      <w:r>
        <w:rPr>
          <w:rFonts w:hint="eastAsia" w:ascii="仿宋_GB2312" w:hAnsi="仿宋" w:eastAsia="仿宋_GB2312" w:cs="宋体"/>
          <w:color w:val="auto"/>
          <w:sz w:val="28"/>
          <w:szCs w:val="28"/>
        </w:rPr>
        <w:t>的企业实力；</w:t>
      </w:r>
    </w:p>
    <w:p w14:paraId="6048F400">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（3）技术方案（包括设计工作大纲</w:t>
      </w:r>
      <w:r>
        <w:rPr>
          <w:rFonts w:hint="eastAsia" w:ascii="仿宋_GB2312" w:hAnsi="仿宋" w:eastAsia="仿宋_GB2312" w:cs="宋体"/>
          <w:color w:val="auto"/>
          <w:sz w:val="28"/>
          <w:szCs w:val="28"/>
          <w:lang w:eastAsia="zh-CN"/>
        </w:rPr>
        <w:t>、总体设计思路和设计服务方案、</w:t>
      </w:r>
    </w:p>
    <w:p w14:paraId="5C0D22E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rPr>
        <w:t>等；</w:t>
      </w:r>
    </w:p>
    <w:p w14:paraId="462E4B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312777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2911D3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28149B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3AFBDD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7FE273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67280B5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672ED7B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7B94C3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679150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自评标结束之日起2个工作日内在指定媒体上公布评标结果；需要采购人确认的，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783A6EF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3915F92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33.6中标人在规定的期限内无正当理由拒绝签订合同，采购人可以按照评审报告推荐的中标候选人名单排序，确定下一候选人为中标人，也可以重新开展政府采购活动。</w:t>
      </w:r>
    </w:p>
    <w:p w14:paraId="543F675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14EBEBF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1C36AF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采购代理机构自成交供应商确定之日起</w:t>
      </w:r>
      <w:r>
        <w:rPr>
          <w:rFonts w:ascii="仿宋_GB2312" w:hAnsi="宋体" w:eastAsia="仿宋_GB2312"/>
          <w:color w:val="auto"/>
          <w:sz w:val="28"/>
          <w:szCs w:val="28"/>
        </w:rPr>
        <w:t>3</w:t>
      </w:r>
      <w:r>
        <w:rPr>
          <w:rFonts w:hint="eastAsia" w:ascii="仿宋_GB2312" w:hAnsi="宋体" w:eastAsia="仿宋_GB2312"/>
          <w:color w:val="auto"/>
          <w:sz w:val="28"/>
          <w:szCs w:val="28"/>
        </w:rPr>
        <w:t>日内，在原磋商公告发布媒体上发布告</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结果。</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公告期限为1个工作日</w:t>
      </w:r>
      <w:r>
        <w:rPr>
          <w:rFonts w:hint="eastAsia" w:ascii="仿宋_GB2312" w:hAnsi="仿宋" w:eastAsia="仿宋_GB2312" w:cs="宋体"/>
          <w:color w:val="auto"/>
          <w:sz w:val="28"/>
          <w:szCs w:val="28"/>
        </w:rPr>
        <w:t>。中标公告应当包括下列内容：</w:t>
      </w:r>
    </w:p>
    <w:p w14:paraId="100A492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58E5D6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338489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1F0ED2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524CE7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374DD9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45C065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rPr>
        <w:t>采购人不得违法改变中标结果，中标人无正当理由不得放弃中标。</w:t>
      </w:r>
    </w:p>
    <w:p w14:paraId="7EF0B4B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08B91AB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3A52DE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应当告知其向采购人提出。</w:t>
      </w:r>
    </w:p>
    <w:p w14:paraId="6BC7D1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64DAB3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11BE9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070B9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6E2A3F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63680F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6CB2D4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31BCF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5C9FB6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1A5A771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072904E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302BD2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疑供应商对答复不满意，或者采购人、代理机构未在规定的时间内做出书面答复的，可以在答复期满后15个工作日内向主管理部门投诉。</w:t>
      </w:r>
    </w:p>
    <w:p w14:paraId="65EF0346">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6F6404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7885AE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7774821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7CB0D7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263E597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62F3523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本项目无预付款。</w:t>
      </w:r>
    </w:p>
    <w:p w14:paraId="3ABB25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政府采购合同签订后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采购人向</w:t>
      </w:r>
      <w:r>
        <w:rPr>
          <w:rFonts w:hint="eastAsia" w:ascii="仿宋_GB2312" w:hAnsi="仿宋" w:eastAsia="仿宋_GB2312" w:cs="宋体"/>
          <w:color w:val="auto"/>
          <w:sz w:val="28"/>
          <w:szCs w:val="28"/>
        </w:rPr>
        <w:t>中标供应商</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采购人预付款方式见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50264CC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2D1DF1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2B35901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13CCDD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753DE94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21F7238A">
      <w:pPr>
        <w:ind w:firstLine="425" w:firstLineChars="152"/>
        <w:rPr>
          <w:rFonts w:ascii="仿宋_GB2312" w:hAnsi="仿宋" w:eastAsia="仿宋_GB2312" w:cs="宋体"/>
          <w:color w:val="auto"/>
          <w:sz w:val="28"/>
          <w:szCs w:val="28"/>
        </w:rPr>
      </w:pPr>
    </w:p>
    <w:p w14:paraId="4A10663E">
      <w:pPr>
        <w:rPr>
          <w:color w:val="auto"/>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30"/>
        <w:spacing w:before="100" w:beforeAutospacing="1" w:after="100" w:afterAutospacing="1" w:line="415" w:lineRule="auto"/>
        <w:ind w:left="1440" w:firstLine="883" w:firstLineChars="20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5F329007">
      <w:pPr>
        <w:rPr>
          <w:color w:val="auto"/>
        </w:rPr>
      </w:pPr>
    </w:p>
    <w:p w14:paraId="282729E8">
      <w:pPr>
        <w:rPr>
          <w:color w:val="auto"/>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432A1F2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CBDB337">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乳山市白沙滩镇潘家、冯家镇卧龙饰面用花岗岩矿两矿区可行性研究报告、安全预评价及安全设施设计</w:t>
      </w:r>
    </w:p>
    <w:p w14:paraId="554AFF64">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WHJX-ZB-2026-055</w:t>
      </w:r>
    </w:p>
    <w:p w14:paraId="43901D64">
      <w:pPr>
        <w:spacing w:line="560" w:lineRule="exact"/>
        <w:ind w:firstLine="560" w:firstLineChars="200"/>
        <w:rPr>
          <w:rFonts w:hint="eastAsia" w:ascii="仿宋_GB2312" w:hAnsi="宋体" w:eastAsia="仿宋_GB2312"/>
          <w:color w:val="auto"/>
          <w:sz w:val="28"/>
          <w:szCs w:val="21"/>
        </w:rPr>
      </w:pPr>
      <w:r>
        <w:rPr>
          <w:rFonts w:hint="eastAsia" w:ascii="仿宋_GB2312" w:hAnsi="宋体" w:eastAsia="仿宋_GB2312"/>
          <w:color w:val="auto"/>
          <w:sz w:val="28"/>
          <w:szCs w:val="21"/>
        </w:rPr>
        <w:t>项目概况说明：</w:t>
      </w:r>
    </w:p>
    <w:p w14:paraId="4F928A70">
      <w:pPr>
        <w:spacing w:line="560" w:lineRule="exact"/>
        <w:ind w:firstLine="560" w:firstLineChars="200"/>
        <w:rPr>
          <w:rFonts w:hint="eastAsia" w:ascii="仿宋_GB2312" w:eastAsia="仿宋_GB2312"/>
          <w:color w:val="0000FF"/>
          <w:sz w:val="28"/>
          <w:szCs w:val="21"/>
          <w:lang w:eastAsia="zh-CN"/>
        </w:rPr>
      </w:pPr>
      <w:r>
        <w:rPr>
          <w:rFonts w:hint="eastAsia" w:ascii="仿宋_GB2312" w:hAnsi="宋体" w:eastAsia="仿宋_GB2312"/>
          <w:color w:val="auto"/>
          <w:sz w:val="28"/>
          <w:szCs w:val="21"/>
          <w:lang w:val="en-US" w:eastAsia="zh-CN"/>
        </w:rPr>
        <w:t>A包：本项目分为两个标包：A包：安全预评价； B包：可行性研究报告及安全设施设计。根据国家相关法律法规及主管部门要求，须分别编制可行性研究报告、安全预评价及安全设施设计（含初步设计）文件。上述报告编制应严格遵守现行法律、法规、规章、国家标准、行业标准及技术规范，确保内容合规、准确；同时，应合理选用成熟适用的工艺路线，配备安全可靠的技术装备及设施，满足项目本质安全与设计合规性要求。</w:t>
      </w:r>
    </w:p>
    <w:p w14:paraId="0356FF8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AD64445">
      <w:pPr>
        <w:pStyle w:val="53"/>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采购标的需实现的功能或者目标：完成</w:t>
      </w:r>
      <w:r>
        <w:rPr>
          <w:rFonts w:hint="eastAsia" w:ascii="仿宋_GB2312" w:hAnsi="宋体" w:eastAsia="仿宋_GB2312"/>
          <w:color w:val="auto"/>
          <w:szCs w:val="21"/>
          <w:lang w:eastAsia="zh-CN"/>
        </w:rPr>
        <w:t>安全预评价</w:t>
      </w:r>
      <w:r>
        <w:rPr>
          <w:rFonts w:hint="eastAsia" w:ascii="仿宋_GB2312" w:hAnsi="宋体" w:eastAsia="仿宋_GB2312"/>
          <w:color w:val="auto"/>
          <w:szCs w:val="21"/>
        </w:rPr>
        <w:t>。</w:t>
      </w:r>
      <w:r>
        <w:rPr>
          <w:rFonts w:ascii="仿宋_GB2312" w:hAnsi="宋体" w:eastAsia="仿宋_GB2312"/>
          <w:color w:val="auto"/>
        </w:rPr>
        <w:t xml:space="preserve"> </w:t>
      </w:r>
    </w:p>
    <w:p w14:paraId="7164ACE0">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4EC51A78">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w:t>
      </w:r>
      <w:r>
        <w:rPr>
          <w:rFonts w:hint="eastAsia" w:ascii="仿宋_GB2312" w:hAnsi="宋体" w:eastAsia="仿宋_GB2312"/>
          <w:color w:val="auto"/>
          <w:lang w:val="en-US" w:eastAsia="zh-CN"/>
        </w:rPr>
        <w:t>120000.00元。</w:t>
      </w:r>
    </w:p>
    <w:p w14:paraId="193DAC8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4A699AED">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本项目包段采用</w:t>
      </w:r>
      <w:r>
        <w:rPr>
          <w:rFonts w:hint="eastAsia" w:ascii="仿宋_GB2312" w:hAnsi="宋体" w:eastAsia="仿宋_GB2312"/>
          <w:color w:val="auto"/>
          <w:lang w:eastAsia="zh-CN"/>
        </w:rPr>
        <w:t>自愿公开招标</w:t>
      </w:r>
      <w:r>
        <w:rPr>
          <w:rFonts w:hint="eastAsia" w:ascii="仿宋_GB2312" w:hAnsi="宋体" w:eastAsia="仿宋_GB2312"/>
          <w:color w:val="auto"/>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1FFA5290">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33"/>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2551"/>
        <w:gridCol w:w="709"/>
        <w:gridCol w:w="851"/>
        <w:gridCol w:w="6299"/>
      </w:tblGrid>
      <w:tr w14:paraId="4E57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78FBA95E">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2BF32DC4">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45113E79">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43E5B4A6">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2551" w:type="dxa"/>
            <w:shd w:val="clear" w:color="auto" w:fill="D9D9D9"/>
            <w:vAlign w:val="center"/>
          </w:tcPr>
          <w:p w14:paraId="6E595801">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709" w:type="dxa"/>
            <w:shd w:val="clear" w:color="auto" w:fill="D9D9D9"/>
            <w:vAlign w:val="center"/>
          </w:tcPr>
          <w:p w14:paraId="501EF17E">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2C5D22AF">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6299" w:type="dxa"/>
            <w:shd w:val="clear" w:color="auto" w:fill="D9D9D9"/>
            <w:vAlign w:val="center"/>
          </w:tcPr>
          <w:p w14:paraId="7E8D40E5">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A6E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407BA17A">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7776C7D3">
            <w:pPr>
              <w:jc w:val="center"/>
              <w:rPr>
                <w:rFonts w:ascii="仿宋_GB2312" w:hAnsi="宋体" w:eastAsia="仿宋_GB2312"/>
                <w:color w:val="auto"/>
                <w:sz w:val="24"/>
              </w:rPr>
            </w:pPr>
            <w:r>
              <w:rPr>
                <w:rFonts w:hint="eastAsia" w:ascii="仿宋_GB2312" w:hAnsi="宋体" w:eastAsia="仿宋_GB2312"/>
                <w:color w:val="auto"/>
                <w:sz w:val="24"/>
              </w:rPr>
              <w:t>服务</w:t>
            </w:r>
          </w:p>
        </w:tc>
        <w:tc>
          <w:tcPr>
            <w:tcW w:w="992" w:type="dxa"/>
            <w:vAlign w:val="center"/>
          </w:tcPr>
          <w:p w14:paraId="351A2494">
            <w:pPr>
              <w:jc w:val="center"/>
              <w:rPr>
                <w:rFonts w:ascii="仿宋_GB2312" w:hAnsi="宋体" w:eastAsia="仿宋_GB2312"/>
                <w:color w:val="auto"/>
                <w:sz w:val="24"/>
              </w:rPr>
            </w:pPr>
          </w:p>
        </w:tc>
        <w:tc>
          <w:tcPr>
            <w:tcW w:w="2551" w:type="dxa"/>
            <w:vAlign w:val="center"/>
          </w:tcPr>
          <w:p w14:paraId="1A18B9DA">
            <w:pPr>
              <w:jc w:val="center"/>
              <w:rPr>
                <w:rFonts w:hint="default" w:ascii="仿宋_GB2312" w:hAnsi="宋体" w:eastAsia="仿宋_GB2312"/>
                <w:color w:val="auto"/>
                <w:sz w:val="24"/>
                <w:lang w:eastAsia="zh-CN"/>
              </w:rPr>
            </w:pPr>
            <w:r>
              <w:rPr>
                <w:rFonts w:hint="eastAsia" w:ascii="仿宋_GB2312" w:hAnsi="宋体" w:eastAsia="仿宋_GB2312"/>
                <w:color w:val="auto"/>
                <w:sz w:val="24"/>
                <w:lang w:eastAsia="zh-CN"/>
              </w:rPr>
              <w:t>安全预评价</w:t>
            </w:r>
          </w:p>
        </w:tc>
        <w:tc>
          <w:tcPr>
            <w:tcW w:w="709" w:type="dxa"/>
            <w:vAlign w:val="center"/>
          </w:tcPr>
          <w:p w14:paraId="1C96CBD0">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44B9E349">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6299" w:type="dxa"/>
          </w:tcPr>
          <w:p w14:paraId="183249E8">
            <w:pPr>
              <w:rPr>
                <w:rFonts w:ascii="仿宋_GB2312" w:hAnsi="宋体" w:eastAsia="仿宋_GB2312"/>
                <w:color w:val="auto"/>
                <w:sz w:val="24"/>
              </w:rPr>
            </w:pPr>
            <w:r>
              <w:rPr>
                <w:rFonts w:hint="eastAsia" w:ascii="仿宋_GB2312" w:hAnsi="宋体" w:eastAsia="仿宋_GB2312"/>
                <w:color w:val="auto"/>
                <w:sz w:val="24"/>
                <w:lang w:val="en-US" w:eastAsia="zh-CN"/>
              </w:rPr>
              <w:t>A包：安全预评价；根据国家相关法律法规及主管部门要求，须编制可安全预评价文件。上述报告编制应严格遵守现行法律、法规、规章、国家标准、行业标准及技术规范，确保内容合规、准确；同时，应合理选用成熟适用的工艺路线，配备安全可靠的技术装备及设施，满足项目本质安全与设计合规性要求。</w:t>
            </w:r>
          </w:p>
        </w:tc>
      </w:tr>
    </w:tbl>
    <w:p w14:paraId="0992487A">
      <w:pPr>
        <w:widowControl/>
        <w:spacing w:line="200" w:lineRule="exact"/>
        <w:ind w:firstLine="200" w:firstLineChars="200"/>
        <w:jc w:val="center"/>
        <w:rPr>
          <w:rFonts w:ascii="仿宋_GB2312" w:hAnsi="宋体" w:eastAsia="仿宋_GB2312"/>
          <w:color w:val="auto"/>
          <w:sz w:val="10"/>
          <w:szCs w:val="10"/>
        </w:rPr>
      </w:pPr>
    </w:p>
    <w:p w14:paraId="6C98D046">
      <w:pPr>
        <w:widowControl/>
        <w:spacing w:line="560" w:lineRule="exact"/>
        <w:ind w:firstLine="643" w:firstLineChars="200"/>
        <w:jc w:val="left"/>
        <w:rPr>
          <w:rFonts w:ascii="楷体_GB2312" w:hAnsi="宋体" w:eastAsia="楷体_GB2312"/>
          <w:b/>
          <w:bCs/>
          <w:color w:val="auto"/>
          <w:kern w:val="44"/>
          <w:sz w:val="32"/>
          <w:szCs w:val="30"/>
        </w:rPr>
      </w:pPr>
    </w:p>
    <w:p w14:paraId="5181258B">
      <w:pPr>
        <w:pStyle w:val="32"/>
        <w:rPr>
          <w:rFonts w:ascii="楷体_GB2312" w:hAnsi="宋体" w:eastAsia="楷体_GB2312"/>
          <w:b/>
          <w:bCs/>
          <w:color w:val="auto"/>
          <w:kern w:val="44"/>
          <w:sz w:val="32"/>
          <w:szCs w:val="30"/>
        </w:rPr>
      </w:pPr>
    </w:p>
    <w:p w14:paraId="1E8D32F4">
      <w:pPr>
        <w:rPr>
          <w:rFonts w:ascii="楷体_GB2312" w:hAnsi="宋体" w:eastAsia="楷体_GB2312"/>
          <w:b/>
          <w:bCs/>
          <w:color w:val="auto"/>
          <w:kern w:val="44"/>
          <w:sz w:val="32"/>
          <w:szCs w:val="30"/>
        </w:rPr>
      </w:pPr>
    </w:p>
    <w:p w14:paraId="2AF03D87">
      <w:pPr>
        <w:rPr>
          <w:rFonts w:ascii="楷体_GB2312" w:hAnsi="宋体" w:eastAsia="楷体_GB2312"/>
          <w:b/>
          <w:bCs/>
          <w:color w:val="auto"/>
          <w:kern w:val="44"/>
          <w:sz w:val="32"/>
          <w:szCs w:val="30"/>
        </w:rPr>
      </w:pPr>
    </w:p>
    <w:p w14:paraId="25898CE7">
      <w:pPr>
        <w:pStyle w:val="32"/>
        <w:rPr>
          <w:rFonts w:ascii="楷体_GB2312" w:hAnsi="宋体" w:eastAsia="楷体_GB2312"/>
          <w:b/>
          <w:bCs/>
          <w:color w:val="auto"/>
          <w:kern w:val="44"/>
          <w:sz w:val="32"/>
          <w:szCs w:val="30"/>
        </w:rPr>
      </w:pPr>
    </w:p>
    <w:p w14:paraId="2DB30E90">
      <w:pPr>
        <w:rPr>
          <w:rFonts w:ascii="楷体_GB2312" w:hAnsi="宋体" w:eastAsia="楷体_GB2312"/>
          <w:b/>
          <w:bCs/>
          <w:color w:val="auto"/>
          <w:kern w:val="44"/>
          <w:sz w:val="32"/>
          <w:szCs w:val="30"/>
        </w:rPr>
      </w:pPr>
    </w:p>
    <w:p w14:paraId="52C8AF24">
      <w:pPr>
        <w:pStyle w:val="28"/>
        <w:rPr>
          <w:rFonts w:ascii="楷体_GB2312" w:hAnsi="宋体" w:eastAsia="楷体_GB2312"/>
          <w:b/>
          <w:bCs/>
          <w:color w:val="auto"/>
          <w:kern w:val="44"/>
          <w:sz w:val="32"/>
          <w:szCs w:val="30"/>
        </w:rPr>
      </w:pPr>
    </w:p>
    <w:p w14:paraId="4553ED8C">
      <w:pPr>
        <w:pStyle w:val="28"/>
        <w:rPr>
          <w:rFonts w:ascii="楷体_GB2312" w:hAnsi="宋体" w:eastAsia="楷体_GB2312"/>
          <w:b/>
          <w:bCs/>
          <w:color w:val="auto"/>
          <w:kern w:val="44"/>
          <w:sz w:val="32"/>
          <w:szCs w:val="30"/>
        </w:rPr>
      </w:pPr>
    </w:p>
    <w:p w14:paraId="59867995">
      <w:pPr>
        <w:widowControl/>
        <w:spacing w:line="560" w:lineRule="exact"/>
        <w:jc w:val="left"/>
        <w:rPr>
          <w:rFonts w:ascii="仿宋_GB2312" w:hAnsi="宋体" w:eastAsia="仿宋_GB2312"/>
          <w:color w:val="auto"/>
          <w:sz w:val="28"/>
          <w:szCs w:val="21"/>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2B09B1CA">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4C0BDD9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p>
    <w:p w14:paraId="3F7FC79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1815EC7A">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1）质量要求</w:t>
      </w:r>
    </w:p>
    <w:p w14:paraId="282C262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1"/>
        </w:rPr>
        <w:t>达到国家及行业标准规定，通过专家及批复部门评审</w:t>
      </w:r>
      <w:r>
        <w:rPr>
          <w:rFonts w:hint="eastAsia" w:ascii="仿宋_GB2312" w:hAnsi="宋体" w:eastAsia="仿宋_GB2312"/>
          <w:color w:val="auto"/>
          <w:sz w:val="28"/>
          <w:szCs w:val="21"/>
        </w:rPr>
        <w:t xml:space="preserve">  </w:t>
      </w:r>
    </w:p>
    <w:p w14:paraId="66C3F15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p>
    <w:p w14:paraId="575BE58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 安全、可靠   </w:t>
      </w:r>
    </w:p>
    <w:p w14:paraId="4C9D3C3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3</w:t>
      </w:r>
      <w:r>
        <w:rPr>
          <w:rFonts w:ascii="仿宋_GB2312" w:hAnsi="宋体" w:eastAsia="仿宋_GB2312"/>
          <w:color w:val="auto"/>
          <w:sz w:val="28"/>
          <w:szCs w:val="21"/>
        </w:rPr>
        <w:t>）交付（实施）地点</w:t>
      </w:r>
    </w:p>
    <w:p w14:paraId="65466C8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6AB6C4B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4</w:t>
      </w:r>
      <w:r>
        <w:rPr>
          <w:rFonts w:hint="eastAsia" w:ascii="仿宋_GB2312" w:hAnsi="宋体" w:eastAsia="仿宋_GB2312"/>
          <w:color w:val="auto"/>
          <w:sz w:val="28"/>
          <w:szCs w:val="21"/>
        </w:rPr>
        <w:t>）付款方式</w:t>
      </w:r>
    </w:p>
    <w:p w14:paraId="2F969075">
      <w:pPr>
        <w:spacing w:line="560" w:lineRule="exact"/>
        <w:ind w:firstLine="560" w:firstLineChars="200"/>
        <w:rPr>
          <w:rFonts w:hint="eastAsia" w:ascii="仿宋_GB2312" w:hAnsi="宋体" w:eastAsia="仿宋_GB2312"/>
          <w:color w:val="auto"/>
          <w:sz w:val="28"/>
          <w:szCs w:val="28"/>
        </w:rPr>
      </w:pPr>
      <w:r>
        <w:rPr>
          <w:rFonts w:hint="eastAsia" w:ascii="仿宋_GB2312" w:hAnsi="宋体" w:eastAsia="仿宋_GB2312"/>
          <w:color w:val="auto"/>
          <w:sz w:val="28"/>
          <w:szCs w:val="28"/>
          <w:lang w:eastAsia="zh-CN"/>
        </w:rPr>
        <w:t>所有工作完成并提交成果文件，待基建批复下达后，支付合同总价款的50%；剩余款项，待安全生产许可证取得后支付。</w:t>
      </w:r>
    </w:p>
    <w:p w14:paraId="15F7DD6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5FFDF42A">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1）服务标准</w:t>
      </w:r>
    </w:p>
    <w:p w14:paraId="0818E64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 合格   </w:t>
      </w:r>
    </w:p>
    <w:p w14:paraId="0B9E661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2）服务期</w:t>
      </w:r>
    </w:p>
    <w:p w14:paraId="69F4D548">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lang w:eastAsia="zh-CN"/>
        </w:rPr>
        <w:t>自合同签订之日起一年</w:t>
      </w:r>
    </w:p>
    <w:p w14:paraId="215CA8A6">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FC4341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8"/>
        </w:rPr>
        <w:t xml:space="preserve">符合相关技术要求及行业标准。 </w:t>
      </w:r>
      <w:r>
        <w:rPr>
          <w:rFonts w:hint="eastAsia" w:ascii="仿宋_GB2312" w:hAnsi="宋体" w:eastAsia="仿宋_GB2312"/>
          <w:color w:val="auto"/>
          <w:sz w:val="28"/>
          <w:szCs w:val="28"/>
        </w:rPr>
        <w:t xml:space="preserve"> </w:t>
      </w:r>
      <w:r>
        <w:rPr>
          <w:rFonts w:hint="eastAsia" w:ascii="仿宋_GB2312" w:hAnsi="宋体" w:eastAsia="仿宋_GB2312"/>
          <w:color w:val="auto"/>
          <w:sz w:val="28"/>
          <w:szCs w:val="21"/>
        </w:rPr>
        <w:t xml:space="preserve"> </w:t>
      </w:r>
    </w:p>
    <w:p w14:paraId="61B169F0">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4DB58C9D">
      <w:pPr>
        <w:spacing w:line="560" w:lineRule="exact"/>
        <w:ind w:firstLine="560" w:firstLineChars="200"/>
        <w:rPr>
          <w:rFonts w:hint="default" w:ascii="仿宋_GB2312" w:hAnsi="宋体" w:eastAsia="仿宋_GB2312"/>
          <w:sz w:val="28"/>
          <w:szCs w:val="28"/>
          <w:lang w:val="en-US" w:eastAsia="zh-CN"/>
        </w:rPr>
      </w:pPr>
      <w:r>
        <w:rPr>
          <w:rFonts w:hint="eastAsia" w:ascii="仿宋_GB2312" w:hAnsi="宋体" w:eastAsia="仿宋_GB2312"/>
          <w:sz w:val="28"/>
          <w:szCs w:val="28"/>
          <w:lang w:val="en-US" w:eastAsia="zh-CN"/>
        </w:rPr>
        <w:t>符合采购文件要求</w:t>
      </w:r>
    </w:p>
    <w:p w14:paraId="286FA7B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3A79F9F1">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采购人：</w:t>
      </w:r>
      <w:r>
        <w:rPr>
          <w:rFonts w:ascii="仿宋_GB2312" w:hAnsi="宋体" w:eastAsia="仿宋_GB2312"/>
          <w:color w:val="auto"/>
          <w:sz w:val="28"/>
          <w:szCs w:val="21"/>
        </w:rPr>
        <w:t xml:space="preserve"> </w:t>
      </w:r>
      <w:r>
        <w:rPr>
          <w:rFonts w:hint="eastAsia" w:ascii="仿宋_GB2312" w:hAnsi="宋体" w:eastAsia="仿宋_GB2312"/>
          <w:color w:val="auto"/>
          <w:sz w:val="28"/>
          <w:szCs w:val="21"/>
          <w:lang w:eastAsia="zh-CN"/>
        </w:rPr>
        <w:t>乳山市金岭矿业科技有限公司</w:t>
      </w:r>
    </w:p>
    <w:p w14:paraId="266A94C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采购人地址：</w:t>
      </w:r>
      <w:r>
        <w:rPr>
          <w:rFonts w:hint="eastAsia" w:ascii="仿宋_GB2312" w:hAnsi="宋体" w:eastAsia="仿宋_GB2312"/>
          <w:color w:val="auto"/>
          <w:sz w:val="28"/>
          <w:szCs w:val="21"/>
          <w:lang w:eastAsia="zh-CN"/>
        </w:rPr>
        <w:t>山东省威海市乳山市城区商业街2号</w:t>
      </w:r>
    </w:p>
    <w:p w14:paraId="59C03B72">
      <w:pPr>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王工</w:t>
      </w:r>
    </w:p>
    <w:p w14:paraId="59B92512">
      <w:pPr>
        <w:ind w:firstLine="560" w:firstLineChars="200"/>
        <w:rPr>
          <w:color w:val="auto"/>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0631-6650885</w:t>
      </w:r>
    </w:p>
    <w:p w14:paraId="53102AD4">
      <w:pPr>
        <w:pStyle w:val="30"/>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一、评审原则 </w:t>
      </w:r>
    </w:p>
    <w:p w14:paraId="383EAEA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s="Times New Roman"/>
          <w:color w:val="auto"/>
          <w:sz w:val="28"/>
          <w:szCs w:val="21"/>
        </w:rPr>
        <w:t>“公平、公正、科学、择优”为本次评标的基本原则，评标委员会将按照这一原则的要求</w:t>
      </w:r>
      <w:r>
        <w:rPr>
          <w:rFonts w:hint="eastAsia" w:ascii="仿宋_GB2312" w:hAnsi="宋体" w:eastAsia="仿宋_GB2312"/>
          <w:color w:val="auto"/>
          <w:sz w:val="28"/>
          <w:szCs w:val="21"/>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二、评标程序</w:t>
      </w:r>
    </w:p>
    <w:p w14:paraId="671FE82D">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1．宣布评标纪律；</w:t>
      </w:r>
    </w:p>
    <w:p w14:paraId="1C2DE0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4．核对评审专家身份和采购人代表授权函。</w:t>
      </w:r>
    </w:p>
    <w:p w14:paraId="481AEE5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24A8BE7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50DCA88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1F3DAF2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788846D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(3)投标人的报价均超过了预算上限价格，采购人不能支付的；</w:t>
      </w:r>
    </w:p>
    <w:p w14:paraId="266DBC9B">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三、评标方法</w:t>
      </w:r>
    </w:p>
    <w:p w14:paraId="2227435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3"/>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1D2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0934066">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44E7C9D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653E7D92">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7B3AA466">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027B92A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0E3EF41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3DFD5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A87EB62">
            <w:pPr>
              <w:pStyle w:val="12"/>
              <w:ind w:firstLine="0"/>
              <w:jc w:val="center"/>
              <w:rPr>
                <w:rFonts w:ascii="仿宋_GB2312" w:hAnsi="宋体" w:eastAsia="仿宋_GB2312"/>
                <w:sz w:val="24"/>
                <w:szCs w:val="24"/>
              </w:rPr>
            </w:pPr>
            <w:r>
              <w:rPr>
                <w:rFonts w:ascii="仿宋_GB2312" w:hAnsi="宋体" w:eastAsia="仿宋_GB2312"/>
                <w:sz w:val="24"/>
                <w:szCs w:val="24"/>
              </w:rPr>
              <w:t>1</w:t>
            </w:r>
          </w:p>
        </w:tc>
        <w:tc>
          <w:tcPr>
            <w:tcW w:w="773" w:type="dxa"/>
            <w:vAlign w:val="center"/>
          </w:tcPr>
          <w:p w14:paraId="56406BF6">
            <w:pPr>
              <w:pStyle w:val="12"/>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14:paraId="495E050C">
            <w:pPr>
              <w:pStyle w:val="12"/>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14:paraId="02716FC2">
            <w:pPr>
              <w:pStyle w:val="12"/>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满足招标文件要求且投标报价最低的报价为评标基准价，其报价得分为满分（25分）。其他投标人的报价得分统一按照下列公式计算：报价得分=(评标基准价/投标报价)×25。</w:t>
            </w:r>
          </w:p>
        </w:tc>
        <w:tc>
          <w:tcPr>
            <w:tcW w:w="1026" w:type="dxa"/>
            <w:vAlign w:val="center"/>
          </w:tcPr>
          <w:p w14:paraId="02797662">
            <w:pPr>
              <w:pStyle w:val="12"/>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14:paraId="5F82374E">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25.00</w:t>
            </w:r>
          </w:p>
        </w:tc>
      </w:tr>
      <w:tr w14:paraId="41E7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66A78B4">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2</w:t>
            </w:r>
          </w:p>
        </w:tc>
        <w:tc>
          <w:tcPr>
            <w:tcW w:w="773" w:type="dxa"/>
            <w:vAlign w:val="center"/>
          </w:tcPr>
          <w:p w14:paraId="4184EB46">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1199FD5B">
            <w:pPr>
              <w:pStyle w:val="12"/>
              <w:ind w:firstLine="240" w:firstLineChars="100"/>
              <w:rPr>
                <w:rFonts w:hint="eastAsia" w:ascii="仿宋_GB2312" w:hAnsi="宋体" w:eastAsia="仿宋_GB2312"/>
                <w:sz w:val="24"/>
                <w:szCs w:val="24"/>
              </w:rPr>
            </w:pPr>
            <w:r>
              <w:rPr>
                <w:rFonts w:hint="eastAsia" w:ascii="仿宋" w:hAnsi="仿宋" w:eastAsia="仿宋" w:cs="仿宋"/>
                <w:kern w:val="2"/>
                <w:sz w:val="24"/>
                <w:szCs w:val="24"/>
                <w:lang w:val="en-US" w:eastAsia="zh-CN" w:bidi="ar-SA"/>
              </w:rPr>
              <w:t>人员配备</w:t>
            </w:r>
          </w:p>
        </w:tc>
        <w:tc>
          <w:tcPr>
            <w:tcW w:w="4689" w:type="dxa"/>
            <w:vAlign w:val="center"/>
          </w:tcPr>
          <w:p w14:paraId="649EEFF1">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供应商拟派的安全评价师每提供一名得2分，最高得10分。</w:t>
            </w:r>
          </w:p>
          <w:p w14:paraId="03BF1DCD">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注：响应文件中须附拟派人员的相关证书扫描件，否则不得分。</w:t>
            </w:r>
          </w:p>
        </w:tc>
        <w:tc>
          <w:tcPr>
            <w:tcW w:w="1026" w:type="dxa"/>
            <w:vAlign w:val="center"/>
          </w:tcPr>
          <w:p w14:paraId="74AFE87B">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136397B6">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10.00</w:t>
            </w:r>
          </w:p>
        </w:tc>
      </w:tr>
      <w:tr w14:paraId="01429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AEC7E24">
            <w:pPr>
              <w:pStyle w:val="12"/>
              <w:ind w:firstLine="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3</w:t>
            </w:r>
          </w:p>
        </w:tc>
        <w:tc>
          <w:tcPr>
            <w:tcW w:w="773" w:type="dxa"/>
            <w:vAlign w:val="center"/>
          </w:tcPr>
          <w:p w14:paraId="618DEBC4">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商务</w:t>
            </w:r>
          </w:p>
        </w:tc>
        <w:tc>
          <w:tcPr>
            <w:tcW w:w="1665" w:type="dxa"/>
            <w:vAlign w:val="center"/>
          </w:tcPr>
          <w:p w14:paraId="28500186">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企业业绩</w:t>
            </w:r>
          </w:p>
        </w:tc>
        <w:tc>
          <w:tcPr>
            <w:tcW w:w="4689" w:type="dxa"/>
            <w:vAlign w:val="center"/>
          </w:tcPr>
          <w:p w14:paraId="4067FBF8">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2023年1月1日至今，投标人每提供一份类似项目业绩，得1分，最高计至5分。</w:t>
            </w:r>
          </w:p>
          <w:p w14:paraId="12DC48C9">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注：响应文件中须提供项目的合同扫描件，否则不得分。</w:t>
            </w:r>
          </w:p>
        </w:tc>
        <w:tc>
          <w:tcPr>
            <w:tcW w:w="1026" w:type="dxa"/>
            <w:vAlign w:val="center"/>
          </w:tcPr>
          <w:p w14:paraId="03CFCA88">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4CC5A580">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5.00</w:t>
            </w:r>
          </w:p>
        </w:tc>
      </w:tr>
      <w:tr w14:paraId="327FE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65BDB6A">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4</w:t>
            </w:r>
          </w:p>
        </w:tc>
        <w:tc>
          <w:tcPr>
            <w:tcW w:w="773" w:type="dxa"/>
            <w:vAlign w:val="center"/>
          </w:tcPr>
          <w:p w14:paraId="6F52CC7E">
            <w:pPr>
              <w:pStyle w:val="12"/>
              <w:ind w:left="0" w:leftChars="0" w:firstLine="0" w:firstLineChars="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41191F78">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实施方案</w:t>
            </w:r>
          </w:p>
        </w:tc>
        <w:tc>
          <w:tcPr>
            <w:tcW w:w="4689" w:type="dxa"/>
            <w:vAlign w:val="center"/>
          </w:tcPr>
          <w:p w14:paraId="4D1F8ABE">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由评委根据各供应商的实施方案进行评审，并根据以下标准以0.1分为标准进行打分：</w:t>
            </w:r>
          </w:p>
          <w:p w14:paraId="148F22A4">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【11-15分】：实施方案内容完善，科学可行、技术可靠，能完全满足项目需求；</w:t>
            </w:r>
          </w:p>
          <w:p w14:paraId="402BB8DE">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【6-10分】：实施方案内容较全面，但较之优秀方案有差距的；</w:t>
            </w:r>
          </w:p>
          <w:p w14:paraId="3BCD7F05">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【0-5分】：实施方案比较简单，仅能勉强满足项目需求。</w:t>
            </w:r>
          </w:p>
        </w:tc>
        <w:tc>
          <w:tcPr>
            <w:tcW w:w="1026" w:type="dxa"/>
            <w:vAlign w:val="center"/>
          </w:tcPr>
          <w:p w14:paraId="7975F6BB">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客</w:t>
            </w:r>
            <w:r>
              <w:rPr>
                <w:rFonts w:hint="eastAsia" w:ascii="仿宋_GB2312" w:hAnsi="宋体" w:eastAsia="仿宋_GB2312"/>
                <w:sz w:val="24"/>
                <w:szCs w:val="24"/>
              </w:rPr>
              <w:t>观分</w:t>
            </w:r>
          </w:p>
        </w:tc>
        <w:tc>
          <w:tcPr>
            <w:tcW w:w="773" w:type="dxa"/>
            <w:vAlign w:val="center"/>
          </w:tcPr>
          <w:p w14:paraId="75D6DCEB">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15.00</w:t>
            </w:r>
          </w:p>
        </w:tc>
      </w:tr>
      <w:tr w14:paraId="332A4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C6E06DE">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5</w:t>
            </w:r>
          </w:p>
        </w:tc>
        <w:tc>
          <w:tcPr>
            <w:tcW w:w="773" w:type="dxa"/>
            <w:shd w:val="clear" w:color="auto" w:fill="auto"/>
            <w:vAlign w:val="center"/>
          </w:tcPr>
          <w:p w14:paraId="4769DB06">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7E38ACB1">
            <w:pPr>
              <w:pStyle w:val="12"/>
              <w:ind w:left="0" w:leftChars="0" w:firstLine="0" w:firstLineChars="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质量保证措施</w:t>
            </w:r>
          </w:p>
        </w:tc>
        <w:tc>
          <w:tcPr>
            <w:tcW w:w="4689" w:type="dxa"/>
            <w:shd w:val="clear" w:color="auto" w:fill="auto"/>
            <w:vAlign w:val="center"/>
          </w:tcPr>
          <w:p w14:paraId="6D2E8BEF">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由评委根据各供应商的质量保障措施进行评审，并根据以下标准以0.1分为标准进行打分：</w:t>
            </w:r>
          </w:p>
          <w:p w14:paraId="6C6FD163">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【11-15分】：质量保证措施内容完善、针对性强，职责分工安排合理，能很好的满足采购人需求；</w:t>
            </w:r>
          </w:p>
          <w:p w14:paraId="7A047E42">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【6-10分】：质量保证措施内容较完善，职责分工安排较合理，有一定的可行性；</w:t>
            </w:r>
          </w:p>
          <w:p w14:paraId="1C705FBC">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【0-5分】：措施简单，仅能勉强满足项目需求。</w:t>
            </w:r>
          </w:p>
        </w:tc>
        <w:tc>
          <w:tcPr>
            <w:tcW w:w="1026" w:type="dxa"/>
            <w:shd w:val="clear" w:color="auto" w:fill="auto"/>
            <w:vAlign w:val="center"/>
          </w:tcPr>
          <w:p w14:paraId="06516590">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0DA51B81">
            <w:pPr>
              <w:pStyle w:val="12"/>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15.00</w:t>
            </w:r>
          </w:p>
        </w:tc>
      </w:tr>
      <w:tr w14:paraId="7E10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321C906">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6</w:t>
            </w:r>
          </w:p>
        </w:tc>
        <w:tc>
          <w:tcPr>
            <w:tcW w:w="773" w:type="dxa"/>
            <w:vAlign w:val="center"/>
          </w:tcPr>
          <w:p w14:paraId="7E3EF232">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349CCA0D">
            <w:pPr>
              <w:pStyle w:val="12"/>
              <w:ind w:left="0" w:leftChars="0" w:firstLine="0" w:firstLineChars="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工作进度计划保障措施</w:t>
            </w:r>
          </w:p>
        </w:tc>
        <w:tc>
          <w:tcPr>
            <w:tcW w:w="4689" w:type="dxa"/>
            <w:vAlign w:val="center"/>
          </w:tcPr>
          <w:p w14:paraId="0A35B03A">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由评委根据各供应商的工作进度计划保障措施进行评审，并根据以下标准以0.1分为标准进行打分：</w:t>
            </w:r>
          </w:p>
          <w:p w14:paraId="4E481128">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【11-15分】：成果提交进度保证措施落实具体，工作阶段的划分合理、清晰、细致；</w:t>
            </w:r>
          </w:p>
          <w:p w14:paraId="06894431">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【6-10分】：进度保证措施较合理，工作阶段划分较清晰，较之优秀方案有差距的；</w:t>
            </w:r>
          </w:p>
          <w:p w14:paraId="774477D9">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【0-5分】：措施简陋，仅能勉强满足项目需求。</w:t>
            </w:r>
          </w:p>
        </w:tc>
        <w:tc>
          <w:tcPr>
            <w:tcW w:w="1026" w:type="dxa"/>
            <w:vAlign w:val="center"/>
          </w:tcPr>
          <w:p w14:paraId="0FE9A263">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3337E02D">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15.00</w:t>
            </w:r>
          </w:p>
        </w:tc>
      </w:tr>
      <w:tr w14:paraId="25C3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D70E70A">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7</w:t>
            </w:r>
          </w:p>
        </w:tc>
        <w:tc>
          <w:tcPr>
            <w:tcW w:w="773" w:type="dxa"/>
            <w:shd w:val="clear" w:color="auto" w:fill="auto"/>
            <w:vAlign w:val="center"/>
          </w:tcPr>
          <w:p w14:paraId="38569AF1">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0ABEC648">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服务承诺</w:t>
            </w:r>
          </w:p>
        </w:tc>
        <w:tc>
          <w:tcPr>
            <w:tcW w:w="4689" w:type="dxa"/>
            <w:shd w:val="clear" w:color="auto" w:fill="auto"/>
            <w:vAlign w:val="center"/>
          </w:tcPr>
          <w:p w14:paraId="0F7930E4">
            <w:pPr>
              <w:pStyle w:val="12"/>
              <w:ind w:firstLine="240" w:firstLineChars="100"/>
              <w:rPr>
                <w:rFonts w:hint="eastAsia" w:ascii="仿宋_GB2312" w:hAnsi="宋体" w:eastAsia="仿宋_GB2312"/>
                <w:sz w:val="24"/>
                <w:szCs w:val="24"/>
                <w:lang w:val="en-US" w:eastAsia="zh-CN"/>
              </w:rPr>
            </w:pPr>
            <w:bookmarkStart w:id="0" w:name="_GoBack"/>
            <w:r>
              <w:rPr>
                <w:rFonts w:hint="eastAsia" w:ascii="仿宋_GB2312" w:hAnsi="宋体" w:eastAsia="仿宋_GB2312"/>
                <w:sz w:val="24"/>
                <w:szCs w:val="24"/>
                <w:lang w:val="en-US" w:eastAsia="zh-CN"/>
              </w:rPr>
              <w:t>由评委根据各供应商的服务承诺进行评审，并根据以下标准以0.1分为标准进行打分：</w:t>
            </w:r>
          </w:p>
          <w:p w14:paraId="7E9A13D1">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【11-15分】：后续服务计划详细，人员安排合理、响应及时；</w:t>
            </w:r>
          </w:p>
          <w:p w14:paraId="55DE66B3">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【6-10分】：服务承诺较详细，人员安排较合理，能较好的满足项目需求；</w:t>
            </w:r>
          </w:p>
          <w:p w14:paraId="63518496">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【0-5分】：服务承诺简陋，仅能勉强满足项目需求。</w:t>
            </w:r>
            <w:bookmarkEnd w:id="0"/>
          </w:p>
        </w:tc>
        <w:tc>
          <w:tcPr>
            <w:tcW w:w="1026" w:type="dxa"/>
            <w:shd w:val="clear" w:color="auto" w:fill="auto"/>
            <w:vAlign w:val="center"/>
          </w:tcPr>
          <w:p w14:paraId="4DC5A1DF">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4F11DB1A">
            <w:pPr>
              <w:pStyle w:val="12"/>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15.00</w:t>
            </w:r>
          </w:p>
        </w:tc>
      </w:tr>
    </w:tbl>
    <w:p w14:paraId="6D870E7D">
      <w:pPr>
        <w:pStyle w:val="32"/>
        <w:rPr>
          <w:rFonts w:hint="eastAsia" w:ascii="楷体_GB2312" w:hAnsi="宋体" w:eastAsia="楷体_GB2312" w:cs="宋体"/>
          <w:b/>
          <w:bCs/>
          <w:color w:val="auto"/>
          <w:sz w:val="44"/>
          <w:szCs w:val="44"/>
        </w:rPr>
      </w:pPr>
    </w:p>
    <w:p w14:paraId="4BEC74F3">
      <w:pPr>
        <w:rPr>
          <w:rFonts w:hint="eastAsia" w:ascii="楷体_GB2312" w:hAnsi="宋体" w:eastAsia="楷体_GB2312" w:cs="宋体"/>
          <w:b/>
          <w:bCs/>
          <w:color w:val="auto"/>
          <w:sz w:val="44"/>
          <w:szCs w:val="44"/>
        </w:rPr>
      </w:pPr>
    </w:p>
    <w:p w14:paraId="78E92C6C">
      <w:pPr>
        <w:rPr>
          <w:rFonts w:hint="eastAsia" w:ascii="楷体_GB2312" w:hAnsi="宋体" w:eastAsia="楷体_GB2312" w:cs="宋体"/>
          <w:b/>
          <w:bCs/>
          <w:color w:val="auto"/>
          <w:sz w:val="44"/>
          <w:szCs w:val="44"/>
        </w:rPr>
      </w:pPr>
    </w:p>
    <w:p w14:paraId="50144BD7">
      <w:pPr>
        <w:rPr>
          <w:rFonts w:hint="eastAsia" w:ascii="楷体_GB2312" w:hAnsi="宋体" w:eastAsia="楷体_GB2312" w:cs="宋体"/>
          <w:b/>
          <w:bCs/>
          <w:color w:val="auto"/>
          <w:sz w:val="44"/>
          <w:szCs w:val="44"/>
        </w:rPr>
      </w:pPr>
    </w:p>
    <w:p w14:paraId="47F53FC7">
      <w:pPr>
        <w:rPr>
          <w:rFonts w:hint="eastAsia" w:ascii="楷体_GB2312" w:hAnsi="宋体" w:eastAsia="楷体_GB2312" w:cs="宋体"/>
          <w:b/>
          <w:bCs/>
          <w:color w:val="auto"/>
          <w:sz w:val="44"/>
          <w:szCs w:val="44"/>
        </w:rPr>
      </w:pPr>
    </w:p>
    <w:p w14:paraId="0BEEE648">
      <w:pPr>
        <w:rPr>
          <w:rFonts w:hint="eastAsia" w:ascii="楷体_GB2312" w:hAnsi="宋体" w:eastAsia="楷体_GB2312" w:cs="宋体"/>
          <w:b/>
          <w:bCs/>
          <w:color w:val="auto"/>
          <w:sz w:val="44"/>
          <w:szCs w:val="44"/>
        </w:rPr>
      </w:pPr>
    </w:p>
    <w:p w14:paraId="757DCFBD">
      <w:pPr>
        <w:rPr>
          <w:rFonts w:hint="eastAsia" w:ascii="楷体_GB2312" w:hAnsi="宋体" w:eastAsia="楷体_GB2312" w:cs="宋体"/>
          <w:b/>
          <w:bCs/>
          <w:color w:val="auto"/>
          <w:sz w:val="44"/>
          <w:szCs w:val="44"/>
        </w:rPr>
      </w:pPr>
    </w:p>
    <w:p w14:paraId="412132C6">
      <w:pPr>
        <w:rPr>
          <w:rFonts w:hint="eastAsia" w:ascii="楷体_GB2312" w:hAnsi="宋体" w:eastAsia="楷体_GB2312" w:cs="宋体"/>
          <w:b/>
          <w:bCs/>
          <w:color w:val="auto"/>
          <w:sz w:val="44"/>
          <w:szCs w:val="44"/>
        </w:rPr>
      </w:pPr>
    </w:p>
    <w:p w14:paraId="4D2D64B9">
      <w:pPr>
        <w:rPr>
          <w:rFonts w:hint="eastAsia" w:ascii="楷体_GB2312" w:hAnsi="宋体" w:eastAsia="楷体_GB2312" w:cs="宋体"/>
          <w:b/>
          <w:bCs/>
          <w:color w:val="auto"/>
          <w:sz w:val="44"/>
          <w:szCs w:val="44"/>
        </w:rPr>
      </w:pPr>
    </w:p>
    <w:p w14:paraId="37AB631B">
      <w:pPr>
        <w:rPr>
          <w:rFonts w:hint="eastAsia" w:ascii="楷体_GB2312" w:hAnsi="宋体" w:eastAsia="楷体_GB2312" w:cs="宋体"/>
          <w:b/>
          <w:bCs/>
          <w:color w:val="auto"/>
          <w:sz w:val="44"/>
          <w:szCs w:val="44"/>
        </w:rPr>
      </w:pPr>
    </w:p>
    <w:p w14:paraId="572D8BBB">
      <w:pPr>
        <w:rPr>
          <w:rFonts w:hint="eastAsia" w:ascii="楷体_GB2312" w:hAnsi="宋体" w:eastAsia="楷体_GB2312" w:cs="宋体"/>
          <w:b/>
          <w:bCs/>
          <w:color w:val="auto"/>
          <w:sz w:val="44"/>
          <w:szCs w:val="44"/>
        </w:rPr>
      </w:pPr>
    </w:p>
    <w:p w14:paraId="768CDCDE">
      <w:pPr>
        <w:rPr>
          <w:rFonts w:hint="eastAsia" w:ascii="楷体_GB2312" w:hAnsi="宋体" w:eastAsia="楷体_GB2312" w:cs="宋体"/>
          <w:b/>
          <w:bCs/>
          <w:color w:val="auto"/>
          <w:sz w:val="44"/>
          <w:szCs w:val="44"/>
        </w:rPr>
      </w:pPr>
    </w:p>
    <w:p w14:paraId="76240500">
      <w:pPr>
        <w:rPr>
          <w:rFonts w:hint="eastAsia" w:ascii="楷体_GB2312" w:hAnsi="宋体" w:eastAsia="楷体_GB2312" w:cs="宋体"/>
          <w:b/>
          <w:bCs/>
          <w:color w:val="auto"/>
          <w:sz w:val="44"/>
          <w:szCs w:val="44"/>
        </w:rPr>
      </w:pPr>
    </w:p>
    <w:p w14:paraId="0A28978B">
      <w:pPr>
        <w:rPr>
          <w:rFonts w:hint="eastAsia" w:ascii="楷体_GB2312" w:hAnsi="宋体" w:eastAsia="楷体_GB2312" w:cs="宋体"/>
          <w:b/>
          <w:bCs/>
          <w:color w:val="auto"/>
          <w:sz w:val="44"/>
          <w:szCs w:val="44"/>
        </w:rPr>
      </w:pPr>
    </w:p>
    <w:p w14:paraId="780F1D10">
      <w:pPr>
        <w:rPr>
          <w:rFonts w:hint="eastAsia" w:ascii="楷体_GB2312" w:hAnsi="宋体" w:eastAsia="楷体_GB2312" w:cs="宋体"/>
          <w:b/>
          <w:bCs/>
          <w:color w:val="auto"/>
          <w:sz w:val="44"/>
          <w:szCs w:val="44"/>
        </w:rPr>
      </w:pPr>
    </w:p>
    <w:p w14:paraId="4CE6463A">
      <w:pPr>
        <w:rPr>
          <w:rFonts w:hint="eastAsia" w:ascii="楷体_GB2312" w:hAnsi="宋体" w:eastAsia="楷体_GB2312" w:cs="宋体"/>
          <w:b/>
          <w:bCs/>
          <w:color w:val="auto"/>
          <w:sz w:val="44"/>
          <w:szCs w:val="44"/>
        </w:rPr>
      </w:pPr>
    </w:p>
    <w:p w14:paraId="018295E9">
      <w:pPr>
        <w:rPr>
          <w:rFonts w:hint="eastAsia" w:ascii="楷体_GB2312" w:hAnsi="宋体" w:eastAsia="楷体_GB2312" w:cs="宋体"/>
          <w:b/>
          <w:bCs/>
          <w:color w:val="auto"/>
          <w:sz w:val="44"/>
          <w:szCs w:val="44"/>
        </w:rPr>
      </w:pPr>
    </w:p>
    <w:p w14:paraId="4EAA9AE4">
      <w:pPr>
        <w:rPr>
          <w:rFonts w:hint="eastAsia" w:ascii="楷体_GB2312" w:hAnsi="宋体" w:eastAsia="楷体_GB2312" w:cs="宋体"/>
          <w:b/>
          <w:bCs/>
          <w:color w:val="auto"/>
          <w:sz w:val="44"/>
          <w:szCs w:val="44"/>
        </w:rPr>
      </w:pPr>
    </w:p>
    <w:p w14:paraId="7CCEFB3B">
      <w:pPr>
        <w:pStyle w:val="32"/>
        <w:ind w:left="0" w:leftChars="0" w:firstLine="0" w:firstLineChars="0"/>
        <w:rPr>
          <w:rFonts w:hint="eastAsia"/>
          <w:color w:val="auto"/>
        </w:rPr>
      </w:pPr>
    </w:p>
    <w:p w14:paraId="0451F899">
      <w:pPr>
        <w:pStyle w:val="32"/>
        <w:rPr>
          <w:rFonts w:hint="eastAsia"/>
          <w:color w:val="auto"/>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rPr>
        <w:t>第五章 投标（响应）文件格式</w:t>
      </w:r>
    </w:p>
    <w:p w14:paraId="3FF15D1E">
      <w:pPr>
        <w:spacing w:line="460" w:lineRule="exact"/>
        <w:jc w:val="left"/>
        <w:rPr>
          <w:b/>
          <w:color w:val="auto"/>
          <w:kern w:val="0"/>
          <w:sz w:val="24"/>
        </w:rPr>
      </w:pPr>
    </w:p>
    <w:p w14:paraId="0E6D9249">
      <w:pPr>
        <w:ind w:right="2080"/>
        <w:rPr>
          <w:rFonts w:ascii="仿宋" w:hAnsi="仿宋" w:eastAsia="仿宋"/>
          <w:color w:val="auto"/>
          <w:sz w:val="52"/>
        </w:rPr>
      </w:pPr>
    </w:p>
    <w:p w14:paraId="7721A562">
      <w:pPr>
        <w:rPr>
          <w:rFonts w:ascii="方正小标宋简体" w:hAnsi="仿宋" w:eastAsia="方正小标宋简体"/>
          <w:bCs/>
          <w:color w:val="auto"/>
          <w:sz w:val="84"/>
        </w:rPr>
      </w:pPr>
    </w:p>
    <w:p w14:paraId="7AEB039A">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1E73EEDA">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1B2BAE8A">
      <w:pPr>
        <w:jc w:val="center"/>
        <w:rPr>
          <w:rFonts w:ascii="仿宋" w:hAnsi="仿宋" w:eastAsia="仿宋"/>
          <w:color w:val="auto"/>
          <w:sz w:val="72"/>
        </w:rPr>
      </w:pPr>
    </w:p>
    <w:p w14:paraId="41998912">
      <w:pPr>
        <w:jc w:val="center"/>
        <w:rPr>
          <w:rFonts w:ascii="仿宋" w:hAnsi="仿宋" w:eastAsia="仿宋"/>
          <w:color w:val="auto"/>
          <w:sz w:val="72"/>
        </w:rPr>
      </w:pPr>
    </w:p>
    <w:p w14:paraId="0E583E4E">
      <w:pPr>
        <w:spacing w:line="360" w:lineRule="auto"/>
        <w:jc w:val="left"/>
        <w:rPr>
          <w:rFonts w:hint="eastAsia" w:ascii="仿宋_GB2312" w:hAnsi="宋体" w:eastAsia="仿宋_GB2312"/>
          <w:bCs/>
          <w:color w:val="auto"/>
          <w:kern w:val="0"/>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乳山市白沙滩镇潘家、冯家镇卧龙饰面用花岗岩矿两矿区可行性研究报告、安全预评价及安全设施设计</w:t>
      </w:r>
    </w:p>
    <w:p w14:paraId="1322F293">
      <w:pPr>
        <w:spacing w:line="360" w:lineRule="auto"/>
        <w:jc w:val="left"/>
        <w:rPr>
          <w:rFonts w:hint="default"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WHJX-ZB-2026-055</w:t>
      </w:r>
    </w:p>
    <w:p w14:paraId="44EE0A11">
      <w:pPr>
        <w:spacing w:line="360" w:lineRule="auto"/>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hint="eastAsia" w:ascii="仿宋_GB2312" w:hAnsi="宋体" w:eastAsia="仿宋_GB2312"/>
          <w:bCs/>
          <w:color w:val="auto"/>
          <w:sz w:val="36"/>
          <w:szCs w:val="36"/>
          <w:lang w:val="en-US" w:eastAsia="zh-CN"/>
        </w:rPr>
        <w:t>A</w:t>
      </w:r>
      <w:r>
        <w:rPr>
          <w:rFonts w:hint="eastAsia" w:ascii="仿宋_GB2312" w:hAnsi="宋体" w:eastAsia="仿宋_GB2312"/>
          <w:bCs/>
          <w:color w:val="auto"/>
          <w:sz w:val="36"/>
          <w:szCs w:val="36"/>
        </w:rPr>
        <w:t>包</w:t>
      </w:r>
      <w:r>
        <w:rPr>
          <w:rFonts w:hint="eastAsia" w:ascii="仿宋_GB2312" w:hAnsi="宋体" w:eastAsia="仿宋_GB2312"/>
          <w:bCs/>
          <w:color w:val="auto"/>
          <w:sz w:val="36"/>
          <w:szCs w:val="36"/>
          <w:lang w:val="en-US" w:eastAsia="zh-CN"/>
        </w:rPr>
        <w:t xml:space="preserve">   </w:t>
      </w:r>
    </w:p>
    <w:p w14:paraId="45C896B0">
      <w:pPr>
        <w:jc w:val="left"/>
        <w:rPr>
          <w:rFonts w:ascii="仿宋" w:hAnsi="仿宋" w:eastAsia="仿宋"/>
          <w:color w:val="auto"/>
          <w:sz w:val="44"/>
        </w:rPr>
      </w:pPr>
    </w:p>
    <w:p w14:paraId="05C75FFA">
      <w:pPr>
        <w:jc w:val="left"/>
        <w:rPr>
          <w:rFonts w:ascii="仿宋" w:hAnsi="仿宋" w:eastAsia="仿宋"/>
          <w:color w:val="auto"/>
          <w:sz w:val="36"/>
        </w:rPr>
      </w:pPr>
    </w:p>
    <w:p w14:paraId="10C47759">
      <w:pPr>
        <w:tabs>
          <w:tab w:val="left" w:pos="580"/>
        </w:tabs>
        <w:ind w:left="185" w:leftChars="88" w:firstLine="1800" w:firstLineChars="500"/>
        <w:rPr>
          <w:rFonts w:ascii="仿宋" w:hAnsi="仿宋" w:eastAsia="仿宋"/>
          <w:color w:val="auto"/>
          <w:kern w:val="0"/>
          <w:sz w:val="36"/>
          <w:szCs w:val="21"/>
        </w:rPr>
      </w:pPr>
    </w:p>
    <w:p w14:paraId="7A4877A6">
      <w:pPr>
        <w:tabs>
          <w:tab w:val="left" w:pos="580"/>
        </w:tabs>
        <w:ind w:left="185" w:leftChars="88" w:firstLine="1800" w:firstLineChars="500"/>
        <w:rPr>
          <w:rFonts w:ascii="仿宋_GB2312" w:hAnsi="仿宋" w:eastAsia="仿宋_GB2312"/>
          <w:color w:val="auto"/>
          <w:kern w:val="0"/>
          <w:sz w:val="36"/>
          <w:szCs w:val="36"/>
        </w:rPr>
      </w:pPr>
    </w:p>
    <w:p w14:paraId="1823D44E">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1E878ED6">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5C008081">
      <w:pPr>
        <w:tabs>
          <w:tab w:val="left" w:pos="580"/>
        </w:tabs>
        <w:ind w:firstLine="1800" w:firstLineChars="500"/>
        <w:rPr>
          <w:rFonts w:ascii="仿宋_GB2312" w:hAnsi="仿宋" w:eastAsia="仿宋_GB2312"/>
          <w:color w:val="auto"/>
          <w:kern w:val="0"/>
          <w:sz w:val="36"/>
          <w:szCs w:val="36"/>
        </w:rPr>
      </w:pPr>
    </w:p>
    <w:p w14:paraId="63328634">
      <w:pPr>
        <w:rPr>
          <w:color w:val="auto"/>
        </w:rPr>
      </w:pPr>
    </w:p>
    <w:p w14:paraId="0F61DBB7">
      <w:pPr>
        <w:widowControl/>
        <w:jc w:val="right"/>
        <w:rPr>
          <w:rFonts w:ascii="仿宋_GB2312" w:hAnsi="宋体" w:eastAsia="仿宋_GB2312"/>
          <w:b/>
          <w:bCs/>
          <w:color w:val="auto"/>
          <w:sz w:val="30"/>
          <w:szCs w:val="30"/>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rPr>
      </w:pPr>
      <w:r>
        <w:rPr>
          <w:rFonts w:hint="eastAsia" w:ascii="黑体" w:hAnsi="黑体" w:eastAsia="黑体"/>
          <w:color w:val="auto"/>
          <w:sz w:val="44"/>
          <w:szCs w:val="44"/>
        </w:rPr>
        <w:t>目录</w:t>
      </w:r>
    </w:p>
    <w:p w14:paraId="20F8AA42">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16166FCD">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52B3FC7F">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334225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WHJX-ZB-2026-055</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乳山市白沙滩镇潘家、冯家镇卧龙饰面用花岗岩矿两矿区可行性研究报告、安全预评价及安全设施设计</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lang w:val="en-US" w:eastAsia="zh-CN"/>
        </w:rPr>
        <w:t>6</w:t>
      </w:r>
      <w:r>
        <w:rPr>
          <w:rFonts w:hint="eastAsia" w:ascii="仿宋_GB2312" w:hAnsi="宋体" w:eastAsia="仿宋_GB2312" w:cs="宋体"/>
          <w:color w:val="auto"/>
          <w:kern w:val="0"/>
          <w:sz w:val="30"/>
          <w:szCs w:val="30"/>
        </w:rPr>
        <w:t>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365F091A">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B04A98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F0985AB">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79A3939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62B96A8D">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449D7D7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27B41DB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65500E68">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5F1332E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法定代表人或被授权人（签字或盖章）：</w:t>
      </w:r>
    </w:p>
    <w:p w14:paraId="3DD406B0">
      <w:pPr>
        <w:spacing w:line="560" w:lineRule="exact"/>
        <w:ind w:firstLine="640"/>
        <w:rPr>
          <w:rFonts w:hint="eastAsia" w:ascii="仿宋_GB2312" w:hAnsi="仿宋" w:eastAsia="仿宋_GB2312"/>
          <w:color w:val="auto"/>
          <w:kern w:val="0"/>
          <w:sz w:val="30"/>
          <w:szCs w:val="30"/>
        </w:rPr>
        <w:sectPr>
          <w:footerReference r:id="rId19" w:type="default"/>
          <w:pgSz w:w="11906" w:h="16838"/>
          <w:pgMar w:top="1440" w:right="1080" w:bottom="1440" w:left="1080" w:header="851" w:footer="992" w:gutter="0"/>
          <w:pgNumType w:fmt="decimal"/>
          <w:cols w:space="425" w:num="1"/>
          <w:docGrid w:type="lines" w:linePitch="312" w:charSpace="0"/>
        </w:sectPr>
      </w:pPr>
      <w:r>
        <w:rPr>
          <w:rFonts w:hint="eastAsia" w:ascii="仿宋_GB2312" w:hAnsi="仿宋" w:eastAsia="仿宋_GB2312"/>
          <w:color w:val="auto"/>
          <w:kern w:val="0"/>
          <w:sz w:val="30"/>
          <w:szCs w:val="30"/>
        </w:rPr>
        <w:t xml:space="preserve">投标日期：××年××月××日 </w:t>
      </w:r>
    </w:p>
    <w:p w14:paraId="37A73CA9">
      <w:pPr>
        <w:keepNext/>
        <w:keepLines/>
        <w:spacing w:before="260" w:after="260" w:line="416" w:lineRule="auto"/>
        <w:jc w:val="center"/>
        <w:outlineLvl w:val="1"/>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b/>
          <w:bCs/>
          <w:color w:val="000000" w:themeColor="text1"/>
          <w:sz w:val="44"/>
          <w:szCs w:val="44"/>
          <w14:textFill>
            <w14:solidFill>
              <w14:schemeClr w14:val="tx1"/>
            </w14:solidFill>
          </w14:textFill>
        </w:rPr>
        <w:t>开  标  一  览  表</w:t>
      </w:r>
    </w:p>
    <w:p w14:paraId="22501B7A">
      <w:pPr>
        <w:spacing w:line="520" w:lineRule="exact"/>
        <w:rPr>
          <w:rFonts w:hint="eastAsia" w:ascii="宋体" w:hAnsi="宋体" w:eastAsia="宋体" w:cs="宋体"/>
          <w:color w:val="000000" w:themeColor="text1"/>
          <w:sz w:val="30"/>
          <w:szCs w:val="30"/>
          <w:lang w:eastAsia="zh-CN"/>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招标编号：</w:t>
      </w:r>
      <w:r>
        <w:rPr>
          <w:rFonts w:hint="eastAsia" w:ascii="宋体" w:hAnsi="宋体" w:cs="宋体"/>
          <w:color w:val="000000" w:themeColor="text1"/>
          <w:sz w:val="30"/>
          <w:szCs w:val="30"/>
          <w:lang w:eastAsia="zh-CN"/>
          <w14:textFill>
            <w14:solidFill>
              <w14:schemeClr w14:val="tx1"/>
            </w14:solidFill>
          </w14:textFill>
        </w:rPr>
        <w:t>WHJX-ZB-2026-055</w:t>
      </w:r>
    </w:p>
    <w:tbl>
      <w:tblPr>
        <w:tblStyle w:val="33"/>
        <w:tblpPr w:leftFromText="180" w:rightFromText="180" w:vertAnchor="text" w:horzAnchor="page" w:tblpX="1117" w:tblpY="1241"/>
        <w:tblOverlap w:val="never"/>
        <w:tblW w:w="99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6"/>
        <w:gridCol w:w="2424"/>
        <w:gridCol w:w="3818"/>
        <w:gridCol w:w="1469"/>
        <w:gridCol w:w="805"/>
      </w:tblGrid>
      <w:tr w14:paraId="682D4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1426" w:type="dxa"/>
            <w:vAlign w:val="center"/>
          </w:tcPr>
          <w:p w14:paraId="6B02FD0A">
            <w:pPr>
              <w:spacing w:line="440" w:lineRule="exact"/>
              <w:jc w:val="center"/>
              <w:rPr>
                <w:rFonts w:hint="eastAsia" w:ascii="宋体" w:hAnsi="宋体" w:eastAsia="宋体" w:cs="宋体"/>
                <w:b/>
                <w:bCs/>
                <w:color w:val="000000" w:themeColor="text1"/>
                <w:sz w:val="30"/>
                <w:szCs w:val="30"/>
                <w:lang w:eastAsia="zh-CN"/>
                <w14:textFill>
                  <w14:solidFill>
                    <w14:schemeClr w14:val="tx1"/>
                  </w14:solidFill>
                </w14:textFill>
              </w:rPr>
            </w:pPr>
            <w:r>
              <w:rPr>
                <w:rFonts w:hint="eastAsia" w:ascii="宋体" w:hAnsi="宋体" w:cs="宋体"/>
                <w:b/>
                <w:bCs/>
                <w:color w:val="000000" w:themeColor="text1"/>
                <w:sz w:val="30"/>
                <w:szCs w:val="30"/>
                <w:lang w:val="en-US" w:eastAsia="zh-CN"/>
                <w14:textFill>
                  <w14:solidFill>
                    <w14:schemeClr w14:val="tx1"/>
                  </w14:solidFill>
                </w14:textFill>
              </w:rPr>
              <w:t>标包</w:t>
            </w:r>
          </w:p>
        </w:tc>
        <w:tc>
          <w:tcPr>
            <w:tcW w:w="2424" w:type="dxa"/>
            <w:vAlign w:val="center"/>
          </w:tcPr>
          <w:p w14:paraId="3315B8BB">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名称</w:t>
            </w:r>
          </w:p>
        </w:tc>
        <w:tc>
          <w:tcPr>
            <w:tcW w:w="3818" w:type="dxa"/>
            <w:vAlign w:val="center"/>
          </w:tcPr>
          <w:p w14:paraId="784D9540">
            <w:pPr>
              <w:spacing w:line="440" w:lineRule="exact"/>
              <w:jc w:val="center"/>
              <w:rPr>
                <w:rFonts w:hint="eastAsia" w:ascii="宋体" w:hAnsi="宋体" w:eastAsia="宋体" w:cs="宋体"/>
                <w:b/>
                <w:bCs/>
                <w:color w:val="000000" w:themeColor="text1"/>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总报价</w:t>
            </w:r>
          </w:p>
        </w:tc>
        <w:tc>
          <w:tcPr>
            <w:tcW w:w="1469" w:type="dxa"/>
            <w:vAlign w:val="center"/>
          </w:tcPr>
          <w:p w14:paraId="09E6386E">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cs="宋体"/>
                <w:b/>
                <w:bCs/>
                <w:color w:val="000000" w:themeColor="text1"/>
                <w:sz w:val="30"/>
                <w:szCs w:val="30"/>
                <w:lang w:val="en-US" w:eastAsia="zh-CN"/>
                <w14:textFill>
                  <w14:solidFill>
                    <w14:schemeClr w14:val="tx1"/>
                  </w14:solidFill>
                </w14:textFill>
              </w:rPr>
              <w:t>服务期</w:t>
            </w:r>
          </w:p>
        </w:tc>
        <w:tc>
          <w:tcPr>
            <w:tcW w:w="805" w:type="dxa"/>
            <w:vAlign w:val="center"/>
          </w:tcPr>
          <w:p w14:paraId="7FD7E5D3">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备注</w:t>
            </w:r>
          </w:p>
        </w:tc>
      </w:tr>
      <w:tr w14:paraId="4BD03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restart"/>
            <w:vAlign w:val="center"/>
          </w:tcPr>
          <w:p w14:paraId="02043626">
            <w:pPr>
              <w:widowControl/>
              <w:shd w:val="clear" w:color="auto" w:fill="FFFFFF"/>
              <w:spacing w:line="440" w:lineRule="exact"/>
              <w:jc w:val="center"/>
              <w:rPr>
                <w:rFonts w:hint="default" w:ascii="宋体" w:hAnsi="宋体" w:eastAsia="宋体" w:cs="宋体"/>
                <w:color w:val="000000" w:themeColor="text1"/>
                <w:sz w:val="30"/>
                <w:szCs w:val="30"/>
                <w:lang w:val="en-US" w:eastAsia="zh-CN"/>
                <w14:textFill>
                  <w14:solidFill>
                    <w14:schemeClr w14:val="tx1"/>
                  </w14:solidFill>
                </w14:textFill>
              </w:rPr>
            </w:pPr>
            <w:r>
              <w:rPr>
                <w:rFonts w:hint="eastAsia" w:ascii="宋体" w:hAnsi="宋体" w:cs="宋体"/>
                <w:color w:val="000000" w:themeColor="text1"/>
                <w:sz w:val="30"/>
                <w:szCs w:val="30"/>
                <w:lang w:val="en-US" w:eastAsia="zh-CN"/>
                <w14:textFill>
                  <w14:solidFill>
                    <w14:schemeClr w14:val="tx1"/>
                  </w14:solidFill>
                </w14:textFill>
              </w:rPr>
              <w:t>A包</w:t>
            </w:r>
          </w:p>
        </w:tc>
        <w:tc>
          <w:tcPr>
            <w:tcW w:w="2424" w:type="dxa"/>
            <w:vAlign w:val="center"/>
          </w:tcPr>
          <w:p w14:paraId="6E5D7543">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白沙滩镇潘家安全预评价</w:t>
            </w:r>
          </w:p>
        </w:tc>
        <w:tc>
          <w:tcPr>
            <w:tcW w:w="3818" w:type="dxa"/>
            <w:vAlign w:val="center"/>
          </w:tcPr>
          <w:p w14:paraId="7C1797C8">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5E0FB737">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5DD66CBC">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2923DFCF">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1F89A52F">
            <w:pPr>
              <w:widowControl/>
              <w:rPr>
                <w:rFonts w:hint="eastAsia" w:ascii="宋体" w:hAnsi="宋体" w:eastAsia="宋体" w:cs="宋体"/>
                <w:color w:val="000000" w:themeColor="text1"/>
                <w:sz w:val="30"/>
                <w:szCs w:val="30"/>
                <w14:textFill>
                  <w14:solidFill>
                    <w14:schemeClr w14:val="tx1"/>
                  </w14:solidFill>
                </w14:textFill>
              </w:rPr>
            </w:pPr>
          </w:p>
        </w:tc>
      </w:tr>
      <w:tr w14:paraId="6BB08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continue"/>
            <w:vAlign w:val="center"/>
          </w:tcPr>
          <w:p w14:paraId="392223C5">
            <w:pPr>
              <w:widowControl/>
              <w:shd w:val="clear" w:color="auto" w:fill="FFFFFF"/>
              <w:spacing w:line="440" w:lineRule="exact"/>
              <w:jc w:val="center"/>
              <w:rPr>
                <w:rFonts w:hint="eastAsia" w:ascii="宋体" w:hAnsi="宋体" w:cs="宋体"/>
                <w:color w:val="000000" w:themeColor="text1"/>
                <w:sz w:val="30"/>
                <w:szCs w:val="30"/>
                <w:lang w:val="en-US" w:eastAsia="zh-CN"/>
                <w14:textFill>
                  <w14:solidFill>
                    <w14:schemeClr w14:val="tx1"/>
                  </w14:solidFill>
                </w14:textFill>
              </w:rPr>
            </w:pPr>
          </w:p>
        </w:tc>
        <w:tc>
          <w:tcPr>
            <w:tcW w:w="2424" w:type="dxa"/>
            <w:vAlign w:val="center"/>
          </w:tcPr>
          <w:p w14:paraId="3D6B0015">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冯家镇卧龙安全预评价</w:t>
            </w:r>
          </w:p>
        </w:tc>
        <w:tc>
          <w:tcPr>
            <w:tcW w:w="3818" w:type="dxa"/>
            <w:vAlign w:val="center"/>
          </w:tcPr>
          <w:p w14:paraId="6190ED84">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07331320">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3129E024">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696E52DC">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296677AF">
            <w:pPr>
              <w:widowControl/>
              <w:rPr>
                <w:rFonts w:hint="eastAsia" w:ascii="宋体" w:hAnsi="宋体" w:eastAsia="宋体" w:cs="宋体"/>
                <w:color w:val="000000" w:themeColor="text1"/>
                <w:sz w:val="30"/>
                <w:szCs w:val="30"/>
                <w14:textFill>
                  <w14:solidFill>
                    <w14:schemeClr w14:val="tx1"/>
                  </w14:solidFill>
                </w14:textFill>
              </w:rPr>
            </w:pPr>
          </w:p>
        </w:tc>
      </w:tr>
      <w:tr w14:paraId="5FDDE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9942" w:type="dxa"/>
            <w:gridSpan w:val="5"/>
            <w:vAlign w:val="center"/>
          </w:tcPr>
          <w:p w14:paraId="1E776C19">
            <w:pPr>
              <w:widowControl/>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报价说明：</w:t>
            </w:r>
          </w:p>
        </w:tc>
      </w:tr>
    </w:tbl>
    <w:p w14:paraId="6D4806ED">
      <w:pPr>
        <w:widowControl/>
        <w:shd w:val="clear" w:color="auto" w:fill="FFFFFF"/>
        <w:spacing w:line="440" w:lineRule="exact"/>
        <w:jc w:val="both"/>
        <w:rPr>
          <w:rFonts w:hint="default" w:ascii="宋体" w:hAnsi="宋体" w:eastAsia="宋体" w:cs="宋体"/>
          <w:color w:val="000000" w:themeColor="text1"/>
          <w:sz w:val="30"/>
          <w:szCs w:val="30"/>
          <w:lang w:val="en-US" w:eastAsia="zh-CN"/>
          <w14:textFill>
            <w14:solidFill>
              <w14:schemeClr w14:val="tx1"/>
            </w14:solidFill>
          </w14:textFill>
        </w:rPr>
      </w:pPr>
      <w:r>
        <w:rPr>
          <w:rFonts w:hint="eastAsia" w:ascii="宋体" w:hAnsi="宋体" w:cs="宋体"/>
          <w:color w:val="000000" w:themeColor="text1"/>
          <w:sz w:val="30"/>
          <w:szCs w:val="30"/>
          <w:lang w:val="en-US" w:eastAsia="zh-CN"/>
          <w14:textFill>
            <w14:solidFill>
              <w14:schemeClr w14:val="tx1"/>
            </w14:solidFill>
          </w14:textFill>
        </w:rPr>
        <w:t>项目名称：乳山市白沙滩镇潘家、冯家镇卧龙饰面用花岗岩矿两矿区可行性研究报告、安全预评价及安全设施设计</w:t>
      </w:r>
    </w:p>
    <w:p w14:paraId="6873B5C1">
      <w:pPr>
        <w:widowControl/>
        <w:shd w:val="clear" w:color="auto" w:fill="FFFFFF"/>
        <w:spacing w:line="440" w:lineRule="exact"/>
        <w:jc w:val="both"/>
        <w:rPr>
          <w:rFonts w:hint="default" w:ascii="宋体" w:hAnsi="宋体" w:eastAsia="宋体" w:cs="宋体"/>
          <w:color w:val="000000" w:themeColor="text1"/>
          <w:sz w:val="30"/>
          <w:szCs w:val="30"/>
          <w:lang w:val="en-US" w:eastAsia="zh-CN"/>
          <w14:textFill>
            <w14:solidFill>
              <w14:schemeClr w14:val="tx1"/>
            </w14:solidFill>
          </w14:textFill>
        </w:rPr>
      </w:pPr>
    </w:p>
    <w:p w14:paraId="73C3F88C">
      <w:pPr>
        <w:rPr>
          <w:rFonts w:hint="eastAsia" w:ascii="宋体" w:hAnsi="宋体" w:eastAsia="宋体" w:cs="宋体"/>
          <w:color w:val="000000" w:themeColor="text1"/>
          <w14:textFill>
            <w14:solidFill>
              <w14:schemeClr w14:val="tx1"/>
            </w14:solidFill>
          </w14:textFill>
        </w:rPr>
      </w:pPr>
    </w:p>
    <w:p w14:paraId="6D2346D4">
      <w:pPr>
        <w:ind w:firstLine="900" w:firstLineChars="300"/>
        <w:rPr>
          <w:rFonts w:hint="eastAsia" w:ascii="宋体" w:hAnsi="宋体" w:eastAsia="宋体" w:cs="宋体"/>
          <w:color w:val="000000" w:themeColor="text1"/>
          <w:sz w:val="30"/>
          <w:szCs w:val="30"/>
          <w14:textFill>
            <w14:solidFill>
              <w14:schemeClr w14:val="tx1"/>
            </w14:solidFill>
          </w14:textFill>
        </w:rPr>
      </w:pPr>
    </w:p>
    <w:p w14:paraId="6C4128A9">
      <w:pPr>
        <w:wordWrap w:val="0"/>
        <w:jc w:val="right"/>
        <w:rPr>
          <w:rFonts w:hint="eastAsia" w:ascii="宋体" w:hAnsi="宋体" w:eastAsia="宋体" w:cs="宋体"/>
          <w:color w:val="000000" w:themeColor="text1"/>
          <w:sz w:val="30"/>
          <w:szCs w:val="30"/>
          <w14:textFill>
            <w14:solidFill>
              <w14:schemeClr w14:val="tx1"/>
            </w14:solidFill>
          </w14:textFill>
        </w:rPr>
      </w:pPr>
    </w:p>
    <w:p w14:paraId="45BE1ED0">
      <w:pPr>
        <w:wordWrap w:val="0"/>
        <w:jc w:val="right"/>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供应商名称(</w:t>
      </w:r>
      <w:r>
        <w:rPr>
          <w:rFonts w:hint="eastAsia" w:ascii="宋体" w:hAnsi="宋体" w:cs="宋体"/>
          <w:color w:val="000000" w:themeColor="text1"/>
          <w:sz w:val="30"/>
          <w:szCs w:val="30"/>
          <w:lang w:val="en-US" w:eastAsia="zh-CN"/>
          <w14:textFill>
            <w14:solidFill>
              <w14:schemeClr w14:val="tx1"/>
            </w14:solidFill>
          </w14:textFill>
        </w:rPr>
        <w:t>公章</w:t>
      </w:r>
      <w:r>
        <w:rPr>
          <w:rFonts w:hint="eastAsia" w:ascii="宋体" w:hAnsi="宋体" w:eastAsia="宋体" w:cs="宋体"/>
          <w:color w:val="000000" w:themeColor="text1"/>
          <w:sz w:val="30"/>
          <w:szCs w:val="30"/>
          <w14:textFill>
            <w14:solidFill>
              <w14:schemeClr w14:val="tx1"/>
            </w14:solidFill>
          </w14:textFill>
        </w:rPr>
        <w:t xml:space="preserve">):            </w:t>
      </w:r>
    </w:p>
    <w:p w14:paraId="5CA66BD0">
      <w:pPr>
        <w:keepNext/>
        <w:keepLines/>
        <w:spacing w:before="120" w:after="120" w:line="560" w:lineRule="exact"/>
        <w:jc w:val="center"/>
        <w:rPr>
          <w:rFonts w:hint="eastAsia" w:ascii="宋体" w:hAnsi="宋体" w:eastAsia="宋体" w:cs="宋体"/>
          <w:color w:val="000000" w:themeColor="text1"/>
          <w:sz w:val="32"/>
          <w:szCs w:val="32"/>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 xml:space="preserve">                 法定代表人签章:</w:t>
      </w:r>
      <w:r>
        <w:rPr>
          <w:rFonts w:hint="eastAsia" w:ascii="宋体" w:hAnsi="宋体" w:eastAsia="宋体" w:cs="宋体"/>
          <w:color w:val="000000" w:themeColor="text1"/>
          <w:sz w:val="32"/>
          <w:szCs w:val="32"/>
          <w14:textFill>
            <w14:solidFill>
              <w14:schemeClr w14:val="tx1"/>
            </w14:solidFill>
          </w14:textFill>
        </w:rPr>
        <w:t xml:space="preserve"> </w:t>
      </w:r>
    </w:p>
    <w:p w14:paraId="734AF86E">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47BEDADB">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47A6C24C">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1DB48E88">
      <w:pPr>
        <w:rPr>
          <w:color w:val="auto"/>
        </w:rPr>
      </w:pPr>
    </w:p>
    <w:p w14:paraId="5DBEEF67">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w:t>
      </w:r>
      <w:r>
        <w:rPr>
          <w:rFonts w:hint="eastAsia" w:eastAsia="黑体"/>
          <w:bCs/>
          <w:color w:val="auto"/>
          <w:sz w:val="32"/>
          <w:szCs w:val="32"/>
          <w:lang w:eastAsia="zh-CN"/>
        </w:rPr>
        <w:t>人</w:t>
      </w:r>
      <w:r>
        <w:rPr>
          <w:rFonts w:hint="eastAsia" w:eastAsia="黑体"/>
          <w:bCs/>
          <w:color w:val="auto"/>
          <w:sz w:val="32"/>
          <w:szCs w:val="32"/>
        </w:rPr>
        <w:t>资质证书扫描件</w:t>
      </w:r>
    </w:p>
    <w:p w14:paraId="7CCA4F77">
      <w:pPr>
        <w:rPr>
          <w:color w:val="auto"/>
        </w:rPr>
      </w:pPr>
    </w:p>
    <w:p w14:paraId="38D4BE9F">
      <w:pPr>
        <w:keepNext/>
        <w:keepLines/>
        <w:spacing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法定代表人或负责人身份证明书</w:t>
      </w:r>
    </w:p>
    <w:p w14:paraId="5A06EAAA">
      <w:pPr>
        <w:ind w:right="840"/>
        <w:jc w:val="center"/>
        <w:rPr>
          <w:rFonts w:hAnsi="宋体"/>
          <w:color w:val="auto"/>
        </w:rPr>
      </w:pPr>
    </w:p>
    <w:p w14:paraId="77AA6137">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201E271C">
      <w:pPr>
        <w:tabs>
          <w:tab w:val="left" w:pos="5580"/>
        </w:tabs>
        <w:spacing w:line="600" w:lineRule="exact"/>
        <w:ind w:left="1100" w:leftChars="-29" w:hanging="1161"/>
        <w:rPr>
          <w:rFonts w:ascii="仿宋_GB2312" w:hAnsi="仿宋" w:eastAsia="仿宋_GB2312"/>
          <w:color w:val="auto"/>
          <w:sz w:val="32"/>
          <w:szCs w:val="32"/>
        </w:rPr>
      </w:pPr>
    </w:p>
    <w:p w14:paraId="01689F5A">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rPr>
      </w:pPr>
    </w:p>
    <w:p w14:paraId="3C8B40AC">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50CFFD73">
      <w:pPr>
        <w:spacing w:line="600" w:lineRule="exact"/>
        <w:rPr>
          <w:rFonts w:ascii="仿宋_GB2312" w:hAnsi="仿宋" w:eastAsia="仿宋_GB2312"/>
          <w:color w:val="auto"/>
          <w:sz w:val="32"/>
          <w:szCs w:val="32"/>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1D3EAA22">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法人授权委托书</w:t>
      </w:r>
    </w:p>
    <w:p w14:paraId="7AA941F7">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WHJX-ZB-2026-055</w:t>
      </w:r>
      <w:r>
        <w:rPr>
          <w:rFonts w:hint="eastAsia" w:ascii="仿宋_GB2312" w:hAnsi="仿宋" w:eastAsia="仿宋_GB2312"/>
          <w:color w:val="auto"/>
          <w:sz w:val="32"/>
          <w:szCs w:val="32"/>
        </w:rPr>
        <w:t>号的</w:t>
      </w:r>
      <w:r>
        <w:rPr>
          <w:rFonts w:hint="eastAsia" w:ascii="仿宋_GB2312" w:hAnsi="仿宋" w:eastAsia="仿宋_GB2312"/>
          <w:color w:val="auto"/>
          <w:sz w:val="32"/>
          <w:szCs w:val="32"/>
          <w:lang w:eastAsia="zh-CN"/>
        </w:rPr>
        <w:t>自愿公开招标</w:t>
      </w:r>
      <w:r>
        <w:rPr>
          <w:rFonts w:hint="eastAsia" w:ascii="仿宋_GB2312" w:hAnsi="仿宋" w:eastAsia="仿宋_GB2312"/>
          <w:color w:val="auto"/>
          <w:sz w:val="32"/>
          <w:szCs w:val="32"/>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216E8361">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法定代表人签章：</w:t>
      </w:r>
    </w:p>
    <w:p w14:paraId="623449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36593B8">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6BA61C2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6A05CDD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6D42F8FC">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66F6514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08EEA935">
      <w:pPr>
        <w:spacing w:line="560" w:lineRule="exact"/>
        <w:ind w:firstLine="640" w:firstLineChars="200"/>
        <w:jc w:val="left"/>
        <w:rPr>
          <w:rFonts w:ascii="仿宋_GB2312" w:hAnsi="仿宋" w:eastAsia="仿宋_GB2312"/>
          <w:color w:val="auto"/>
          <w:kern w:val="0"/>
          <w:sz w:val="32"/>
          <w:szCs w:val="32"/>
        </w:rPr>
      </w:pPr>
    </w:p>
    <w:tbl>
      <w:tblPr>
        <w:tblStyle w:val="33"/>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5598907A">
      <w:pPr>
        <w:rPr>
          <w:vanish/>
          <w:color w:val="auto"/>
        </w:rPr>
      </w:pPr>
    </w:p>
    <w:p w14:paraId="40F6B3FF">
      <w:pPr>
        <w:spacing w:line="520" w:lineRule="exact"/>
        <w:rPr>
          <w:rFonts w:ascii="仿宋_GB2312" w:hAnsi="仿宋" w:eastAsia="仿宋_GB2312"/>
          <w:b/>
          <w:color w:val="auto"/>
          <w:kern w:val="0"/>
          <w:sz w:val="36"/>
          <w:szCs w:val="21"/>
        </w:rPr>
      </w:pPr>
    </w:p>
    <w:p w14:paraId="2405379E">
      <w:pPr>
        <w:keepNext/>
        <w:keepLines/>
        <w:spacing w:line="560" w:lineRule="exact"/>
        <w:jc w:val="center"/>
        <w:outlineLvl w:val="2"/>
        <w:rPr>
          <w:rFonts w:eastAsia="黑体"/>
          <w:bCs/>
          <w:color w:val="auto"/>
          <w:sz w:val="44"/>
          <w:szCs w:val="32"/>
        </w:rPr>
      </w:pPr>
      <w:r>
        <w:rPr>
          <w:rFonts w:hint="eastAsia" w:ascii="仿宋_GB2312" w:hAnsi="仿宋" w:eastAsia="仿宋_GB2312"/>
          <w:bCs/>
          <w:color w:val="auto"/>
          <w:sz w:val="28"/>
          <w:szCs w:val="28"/>
        </w:rPr>
        <w:br w:type="page"/>
      </w:r>
      <w:r>
        <w:rPr>
          <w:rFonts w:hint="eastAsia" w:eastAsia="黑体"/>
          <w:bCs/>
          <w:color w:val="auto"/>
          <w:sz w:val="32"/>
          <w:szCs w:val="32"/>
        </w:rPr>
        <w:t>投标人依法缴纳税收和社会保障资金的声明</w:t>
      </w:r>
    </w:p>
    <w:p w14:paraId="7708193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48F8045D">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2845581B">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4A1C0FAE">
      <w:pPr>
        <w:jc w:val="center"/>
        <w:rPr>
          <w:rFonts w:ascii="仿宋_GB2312" w:eastAsia="仿宋_GB2312"/>
          <w:color w:val="auto"/>
          <w:sz w:val="28"/>
          <w:szCs w:val="28"/>
        </w:rPr>
      </w:pPr>
    </w:p>
    <w:p w14:paraId="5E862C09">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0FAAF940">
      <w:pPr>
        <w:tabs>
          <w:tab w:val="left" w:pos="5580"/>
        </w:tabs>
        <w:spacing w:line="360" w:lineRule="auto"/>
        <w:rPr>
          <w:rFonts w:ascii="仿宋_GB2312" w:hAnsi="仿宋" w:eastAsia="仿宋_GB2312"/>
          <w:bCs/>
          <w:color w:val="auto"/>
          <w:sz w:val="28"/>
          <w:szCs w:val="28"/>
        </w:rPr>
      </w:pPr>
    </w:p>
    <w:p w14:paraId="763F803A">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0C72583D">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2089BAD0">
      <w:pPr>
        <w:tabs>
          <w:tab w:val="left" w:pos="5580"/>
        </w:tabs>
        <w:spacing w:line="360" w:lineRule="auto"/>
        <w:ind w:firstLine="4132" w:firstLineChars="1476"/>
        <w:rPr>
          <w:rFonts w:ascii="仿宋_GB2312" w:hAnsi="仿宋" w:eastAsia="仿宋_GB2312"/>
          <w:bCs/>
          <w:color w:val="auto"/>
          <w:sz w:val="28"/>
          <w:szCs w:val="28"/>
        </w:rPr>
      </w:pPr>
    </w:p>
    <w:p w14:paraId="463FA9D2">
      <w:pPr>
        <w:tabs>
          <w:tab w:val="left" w:pos="5580"/>
        </w:tabs>
        <w:spacing w:line="360" w:lineRule="auto"/>
        <w:ind w:firstLine="4132" w:firstLineChars="1476"/>
        <w:rPr>
          <w:rFonts w:ascii="仿宋_GB2312" w:hAnsi="仿宋" w:eastAsia="仿宋_GB2312"/>
          <w:bCs/>
          <w:color w:val="auto"/>
          <w:sz w:val="28"/>
          <w:szCs w:val="28"/>
        </w:rPr>
      </w:pPr>
    </w:p>
    <w:p w14:paraId="1CFECE62">
      <w:pPr>
        <w:tabs>
          <w:tab w:val="left" w:pos="5580"/>
        </w:tabs>
        <w:spacing w:line="360" w:lineRule="auto"/>
        <w:ind w:firstLine="4132" w:firstLineChars="1476"/>
        <w:rPr>
          <w:rFonts w:ascii="仿宋_GB2312" w:hAnsi="仿宋" w:eastAsia="仿宋_GB2312"/>
          <w:bCs/>
          <w:color w:val="auto"/>
          <w:sz w:val="28"/>
          <w:szCs w:val="28"/>
        </w:rPr>
      </w:pPr>
    </w:p>
    <w:p w14:paraId="22B67F04">
      <w:pPr>
        <w:tabs>
          <w:tab w:val="left" w:pos="5580"/>
        </w:tabs>
        <w:spacing w:line="360" w:lineRule="auto"/>
        <w:ind w:firstLine="4132" w:firstLineChars="1476"/>
        <w:rPr>
          <w:rFonts w:ascii="仿宋_GB2312" w:hAnsi="仿宋" w:eastAsia="仿宋_GB2312"/>
          <w:bCs/>
          <w:color w:val="auto"/>
          <w:sz w:val="28"/>
          <w:szCs w:val="28"/>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法定代表人签章</w:t>
      </w:r>
      <w:r>
        <w:rPr>
          <w:rFonts w:ascii="仿宋_GB2312" w:eastAsia="仿宋_GB2312"/>
          <w:color w:val="auto"/>
          <w:kern w:val="0"/>
          <w:sz w:val="28"/>
          <w:szCs w:val="28"/>
        </w:rPr>
        <w:t>：</w:t>
      </w:r>
      <w:r>
        <w:rPr>
          <w:rFonts w:hint="eastAsia" w:ascii="仿宋_GB2312" w:eastAsia="仿宋_GB2312"/>
          <w:color w:val="auto"/>
          <w:kern w:val="0"/>
          <w:sz w:val="28"/>
          <w:szCs w:val="28"/>
        </w:rPr>
        <w:t xml:space="preserve">          </w:t>
      </w:r>
    </w:p>
    <w:p w14:paraId="58542D77">
      <w:pPr>
        <w:tabs>
          <w:tab w:val="left" w:pos="5580"/>
        </w:tabs>
        <w:spacing w:line="360" w:lineRule="auto"/>
        <w:ind w:firstLine="4132" w:firstLineChars="1476"/>
        <w:rPr>
          <w:rFonts w:ascii="仿宋_GB2312" w:eastAsia="仿宋_GB2312"/>
          <w:color w:val="auto"/>
          <w:kern w:val="0"/>
          <w:sz w:val="28"/>
          <w:szCs w:val="28"/>
        </w:rPr>
      </w:pPr>
    </w:p>
    <w:p w14:paraId="7936BA70">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2EB365C8">
      <w:pPr>
        <w:keepNext/>
        <w:keepLines/>
        <w:spacing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投标人具有履行合同所必需的设备和专业技术能力承诺函</w:t>
      </w:r>
    </w:p>
    <w:p w14:paraId="4D4EC245">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1DD37F72">
      <w:pPr>
        <w:keepNext/>
        <w:keepLines/>
        <w:spacing w:line="560" w:lineRule="exact"/>
        <w:jc w:val="center"/>
        <w:outlineLvl w:val="2"/>
        <w:rPr>
          <w:rFonts w:eastAsia="黑体"/>
          <w:bCs/>
          <w:color w:val="auto"/>
          <w:sz w:val="44"/>
          <w:szCs w:val="32"/>
        </w:rPr>
      </w:pPr>
      <w:r>
        <w:rPr>
          <w:rFonts w:ascii="宋体" w:hAnsi="宋体" w:eastAsia="黑体"/>
          <w:bCs/>
          <w:color w:val="auto"/>
          <w:kern w:val="0"/>
          <w:sz w:val="28"/>
          <w:szCs w:val="28"/>
        </w:rPr>
        <w:br w:type="page"/>
      </w:r>
      <w:r>
        <w:rPr>
          <w:rFonts w:hint="eastAsia" w:eastAsia="黑体"/>
          <w:bCs/>
          <w:color w:val="auto"/>
          <w:sz w:val="32"/>
          <w:szCs w:val="32"/>
        </w:rPr>
        <w:t>财务会计报表扫描件</w:t>
      </w:r>
    </w:p>
    <w:p w14:paraId="1A143FD9">
      <w:pPr>
        <w:jc w:val="center"/>
        <w:rPr>
          <w:rFonts w:hint="eastAsia" w:ascii="仿宋_GB2312" w:eastAsia="仿宋_GB2312"/>
          <w:color w:val="auto"/>
          <w:sz w:val="28"/>
          <w:szCs w:val="28"/>
        </w:rPr>
      </w:pPr>
      <w:r>
        <w:rPr>
          <w:rFonts w:hint="eastAsia" w:ascii="仿宋_GB2312" w:eastAsia="仿宋_GB2312"/>
          <w:color w:val="auto"/>
          <w:sz w:val="28"/>
          <w:szCs w:val="28"/>
        </w:rPr>
        <w:t>（加盖投标人公章）</w:t>
      </w:r>
    </w:p>
    <w:p w14:paraId="5DDA8470">
      <w:pPr>
        <w:jc w:val="center"/>
        <w:rPr>
          <w:rFonts w:hint="eastAsia" w:ascii="仿宋_GB2312" w:eastAsia="仿宋_GB2312"/>
          <w:color w:val="auto"/>
          <w:sz w:val="28"/>
          <w:szCs w:val="28"/>
        </w:rPr>
      </w:pPr>
    </w:p>
    <w:p w14:paraId="5DF1A522">
      <w:pPr>
        <w:jc w:val="center"/>
        <w:rPr>
          <w:rFonts w:hint="eastAsia" w:ascii="仿宋_GB2312" w:eastAsia="仿宋_GB2312"/>
          <w:color w:val="auto"/>
          <w:sz w:val="28"/>
          <w:szCs w:val="28"/>
        </w:rPr>
      </w:pPr>
    </w:p>
    <w:p w14:paraId="6DEF92F6">
      <w:pPr>
        <w:jc w:val="center"/>
        <w:rPr>
          <w:rFonts w:hint="eastAsia" w:ascii="仿宋_GB2312" w:eastAsia="仿宋_GB2312"/>
          <w:color w:val="auto"/>
          <w:sz w:val="28"/>
          <w:szCs w:val="28"/>
        </w:rPr>
      </w:pPr>
    </w:p>
    <w:p w14:paraId="7A2D66FC">
      <w:pPr>
        <w:jc w:val="center"/>
        <w:rPr>
          <w:rFonts w:hint="eastAsia" w:ascii="仿宋_GB2312" w:eastAsia="仿宋_GB2312"/>
          <w:color w:val="auto"/>
          <w:sz w:val="28"/>
          <w:szCs w:val="28"/>
        </w:rPr>
      </w:pPr>
    </w:p>
    <w:p w14:paraId="705841A0">
      <w:pPr>
        <w:jc w:val="center"/>
        <w:rPr>
          <w:rFonts w:hint="eastAsia" w:ascii="仿宋_GB2312" w:eastAsia="仿宋_GB2312"/>
          <w:color w:val="auto"/>
          <w:sz w:val="28"/>
          <w:szCs w:val="28"/>
        </w:rPr>
      </w:pPr>
    </w:p>
    <w:p w14:paraId="0928C82A">
      <w:pPr>
        <w:jc w:val="center"/>
        <w:rPr>
          <w:rFonts w:hint="eastAsia" w:ascii="仿宋_GB2312" w:eastAsia="仿宋_GB2312"/>
          <w:color w:val="auto"/>
          <w:sz w:val="28"/>
          <w:szCs w:val="28"/>
        </w:rPr>
      </w:pPr>
    </w:p>
    <w:p w14:paraId="6C715AD2">
      <w:pPr>
        <w:jc w:val="center"/>
        <w:rPr>
          <w:rFonts w:hint="eastAsia" w:ascii="仿宋_GB2312" w:eastAsia="仿宋_GB2312"/>
          <w:color w:val="auto"/>
          <w:sz w:val="28"/>
          <w:szCs w:val="28"/>
        </w:rPr>
      </w:pPr>
    </w:p>
    <w:p w14:paraId="16F5F810">
      <w:pPr>
        <w:jc w:val="center"/>
        <w:rPr>
          <w:rFonts w:hint="eastAsia" w:ascii="仿宋_GB2312" w:eastAsia="仿宋_GB2312"/>
          <w:color w:val="auto"/>
          <w:sz w:val="28"/>
          <w:szCs w:val="28"/>
        </w:rPr>
      </w:pPr>
    </w:p>
    <w:p w14:paraId="34ECE620">
      <w:pPr>
        <w:jc w:val="center"/>
        <w:rPr>
          <w:rFonts w:hint="eastAsia" w:ascii="仿宋_GB2312" w:eastAsia="仿宋_GB2312"/>
          <w:color w:val="auto"/>
          <w:sz w:val="28"/>
          <w:szCs w:val="28"/>
        </w:rPr>
      </w:pPr>
    </w:p>
    <w:p w14:paraId="5A83EBA6">
      <w:pPr>
        <w:jc w:val="center"/>
        <w:rPr>
          <w:rFonts w:hint="eastAsia" w:ascii="仿宋_GB2312" w:eastAsia="仿宋_GB2312"/>
          <w:color w:val="auto"/>
          <w:sz w:val="28"/>
          <w:szCs w:val="28"/>
        </w:rPr>
      </w:pPr>
    </w:p>
    <w:p w14:paraId="729C32EF">
      <w:pPr>
        <w:jc w:val="center"/>
        <w:rPr>
          <w:rFonts w:hint="eastAsia" w:ascii="仿宋_GB2312" w:eastAsia="仿宋_GB2312"/>
          <w:color w:val="auto"/>
          <w:sz w:val="28"/>
          <w:szCs w:val="28"/>
        </w:rPr>
      </w:pPr>
    </w:p>
    <w:p w14:paraId="104588E1">
      <w:pPr>
        <w:jc w:val="center"/>
        <w:rPr>
          <w:rFonts w:hint="eastAsia" w:ascii="仿宋_GB2312" w:eastAsia="仿宋_GB2312"/>
          <w:color w:val="auto"/>
          <w:sz w:val="28"/>
          <w:szCs w:val="28"/>
        </w:rPr>
      </w:pPr>
    </w:p>
    <w:p w14:paraId="1EE8BF6A">
      <w:pPr>
        <w:jc w:val="center"/>
        <w:rPr>
          <w:rFonts w:hint="eastAsia" w:ascii="仿宋_GB2312" w:eastAsia="仿宋_GB2312"/>
          <w:color w:val="auto"/>
          <w:sz w:val="28"/>
          <w:szCs w:val="28"/>
        </w:rPr>
      </w:pPr>
    </w:p>
    <w:p w14:paraId="661C4BFD">
      <w:pPr>
        <w:jc w:val="center"/>
        <w:rPr>
          <w:rFonts w:hint="eastAsia" w:ascii="仿宋_GB2312" w:eastAsia="仿宋_GB2312"/>
          <w:color w:val="auto"/>
          <w:sz w:val="28"/>
          <w:szCs w:val="28"/>
        </w:rPr>
      </w:pPr>
    </w:p>
    <w:p w14:paraId="22216486">
      <w:pPr>
        <w:jc w:val="center"/>
        <w:rPr>
          <w:rFonts w:hint="eastAsia" w:ascii="仿宋_GB2312" w:eastAsia="仿宋_GB2312"/>
          <w:color w:val="auto"/>
          <w:sz w:val="28"/>
          <w:szCs w:val="28"/>
        </w:rPr>
      </w:pPr>
    </w:p>
    <w:p w14:paraId="09A9B62C">
      <w:pPr>
        <w:jc w:val="center"/>
        <w:rPr>
          <w:rFonts w:hint="eastAsia" w:ascii="仿宋_GB2312" w:eastAsia="仿宋_GB2312"/>
          <w:color w:val="auto"/>
          <w:sz w:val="28"/>
          <w:szCs w:val="28"/>
        </w:rPr>
      </w:pPr>
    </w:p>
    <w:p w14:paraId="520E2424">
      <w:pPr>
        <w:jc w:val="center"/>
        <w:rPr>
          <w:rFonts w:hint="eastAsia" w:ascii="仿宋_GB2312" w:eastAsia="仿宋_GB2312"/>
          <w:color w:val="auto"/>
          <w:sz w:val="28"/>
          <w:szCs w:val="28"/>
        </w:rPr>
      </w:pPr>
    </w:p>
    <w:p w14:paraId="7458C939">
      <w:pPr>
        <w:jc w:val="center"/>
        <w:rPr>
          <w:rFonts w:hint="eastAsia" w:ascii="仿宋_GB2312" w:eastAsia="仿宋_GB2312"/>
          <w:color w:val="auto"/>
          <w:sz w:val="28"/>
          <w:szCs w:val="28"/>
        </w:rPr>
      </w:pPr>
    </w:p>
    <w:p w14:paraId="149FAA7B">
      <w:pPr>
        <w:jc w:val="center"/>
        <w:rPr>
          <w:rFonts w:hint="eastAsia" w:ascii="仿宋_GB2312" w:eastAsia="仿宋_GB2312"/>
          <w:color w:val="auto"/>
          <w:sz w:val="28"/>
          <w:szCs w:val="28"/>
        </w:rPr>
      </w:pPr>
    </w:p>
    <w:p w14:paraId="6ECB0058">
      <w:pPr>
        <w:jc w:val="both"/>
        <w:rPr>
          <w:rFonts w:hint="eastAsia" w:ascii="仿宋_GB2312" w:eastAsia="仿宋_GB2312"/>
          <w:color w:val="auto"/>
          <w:sz w:val="28"/>
          <w:szCs w:val="28"/>
        </w:rPr>
      </w:pPr>
    </w:p>
    <w:p w14:paraId="6A5D5CCE">
      <w:pPr>
        <w:keepNext/>
        <w:keepLines/>
        <w:spacing w:line="560" w:lineRule="exact"/>
        <w:jc w:val="center"/>
        <w:outlineLvl w:val="2"/>
        <w:rPr>
          <w:rFonts w:eastAsia="黑体"/>
          <w:bCs/>
          <w:sz w:val="32"/>
          <w:szCs w:val="32"/>
        </w:rPr>
      </w:pPr>
      <w:r>
        <w:rPr>
          <w:rFonts w:hint="eastAsia" w:eastAsia="黑体"/>
          <w:bCs/>
          <w:sz w:val="32"/>
          <w:szCs w:val="32"/>
        </w:rPr>
        <w:t>投标人失信查询</w:t>
      </w:r>
    </w:p>
    <w:p w14:paraId="27EFB0F5">
      <w:pPr>
        <w:jc w:val="center"/>
        <w:rPr>
          <w:rFonts w:ascii="仿宋_GB2312" w:eastAsia="仿宋_GB2312"/>
          <w:sz w:val="28"/>
          <w:szCs w:val="28"/>
        </w:rPr>
      </w:pPr>
      <w:r>
        <w:rPr>
          <w:rFonts w:hint="eastAsia" w:ascii="仿宋_GB2312" w:eastAsia="仿宋_GB2312"/>
          <w:sz w:val="28"/>
          <w:szCs w:val="28"/>
        </w:rPr>
        <w:t>（加盖投标人公章）</w:t>
      </w:r>
    </w:p>
    <w:p w14:paraId="59AF3BB0">
      <w:pPr>
        <w:jc w:val="left"/>
        <w:rPr>
          <w:rFonts w:hint="eastAsia" w:ascii="仿宋_GB2312" w:hAnsi="宋体" w:eastAsia="仿宋_GB2312"/>
          <w:sz w:val="28"/>
          <w:szCs w:val="28"/>
        </w:rPr>
      </w:pPr>
      <w:r>
        <w:rPr>
          <w:rFonts w:hint="eastAsia" w:ascii="仿宋_GB2312" w:hAnsi="宋体" w:eastAsia="仿宋_GB2312"/>
          <w:sz w:val="28"/>
          <w:szCs w:val="28"/>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rPr>
      </w:pPr>
      <w:r>
        <w:rPr>
          <w:rFonts w:hint="eastAsia" w:ascii="仿宋_GB2312" w:hAnsi="宋体" w:eastAsia="仿宋_GB2312"/>
          <w:sz w:val="28"/>
          <w:szCs w:val="28"/>
        </w:rPr>
        <w:t>供应商、法定代表人(授权委托人)未被最高院列入失信被执行人截图（网址https://zxgk.court.gov.cn/shixin/）；</w:t>
      </w:r>
      <w:r>
        <w:rPr>
          <w:rFonts w:ascii="仿宋_GB2312" w:eastAsia="仿宋_GB2312"/>
          <w:color w:val="auto"/>
          <w:sz w:val="28"/>
          <w:szCs w:val="28"/>
        </w:rPr>
        <w:br w:type="page"/>
      </w:r>
      <w:r>
        <w:rPr>
          <w:rFonts w:hint="eastAsia" w:ascii="黑体" w:hAnsi="黑体" w:eastAsia="黑体"/>
          <w:color w:val="auto"/>
          <w:sz w:val="32"/>
          <w:szCs w:val="32"/>
        </w:rPr>
        <w:t>其他资质资格文件</w:t>
      </w:r>
    </w:p>
    <w:p w14:paraId="1B2B2E36">
      <w:pPr>
        <w:rPr>
          <w:color w:val="auto"/>
        </w:rPr>
      </w:pPr>
    </w:p>
    <w:p w14:paraId="44FBE924">
      <w:pPr>
        <w:jc w:val="center"/>
        <w:rPr>
          <w:rFonts w:ascii="黑体" w:hAnsi="黑体" w:eastAsia="黑体"/>
          <w:color w:val="auto"/>
          <w:sz w:val="40"/>
          <w:szCs w:val="44"/>
        </w:rPr>
      </w:pPr>
      <w:r>
        <w:rPr>
          <w:color w:val="auto"/>
        </w:rPr>
        <w:br w:type="page"/>
      </w:r>
      <w:r>
        <w:rPr>
          <w:rFonts w:hint="eastAsia" w:ascii="黑体" w:hAnsi="黑体" w:eastAsia="黑体"/>
          <w:color w:val="auto"/>
          <w:sz w:val="40"/>
          <w:szCs w:val="44"/>
        </w:rPr>
        <w:t>投标人基本情况表</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rPr>
            </w:pPr>
          </w:p>
        </w:tc>
        <w:tc>
          <w:tcPr>
            <w:tcW w:w="2106" w:type="dxa"/>
            <w:gridSpan w:val="3"/>
            <w:vAlign w:val="center"/>
          </w:tcPr>
          <w:p w14:paraId="3047FE4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1DFE157B">
            <w:pPr>
              <w:spacing w:line="440" w:lineRule="exact"/>
              <w:jc w:val="center"/>
              <w:rPr>
                <w:rFonts w:ascii="仿宋_GB2312" w:hAnsi="仿宋" w:eastAsia="仿宋_GB2312"/>
                <w:color w:val="auto"/>
                <w:sz w:val="28"/>
                <w:szCs w:val="28"/>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rPr>
            </w:pPr>
          </w:p>
        </w:tc>
        <w:tc>
          <w:tcPr>
            <w:tcW w:w="2106" w:type="dxa"/>
            <w:gridSpan w:val="3"/>
            <w:vAlign w:val="center"/>
          </w:tcPr>
          <w:p w14:paraId="6C174BA0">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7D2AEA48">
            <w:pPr>
              <w:spacing w:line="440" w:lineRule="exact"/>
              <w:jc w:val="center"/>
              <w:rPr>
                <w:rFonts w:ascii="仿宋_GB2312" w:hAnsi="仿宋" w:eastAsia="仿宋_GB2312"/>
                <w:color w:val="auto"/>
                <w:sz w:val="28"/>
                <w:szCs w:val="28"/>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r>
              <w:rPr>
                <w:rFonts w:ascii="仿宋_GB2312" w:hAnsi="仿宋" w:eastAsia="仿宋_GB2312"/>
                <w:color w:val="auto"/>
                <w:sz w:val="28"/>
                <w:szCs w:val="28"/>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rPr>
            </w:pPr>
          </w:p>
        </w:tc>
        <w:tc>
          <w:tcPr>
            <w:tcW w:w="2827" w:type="dxa"/>
            <w:gridSpan w:val="4"/>
            <w:vAlign w:val="center"/>
          </w:tcPr>
          <w:p w14:paraId="72D3691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rPr>
            </w:pPr>
          </w:p>
        </w:tc>
        <w:tc>
          <w:tcPr>
            <w:tcW w:w="2214" w:type="dxa"/>
            <w:gridSpan w:val="2"/>
            <w:vAlign w:val="center"/>
          </w:tcPr>
          <w:p w14:paraId="5438A21B">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rPr>
            </w:pPr>
          </w:p>
        </w:tc>
        <w:tc>
          <w:tcPr>
            <w:tcW w:w="2214" w:type="dxa"/>
            <w:gridSpan w:val="2"/>
            <w:vAlign w:val="center"/>
          </w:tcPr>
          <w:p w14:paraId="23D2A6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rPr>
            </w:pPr>
          </w:p>
        </w:tc>
        <w:tc>
          <w:tcPr>
            <w:tcW w:w="2214" w:type="dxa"/>
            <w:gridSpan w:val="2"/>
            <w:vAlign w:val="center"/>
          </w:tcPr>
          <w:p w14:paraId="7DFFAF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rPr>
            </w:pPr>
          </w:p>
        </w:tc>
        <w:tc>
          <w:tcPr>
            <w:tcW w:w="2214" w:type="dxa"/>
            <w:gridSpan w:val="2"/>
            <w:vAlign w:val="center"/>
          </w:tcPr>
          <w:p w14:paraId="3576BFDC">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rPr>
            </w:pPr>
          </w:p>
        </w:tc>
        <w:tc>
          <w:tcPr>
            <w:tcW w:w="2214" w:type="dxa"/>
            <w:gridSpan w:val="2"/>
            <w:vAlign w:val="center"/>
          </w:tcPr>
          <w:p w14:paraId="242C8BD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rPr>
            </w:pPr>
          </w:p>
        </w:tc>
        <w:tc>
          <w:tcPr>
            <w:tcW w:w="2214" w:type="dxa"/>
            <w:gridSpan w:val="2"/>
            <w:vAlign w:val="center"/>
          </w:tcPr>
          <w:p w14:paraId="0FA62A4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rPr>
            </w:pPr>
          </w:p>
        </w:tc>
      </w:tr>
    </w:tbl>
    <w:p w14:paraId="40D0F600">
      <w:pPr>
        <w:jc w:val="center"/>
        <w:rPr>
          <w:rFonts w:ascii="仿宋_GB2312" w:hAnsi="仿宋" w:eastAsia="仿宋_GB2312"/>
          <w:b/>
          <w:color w:val="auto"/>
          <w:sz w:val="44"/>
          <w:szCs w:val="44"/>
        </w:rPr>
      </w:pPr>
    </w:p>
    <w:p w14:paraId="51C6E810">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投标人单位（盖章）：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CD9452A">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法定代表人签章：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5600FFE6">
      <w:pPr>
        <w:jc w:val="right"/>
        <w:rPr>
          <w:rFonts w:ascii="黑体" w:hAnsi="黑体" w:eastAsia="黑体"/>
          <w:color w:val="auto"/>
          <w:sz w:val="44"/>
          <w:szCs w:val="44"/>
        </w:rPr>
      </w:pPr>
      <w:r>
        <w:rPr>
          <w:rFonts w:hAnsi="仿宋"/>
          <w:color w:val="auto"/>
          <w:sz w:val="32"/>
          <w:szCs w:val="32"/>
        </w:rPr>
        <w:br w:type="page"/>
      </w:r>
    </w:p>
    <w:p w14:paraId="68C963D8">
      <w:pPr>
        <w:jc w:val="center"/>
        <w:rPr>
          <w:rFonts w:ascii="黑体" w:hAnsi="黑体" w:eastAsia="黑体"/>
          <w:color w:val="auto"/>
          <w:sz w:val="32"/>
          <w:szCs w:val="32"/>
        </w:rPr>
      </w:pPr>
      <w:r>
        <w:rPr>
          <w:rFonts w:hint="eastAsia" w:ascii="黑体" w:hAnsi="黑体" w:eastAsia="黑体"/>
          <w:color w:val="auto"/>
          <w:sz w:val="32"/>
          <w:szCs w:val="32"/>
        </w:rPr>
        <w:t>项目负责人及拟派主要人员情况表</w:t>
      </w:r>
    </w:p>
    <w:tbl>
      <w:tblPr>
        <w:tblStyle w:val="33"/>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b/>
                <w:color w:val="auto"/>
                <w:sz w:val="30"/>
                <w:szCs w:val="30"/>
              </w:rPr>
            </w:pPr>
            <w:r>
              <w:rPr>
                <w:rFonts w:hint="eastAsia" w:ascii="仿宋_GB2312" w:hAnsi="仿宋" w:eastAsia="仿宋_GB2312"/>
                <w:color w:val="auto"/>
                <w:sz w:val="30"/>
                <w:szCs w:val="30"/>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olor w:val="auto"/>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olor w:val="auto"/>
                <w:sz w:val="30"/>
                <w:szCs w:val="30"/>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olor w:val="auto"/>
                <w:sz w:val="30"/>
                <w:szCs w:val="30"/>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olor w:val="auto"/>
                <w:sz w:val="30"/>
                <w:szCs w:val="30"/>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olor w:val="auto"/>
                <w:sz w:val="30"/>
                <w:szCs w:val="30"/>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olor w:val="auto"/>
                <w:sz w:val="30"/>
                <w:szCs w:val="30"/>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olor w:val="auto"/>
                <w:sz w:val="30"/>
                <w:szCs w:val="30"/>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olor w:val="auto"/>
                <w:sz w:val="30"/>
                <w:szCs w:val="30"/>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w:t>
            </w:r>
          </w:p>
          <w:p w14:paraId="1AC2AD2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olor w:val="auto"/>
                <w:sz w:val="30"/>
                <w:szCs w:val="30"/>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olor w:val="auto"/>
                <w:sz w:val="30"/>
                <w:szCs w:val="30"/>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olor w:val="auto"/>
                <w:sz w:val="30"/>
                <w:szCs w:val="30"/>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olor w:val="auto"/>
                <w:sz w:val="30"/>
                <w:szCs w:val="30"/>
              </w:rPr>
            </w:pPr>
          </w:p>
        </w:tc>
      </w:tr>
    </w:tbl>
    <w:p w14:paraId="1DB5B690">
      <w:pPr>
        <w:spacing w:line="460" w:lineRule="exact"/>
        <w:ind w:firstLine="240" w:firstLineChars="100"/>
        <w:rPr>
          <w:rFonts w:ascii="仿宋_GB2312" w:hAnsi="仿宋" w:eastAsia="仿宋_GB2312"/>
          <w:color w:val="auto"/>
          <w:sz w:val="24"/>
        </w:rPr>
      </w:pPr>
      <w:r>
        <w:rPr>
          <w:rFonts w:hint="eastAsia" w:ascii="仿宋_GB2312" w:hAnsi="仿宋" w:eastAsia="仿宋_GB2312"/>
          <w:color w:val="auto"/>
          <w:sz w:val="24"/>
        </w:rPr>
        <w:t>注：1、本表可由投标人根据实际情况自行扩展。</w:t>
      </w:r>
    </w:p>
    <w:p w14:paraId="5C7E5BE0">
      <w:pPr>
        <w:spacing w:line="460" w:lineRule="exact"/>
        <w:ind w:firstLine="720" w:firstLineChars="300"/>
        <w:rPr>
          <w:rFonts w:ascii="仿宋_GB2312" w:hAnsi="仿宋" w:eastAsia="仿宋_GB2312"/>
          <w:color w:val="auto"/>
          <w:sz w:val="24"/>
        </w:rPr>
      </w:pPr>
      <w:r>
        <w:rPr>
          <w:rFonts w:hint="eastAsia" w:ascii="仿宋_GB2312" w:hAnsi="仿宋" w:eastAsia="仿宋_GB2312"/>
          <w:color w:val="auto"/>
          <w:sz w:val="24"/>
        </w:rPr>
        <w:t>2、表后附拟派人员职业/职称</w:t>
      </w:r>
      <w:r>
        <w:rPr>
          <w:rFonts w:hint="eastAsia" w:ascii="仿宋_GB2312" w:hAnsi="仿宋" w:eastAsia="仿宋_GB2312"/>
          <w:color w:val="auto"/>
          <w:sz w:val="24"/>
          <w:lang w:eastAsia="zh-CN"/>
        </w:rPr>
        <w:t>证书</w:t>
      </w:r>
      <w:r>
        <w:rPr>
          <w:rFonts w:hint="eastAsia" w:ascii="仿宋_GB2312" w:hAnsi="仿宋" w:eastAsia="仿宋_GB2312"/>
          <w:color w:val="auto"/>
          <w:sz w:val="24"/>
          <w:lang w:val="en-US" w:eastAsia="zh-CN"/>
        </w:rPr>
        <w:t>扫描件</w:t>
      </w:r>
      <w:r>
        <w:rPr>
          <w:rFonts w:hint="eastAsia" w:ascii="仿宋_GB2312" w:hAnsi="仿宋" w:eastAsia="仿宋_GB2312"/>
          <w:color w:val="auto"/>
          <w:sz w:val="24"/>
        </w:rPr>
        <w:t>。</w:t>
      </w:r>
    </w:p>
    <w:p w14:paraId="50CA58CC">
      <w:pPr>
        <w:spacing w:line="460" w:lineRule="exact"/>
        <w:ind w:firstLine="720" w:firstLineChars="300"/>
        <w:rPr>
          <w:rFonts w:hint="eastAsia" w:ascii="仿宋_GB2312" w:hAnsi="仿宋" w:eastAsia="仿宋_GB2312"/>
          <w:color w:val="auto"/>
          <w:sz w:val="24"/>
          <w:lang w:val="en-US" w:eastAsia="zh-CN"/>
        </w:rPr>
      </w:pPr>
      <w:r>
        <w:rPr>
          <w:rFonts w:hint="eastAsia" w:ascii="仿宋_GB2312" w:hAnsi="仿宋" w:eastAsia="仿宋_GB2312"/>
          <w:color w:val="auto"/>
          <w:sz w:val="24"/>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52C7E5AC">
      <w:pPr>
        <w:widowControl/>
        <w:wordWrap w:val="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117DC82">
      <w:pPr>
        <w:wordWrap w:val="0"/>
        <w:spacing w:line="52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p w14:paraId="57CB5843">
      <w:pPr>
        <w:jc w:val="center"/>
        <w:rPr>
          <w:rFonts w:ascii="仿宋_GB2312" w:hAnsi="宋体" w:eastAsia="仿宋_GB2312"/>
          <w:color w:val="auto"/>
          <w:sz w:val="22"/>
          <w:szCs w:val="28"/>
        </w:rPr>
      </w:pPr>
      <w:r>
        <w:rPr>
          <w:rFonts w:ascii="仿宋_GB2312" w:hAnsi="仿宋" w:eastAsia="仿宋_GB2312"/>
          <w:color w:val="auto"/>
          <w:sz w:val="30"/>
          <w:szCs w:val="30"/>
        </w:rPr>
        <w:br w:type="page"/>
      </w:r>
    </w:p>
    <w:p w14:paraId="02020540">
      <w:pPr>
        <w:widowControl/>
        <w:jc w:val="center"/>
        <w:rPr>
          <w:rFonts w:ascii="黑体" w:hAnsi="黑体" w:eastAsia="黑体"/>
          <w:color w:val="auto"/>
          <w:sz w:val="44"/>
          <w:szCs w:val="44"/>
        </w:rPr>
      </w:pPr>
      <w:r>
        <w:rPr>
          <w:rFonts w:hint="eastAsia" w:ascii="黑体" w:hAnsi="黑体" w:eastAsia="黑体"/>
          <w:color w:val="auto"/>
          <w:sz w:val="44"/>
          <w:szCs w:val="44"/>
        </w:rPr>
        <w:t>国内同类项目业绩表</w:t>
      </w:r>
    </w:p>
    <w:tbl>
      <w:tblPr>
        <w:tblStyle w:val="33"/>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序号</w:t>
            </w:r>
          </w:p>
        </w:tc>
        <w:tc>
          <w:tcPr>
            <w:tcW w:w="917" w:type="dxa"/>
            <w:vAlign w:val="center"/>
          </w:tcPr>
          <w:p w14:paraId="5AA4C8E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用户名称</w:t>
            </w:r>
          </w:p>
        </w:tc>
        <w:tc>
          <w:tcPr>
            <w:tcW w:w="2552" w:type="dxa"/>
            <w:vAlign w:val="center"/>
          </w:tcPr>
          <w:p w14:paraId="47A4DA6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1134" w:type="dxa"/>
            <w:vAlign w:val="center"/>
          </w:tcPr>
          <w:p w14:paraId="0540E6B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7" w:type="dxa"/>
            <w:vAlign w:val="center"/>
          </w:tcPr>
          <w:p w14:paraId="0DCDA84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签订时间</w:t>
            </w:r>
          </w:p>
        </w:tc>
        <w:tc>
          <w:tcPr>
            <w:tcW w:w="1276" w:type="dxa"/>
            <w:vAlign w:val="center"/>
          </w:tcPr>
          <w:p w14:paraId="21BA8230">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电话/联系人</w:t>
            </w:r>
          </w:p>
        </w:tc>
        <w:tc>
          <w:tcPr>
            <w:tcW w:w="1210" w:type="dxa"/>
            <w:vAlign w:val="center"/>
          </w:tcPr>
          <w:p w14:paraId="3F5722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olor w:val="auto"/>
                <w:sz w:val="30"/>
                <w:szCs w:val="30"/>
              </w:rPr>
            </w:pPr>
          </w:p>
        </w:tc>
        <w:tc>
          <w:tcPr>
            <w:tcW w:w="917" w:type="dxa"/>
            <w:vAlign w:val="center"/>
          </w:tcPr>
          <w:p w14:paraId="0EB87E38">
            <w:pPr>
              <w:jc w:val="center"/>
              <w:rPr>
                <w:rFonts w:ascii="仿宋_GB2312" w:hAnsi="仿宋" w:eastAsia="仿宋_GB2312"/>
                <w:color w:val="auto"/>
                <w:sz w:val="30"/>
                <w:szCs w:val="30"/>
              </w:rPr>
            </w:pPr>
          </w:p>
        </w:tc>
        <w:tc>
          <w:tcPr>
            <w:tcW w:w="2552" w:type="dxa"/>
            <w:vAlign w:val="center"/>
          </w:tcPr>
          <w:p w14:paraId="4CDB4251">
            <w:pPr>
              <w:jc w:val="center"/>
              <w:rPr>
                <w:rFonts w:ascii="仿宋_GB2312" w:hAnsi="仿宋" w:eastAsia="仿宋_GB2312"/>
                <w:color w:val="auto"/>
                <w:sz w:val="30"/>
                <w:szCs w:val="30"/>
              </w:rPr>
            </w:pPr>
          </w:p>
        </w:tc>
        <w:tc>
          <w:tcPr>
            <w:tcW w:w="1134" w:type="dxa"/>
            <w:vAlign w:val="center"/>
          </w:tcPr>
          <w:p w14:paraId="0EA1889D">
            <w:pPr>
              <w:jc w:val="center"/>
              <w:rPr>
                <w:rFonts w:ascii="仿宋_GB2312" w:hAnsi="仿宋" w:eastAsia="仿宋_GB2312"/>
                <w:color w:val="auto"/>
                <w:sz w:val="30"/>
                <w:szCs w:val="30"/>
              </w:rPr>
            </w:pPr>
          </w:p>
        </w:tc>
        <w:tc>
          <w:tcPr>
            <w:tcW w:w="1417" w:type="dxa"/>
            <w:vAlign w:val="center"/>
          </w:tcPr>
          <w:p w14:paraId="0F2158CF">
            <w:pPr>
              <w:jc w:val="center"/>
              <w:rPr>
                <w:rFonts w:ascii="仿宋_GB2312" w:hAnsi="仿宋" w:eastAsia="仿宋_GB2312"/>
                <w:color w:val="auto"/>
                <w:sz w:val="30"/>
                <w:szCs w:val="30"/>
              </w:rPr>
            </w:pPr>
          </w:p>
        </w:tc>
        <w:tc>
          <w:tcPr>
            <w:tcW w:w="1276" w:type="dxa"/>
            <w:vAlign w:val="center"/>
          </w:tcPr>
          <w:p w14:paraId="69832E24">
            <w:pPr>
              <w:jc w:val="center"/>
              <w:rPr>
                <w:rFonts w:ascii="仿宋_GB2312" w:hAnsi="仿宋" w:eastAsia="仿宋_GB2312"/>
                <w:color w:val="auto"/>
                <w:sz w:val="30"/>
                <w:szCs w:val="30"/>
              </w:rPr>
            </w:pPr>
          </w:p>
        </w:tc>
        <w:tc>
          <w:tcPr>
            <w:tcW w:w="1210" w:type="dxa"/>
            <w:vAlign w:val="center"/>
          </w:tcPr>
          <w:p w14:paraId="64183CB6">
            <w:pPr>
              <w:jc w:val="center"/>
              <w:rPr>
                <w:rFonts w:ascii="仿宋_GB2312" w:hAnsi="仿宋" w:eastAsia="仿宋_GB2312"/>
                <w:color w:val="auto"/>
                <w:sz w:val="30"/>
                <w:szCs w:val="30"/>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olor w:val="auto"/>
                <w:sz w:val="30"/>
                <w:szCs w:val="30"/>
              </w:rPr>
            </w:pPr>
          </w:p>
        </w:tc>
        <w:tc>
          <w:tcPr>
            <w:tcW w:w="917" w:type="dxa"/>
            <w:vAlign w:val="center"/>
          </w:tcPr>
          <w:p w14:paraId="285269D7">
            <w:pPr>
              <w:jc w:val="center"/>
              <w:rPr>
                <w:rFonts w:ascii="仿宋_GB2312" w:hAnsi="仿宋" w:eastAsia="仿宋_GB2312"/>
                <w:color w:val="auto"/>
                <w:sz w:val="30"/>
                <w:szCs w:val="30"/>
              </w:rPr>
            </w:pPr>
          </w:p>
        </w:tc>
        <w:tc>
          <w:tcPr>
            <w:tcW w:w="2552" w:type="dxa"/>
            <w:vAlign w:val="center"/>
          </w:tcPr>
          <w:p w14:paraId="1A1564D0">
            <w:pPr>
              <w:jc w:val="center"/>
              <w:rPr>
                <w:rFonts w:ascii="仿宋_GB2312" w:hAnsi="仿宋" w:eastAsia="仿宋_GB2312"/>
                <w:color w:val="auto"/>
                <w:sz w:val="30"/>
                <w:szCs w:val="30"/>
              </w:rPr>
            </w:pPr>
          </w:p>
        </w:tc>
        <w:tc>
          <w:tcPr>
            <w:tcW w:w="1134" w:type="dxa"/>
            <w:vAlign w:val="center"/>
          </w:tcPr>
          <w:p w14:paraId="1A4297EA">
            <w:pPr>
              <w:jc w:val="center"/>
              <w:rPr>
                <w:rFonts w:ascii="仿宋_GB2312" w:hAnsi="仿宋" w:eastAsia="仿宋_GB2312"/>
                <w:color w:val="auto"/>
                <w:sz w:val="30"/>
                <w:szCs w:val="30"/>
              </w:rPr>
            </w:pPr>
          </w:p>
        </w:tc>
        <w:tc>
          <w:tcPr>
            <w:tcW w:w="1417" w:type="dxa"/>
            <w:vAlign w:val="center"/>
          </w:tcPr>
          <w:p w14:paraId="7B1ED66E">
            <w:pPr>
              <w:jc w:val="center"/>
              <w:rPr>
                <w:rFonts w:ascii="仿宋_GB2312" w:hAnsi="仿宋" w:eastAsia="仿宋_GB2312"/>
                <w:color w:val="auto"/>
                <w:sz w:val="30"/>
                <w:szCs w:val="30"/>
              </w:rPr>
            </w:pPr>
          </w:p>
        </w:tc>
        <w:tc>
          <w:tcPr>
            <w:tcW w:w="1276" w:type="dxa"/>
            <w:vAlign w:val="center"/>
          </w:tcPr>
          <w:p w14:paraId="698BD820">
            <w:pPr>
              <w:jc w:val="center"/>
              <w:rPr>
                <w:rFonts w:ascii="仿宋_GB2312" w:hAnsi="仿宋" w:eastAsia="仿宋_GB2312"/>
                <w:color w:val="auto"/>
                <w:sz w:val="30"/>
                <w:szCs w:val="30"/>
              </w:rPr>
            </w:pPr>
          </w:p>
        </w:tc>
        <w:tc>
          <w:tcPr>
            <w:tcW w:w="1210" w:type="dxa"/>
            <w:vAlign w:val="center"/>
          </w:tcPr>
          <w:p w14:paraId="310EDB01">
            <w:pPr>
              <w:jc w:val="center"/>
              <w:rPr>
                <w:rFonts w:ascii="仿宋_GB2312" w:hAnsi="仿宋" w:eastAsia="仿宋_GB2312"/>
                <w:color w:val="auto"/>
                <w:sz w:val="30"/>
                <w:szCs w:val="30"/>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olor w:val="auto"/>
                <w:sz w:val="30"/>
                <w:szCs w:val="30"/>
              </w:rPr>
            </w:pPr>
          </w:p>
        </w:tc>
        <w:tc>
          <w:tcPr>
            <w:tcW w:w="917" w:type="dxa"/>
            <w:vAlign w:val="center"/>
          </w:tcPr>
          <w:p w14:paraId="30512A9E">
            <w:pPr>
              <w:jc w:val="center"/>
              <w:rPr>
                <w:rFonts w:ascii="仿宋_GB2312" w:hAnsi="仿宋" w:eastAsia="仿宋_GB2312"/>
                <w:color w:val="auto"/>
                <w:sz w:val="30"/>
                <w:szCs w:val="30"/>
              </w:rPr>
            </w:pPr>
          </w:p>
        </w:tc>
        <w:tc>
          <w:tcPr>
            <w:tcW w:w="2552" w:type="dxa"/>
            <w:vAlign w:val="center"/>
          </w:tcPr>
          <w:p w14:paraId="6ED1F8AA">
            <w:pPr>
              <w:jc w:val="center"/>
              <w:rPr>
                <w:rFonts w:ascii="仿宋_GB2312" w:hAnsi="仿宋" w:eastAsia="仿宋_GB2312"/>
                <w:color w:val="auto"/>
                <w:sz w:val="30"/>
                <w:szCs w:val="30"/>
              </w:rPr>
            </w:pPr>
          </w:p>
        </w:tc>
        <w:tc>
          <w:tcPr>
            <w:tcW w:w="1134" w:type="dxa"/>
            <w:vAlign w:val="center"/>
          </w:tcPr>
          <w:p w14:paraId="27D5A90D">
            <w:pPr>
              <w:jc w:val="center"/>
              <w:rPr>
                <w:rFonts w:ascii="仿宋_GB2312" w:hAnsi="仿宋" w:eastAsia="仿宋_GB2312"/>
                <w:color w:val="auto"/>
                <w:sz w:val="30"/>
                <w:szCs w:val="30"/>
              </w:rPr>
            </w:pPr>
          </w:p>
        </w:tc>
        <w:tc>
          <w:tcPr>
            <w:tcW w:w="1417" w:type="dxa"/>
            <w:vAlign w:val="center"/>
          </w:tcPr>
          <w:p w14:paraId="108A8CF6">
            <w:pPr>
              <w:jc w:val="center"/>
              <w:rPr>
                <w:rFonts w:ascii="仿宋_GB2312" w:hAnsi="仿宋" w:eastAsia="仿宋_GB2312"/>
                <w:color w:val="auto"/>
                <w:sz w:val="30"/>
                <w:szCs w:val="30"/>
              </w:rPr>
            </w:pPr>
          </w:p>
        </w:tc>
        <w:tc>
          <w:tcPr>
            <w:tcW w:w="1276" w:type="dxa"/>
            <w:vAlign w:val="center"/>
          </w:tcPr>
          <w:p w14:paraId="6927E624">
            <w:pPr>
              <w:jc w:val="center"/>
              <w:rPr>
                <w:rFonts w:ascii="仿宋_GB2312" w:hAnsi="仿宋" w:eastAsia="仿宋_GB2312"/>
                <w:color w:val="auto"/>
                <w:sz w:val="30"/>
                <w:szCs w:val="30"/>
              </w:rPr>
            </w:pPr>
          </w:p>
        </w:tc>
        <w:tc>
          <w:tcPr>
            <w:tcW w:w="1210" w:type="dxa"/>
            <w:vAlign w:val="center"/>
          </w:tcPr>
          <w:p w14:paraId="18EFB51C">
            <w:pPr>
              <w:jc w:val="center"/>
              <w:rPr>
                <w:rFonts w:ascii="仿宋_GB2312" w:hAnsi="仿宋" w:eastAsia="仿宋_GB2312"/>
                <w:color w:val="auto"/>
                <w:sz w:val="30"/>
                <w:szCs w:val="30"/>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olor w:val="auto"/>
                <w:sz w:val="30"/>
                <w:szCs w:val="30"/>
              </w:rPr>
            </w:pPr>
          </w:p>
        </w:tc>
        <w:tc>
          <w:tcPr>
            <w:tcW w:w="917" w:type="dxa"/>
            <w:vAlign w:val="center"/>
          </w:tcPr>
          <w:p w14:paraId="76EACD67">
            <w:pPr>
              <w:jc w:val="center"/>
              <w:rPr>
                <w:rFonts w:ascii="仿宋_GB2312" w:hAnsi="仿宋" w:eastAsia="仿宋_GB2312"/>
                <w:color w:val="auto"/>
                <w:sz w:val="30"/>
                <w:szCs w:val="30"/>
              </w:rPr>
            </w:pPr>
          </w:p>
        </w:tc>
        <w:tc>
          <w:tcPr>
            <w:tcW w:w="2552" w:type="dxa"/>
            <w:vAlign w:val="center"/>
          </w:tcPr>
          <w:p w14:paraId="70F08BB3">
            <w:pPr>
              <w:jc w:val="center"/>
              <w:rPr>
                <w:rFonts w:ascii="仿宋_GB2312" w:hAnsi="仿宋" w:eastAsia="仿宋_GB2312"/>
                <w:color w:val="auto"/>
                <w:sz w:val="30"/>
                <w:szCs w:val="30"/>
              </w:rPr>
            </w:pPr>
          </w:p>
        </w:tc>
        <w:tc>
          <w:tcPr>
            <w:tcW w:w="1134" w:type="dxa"/>
            <w:vAlign w:val="center"/>
          </w:tcPr>
          <w:p w14:paraId="24CBD7B9">
            <w:pPr>
              <w:jc w:val="center"/>
              <w:rPr>
                <w:rFonts w:ascii="仿宋_GB2312" w:hAnsi="仿宋" w:eastAsia="仿宋_GB2312"/>
                <w:color w:val="auto"/>
                <w:sz w:val="30"/>
                <w:szCs w:val="30"/>
              </w:rPr>
            </w:pPr>
          </w:p>
        </w:tc>
        <w:tc>
          <w:tcPr>
            <w:tcW w:w="1417" w:type="dxa"/>
            <w:vAlign w:val="center"/>
          </w:tcPr>
          <w:p w14:paraId="076782CE">
            <w:pPr>
              <w:jc w:val="center"/>
              <w:rPr>
                <w:rFonts w:ascii="仿宋_GB2312" w:hAnsi="仿宋" w:eastAsia="仿宋_GB2312"/>
                <w:color w:val="auto"/>
                <w:sz w:val="30"/>
                <w:szCs w:val="30"/>
              </w:rPr>
            </w:pPr>
          </w:p>
        </w:tc>
        <w:tc>
          <w:tcPr>
            <w:tcW w:w="1276" w:type="dxa"/>
            <w:vAlign w:val="center"/>
          </w:tcPr>
          <w:p w14:paraId="007E0783">
            <w:pPr>
              <w:jc w:val="center"/>
              <w:rPr>
                <w:rFonts w:ascii="仿宋_GB2312" w:hAnsi="仿宋" w:eastAsia="仿宋_GB2312"/>
                <w:color w:val="auto"/>
                <w:sz w:val="30"/>
                <w:szCs w:val="30"/>
              </w:rPr>
            </w:pPr>
          </w:p>
        </w:tc>
        <w:tc>
          <w:tcPr>
            <w:tcW w:w="1210" w:type="dxa"/>
            <w:vAlign w:val="center"/>
          </w:tcPr>
          <w:p w14:paraId="457469E7">
            <w:pPr>
              <w:jc w:val="center"/>
              <w:rPr>
                <w:rFonts w:ascii="仿宋_GB2312" w:hAnsi="仿宋" w:eastAsia="仿宋_GB2312"/>
                <w:color w:val="auto"/>
                <w:sz w:val="30"/>
                <w:szCs w:val="30"/>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olor w:val="auto"/>
                <w:sz w:val="30"/>
                <w:szCs w:val="30"/>
              </w:rPr>
            </w:pPr>
          </w:p>
        </w:tc>
        <w:tc>
          <w:tcPr>
            <w:tcW w:w="917" w:type="dxa"/>
            <w:vAlign w:val="center"/>
          </w:tcPr>
          <w:p w14:paraId="29A97ABD">
            <w:pPr>
              <w:jc w:val="center"/>
              <w:rPr>
                <w:rFonts w:ascii="仿宋_GB2312" w:hAnsi="仿宋" w:eastAsia="仿宋_GB2312"/>
                <w:color w:val="auto"/>
                <w:sz w:val="30"/>
                <w:szCs w:val="30"/>
              </w:rPr>
            </w:pPr>
          </w:p>
        </w:tc>
        <w:tc>
          <w:tcPr>
            <w:tcW w:w="2552" w:type="dxa"/>
            <w:vAlign w:val="center"/>
          </w:tcPr>
          <w:p w14:paraId="6C3BE000">
            <w:pPr>
              <w:jc w:val="center"/>
              <w:rPr>
                <w:rFonts w:ascii="仿宋_GB2312" w:hAnsi="仿宋" w:eastAsia="仿宋_GB2312"/>
                <w:color w:val="auto"/>
                <w:sz w:val="30"/>
                <w:szCs w:val="30"/>
              </w:rPr>
            </w:pPr>
          </w:p>
        </w:tc>
        <w:tc>
          <w:tcPr>
            <w:tcW w:w="1134" w:type="dxa"/>
            <w:vAlign w:val="center"/>
          </w:tcPr>
          <w:p w14:paraId="302EE266">
            <w:pPr>
              <w:jc w:val="center"/>
              <w:rPr>
                <w:rFonts w:ascii="仿宋_GB2312" w:hAnsi="仿宋" w:eastAsia="仿宋_GB2312"/>
                <w:color w:val="auto"/>
                <w:sz w:val="30"/>
                <w:szCs w:val="30"/>
              </w:rPr>
            </w:pPr>
          </w:p>
        </w:tc>
        <w:tc>
          <w:tcPr>
            <w:tcW w:w="1417" w:type="dxa"/>
            <w:vAlign w:val="center"/>
          </w:tcPr>
          <w:p w14:paraId="0171A7E9">
            <w:pPr>
              <w:jc w:val="center"/>
              <w:rPr>
                <w:rFonts w:ascii="仿宋_GB2312" w:hAnsi="仿宋" w:eastAsia="仿宋_GB2312"/>
                <w:color w:val="auto"/>
                <w:sz w:val="30"/>
                <w:szCs w:val="30"/>
              </w:rPr>
            </w:pPr>
          </w:p>
        </w:tc>
        <w:tc>
          <w:tcPr>
            <w:tcW w:w="1276" w:type="dxa"/>
            <w:vAlign w:val="center"/>
          </w:tcPr>
          <w:p w14:paraId="6DADC7DF">
            <w:pPr>
              <w:jc w:val="center"/>
              <w:rPr>
                <w:rFonts w:ascii="仿宋_GB2312" w:hAnsi="仿宋" w:eastAsia="仿宋_GB2312"/>
                <w:color w:val="auto"/>
                <w:sz w:val="30"/>
                <w:szCs w:val="30"/>
              </w:rPr>
            </w:pPr>
          </w:p>
        </w:tc>
        <w:tc>
          <w:tcPr>
            <w:tcW w:w="1210" w:type="dxa"/>
            <w:vAlign w:val="center"/>
          </w:tcPr>
          <w:p w14:paraId="0C76CC11">
            <w:pPr>
              <w:jc w:val="center"/>
              <w:rPr>
                <w:rFonts w:ascii="仿宋_GB2312" w:hAnsi="仿宋" w:eastAsia="仿宋_GB2312"/>
                <w:color w:val="auto"/>
                <w:sz w:val="30"/>
                <w:szCs w:val="30"/>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olor w:val="auto"/>
                <w:sz w:val="30"/>
                <w:szCs w:val="30"/>
              </w:rPr>
            </w:pPr>
          </w:p>
        </w:tc>
        <w:tc>
          <w:tcPr>
            <w:tcW w:w="917" w:type="dxa"/>
            <w:vAlign w:val="center"/>
          </w:tcPr>
          <w:p w14:paraId="7472C832">
            <w:pPr>
              <w:jc w:val="center"/>
              <w:rPr>
                <w:rFonts w:ascii="仿宋_GB2312" w:hAnsi="仿宋" w:eastAsia="仿宋_GB2312"/>
                <w:color w:val="auto"/>
                <w:sz w:val="30"/>
                <w:szCs w:val="30"/>
              </w:rPr>
            </w:pPr>
          </w:p>
        </w:tc>
        <w:tc>
          <w:tcPr>
            <w:tcW w:w="2552" w:type="dxa"/>
            <w:vAlign w:val="center"/>
          </w:tcPr>
          <w:p w14:paraId="676AE12C">
            <w:pPr>
              <w:jc w:val="center"/>
              <w:rPr>
                <w:rFonts w:ascii="仿宋_GB2312" w:hAnsi="仿宋" w:eastAsia="仿宋_GB2312"/>
                <w:color w:val="auto"/>
                <w:sz w:val="30"/>
                <w:szCs w:val="30"/>
              </w:rPr>
            </w:pPr>
          </w:p>
        </w:tc>
        <w:tc>
          <w:tcPr>
            <w:tcW w:w="1134" w:type="dxa"/>
            <w:vAlign w:val="center"/>
          </w:tcPr>
          <w:p w14:paraId="33C93427">
            <w:pPr>
              <w:jc w:val="center"/>
              <w:rPr>
                <w:rFonts w:ascii="仿宋_GB2312" w:hAnsi="仿宋" w:eastAsia="仿宋_GB2312"/>
                <w:color w:val="auto"/>
                <w:sz w:val="30"/>
                <w:szCs w:val="30"/>
              </w:rPr>
            </w:pPr>
          </w:p>
        </w:tc>
        <w:tc>
          <w:tcPr>
            <w:tcW w:w="1417" w:type="dxa"/>
            <w:vAlign w:val="center"/>
          </w:tcPr>
          <w:p w14:paraId="11AAC245">
            <w:pPr>
              <w:jc w:val="center"/>
              <w:rPr>
                <w:rFonts w:ascii="仿宋_GB2312" w:hAnsi="仿宋" w:eastAsia="仿宋_GB2312"/>
                <w:color w:val="auto"/>
                <w:sz w:val="30"/>
                <w:szCs w:val="30"/>
              </w:rPr>
            </w:pPr>
          </w:p>
        </w:tc>
        <w:tc>
          <w:tcPr>
            <w:tcW w:w="1276" w:type="dxa"/>
            <w:vAlign w:val="center"/>
          </w:tcPr>
          <w:p w14:paraId="5E7B528F">
            <w:pPr>
              <w:jc w:val="center"/>
              <w:rPr>
                <w:rFonts w:ascii="仿宋_GB2312" w:hAnsi="仿宋" w:eastAsia="仿宋_GB2312"/>
                <w:color w:val="auto"/>
                <w:sz w:val="30"/>
                <w:szCs w:val="30"/>
              </w:rPr>
            </w:pPr>
          </w:p>
        </w:tc>
        <w:tc>
          <w:tcPr>
            <w:tcW w:w="1210" w:type="dxa"/>
            <w:vAlign w:val="center"/>
          </w:tcPr>
          <w:p w14:paraId="25592CD3">
            <w:pPr>
              <w:jc w:val="center"/>
              <w:rPr>
                <w:rFonts w:ascii="仿宋_GB2312" w:hAnsi="仿宋" w:eastAsia="仿宋_GB2312"/>
                <w:color w:val="auto"/>
                <w:sz w:val="30"/>
                <w:szCs w:val="30"/>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olor w:val="auto"/>
                <w:sz w:val="30"/>
                <w:szCs w:val="30"/>
              </w:rPr>
            </w:pPr>
          </w:p>
        </w:tc>
        <w:tc>
          <w:tcPr>
            <w:tcW w:w="917" w:type="dxa"/>
            <w:vAlign w:val="center"/>
          </w:tcPr>
          <w:p w14:paraId="109476C4">
            <w:pPr>
              <w:jc w:val="center"/>
              <w:rPr>
                <w:rFonts w:ascii="仿宋_GB2312" w:hAnsi="仿宋" w:eastAsia="仿宋_GB2312"/>
                <w:color w:val="auto"/>
                <w:sz w:val="30"/>
                <w:szCs w:val="30"/>
              </w:rPr>
            </w:pPr>
          </w:p>
        </w:tc>
        <w:tc>
          <w:tcPr>
            <w:tcW w:w="2552" w:type="dxa"/>
            <w:vAlign w:val="center"/>
          </w:tcPr>
          <w:p w14:paraId="57D945DC">
            <w:pPr>
              <w:jc w:val="center"/>
              <w:rPr>
                <w:rFonts w:ascii="仿宋_GB2312" w:hAnsi="仿宋" w:eastAsia="仿宋_GB2312"/>
                <w:color w:val="auto"/>
                <w:sz w:val="30"/>
                <w:szCs w:val="30"/>
              </w:rPr>
            </w:pPr>
          </w:p>
        </w:tc>
        <w:tc>
          <w:tcPr>
            <w:tcW w:w="1134" w:type="dxa"/>
            <w:vAlign w:val="center"/>
          </w:tcPr>
          <w:p w14:paraId="78198657">
            <w:pPr>
              <w:jc w:val="center"/>
              <w:rPr>
                <w:rFonts w:ascii="仿宋_GB2312" w:hAnsi="仿宋" w:eastAsia="仿宋_GB2312"/>
                <w:color w:val="auto"/>
                <w:sz w:val="30"/>
                <w:szCs w:val="30"/>
              </w:rPr>
            </w:pPr>
          </w:p>
        </w:tc>
        <w:tc>
          <w:tcPr>
            <w:tcW w:w="1417" w:type="dxa"/>
            <w:vAlign w:val="center"/>
          </w:tcPr>
          <w:p w14:paraId="492DD3C0">
            <w:pPr>
              <w:jc w:val="center"/>
              <w:rPr>
                <w:rFonts w:ascii="仿宋_GB2312" w:hAnsi="仿宋" w:eastAsia="仿宋_GB2312"/>
                <w:color w:val="auto"/>
                <w:sz w:val="30"/>
                <w:szCs w:val="30"/>
              </w:rPr>
            </w:pPr>
          </w:p>
        </w:tc>
        <w:tc>
          <w:tcPr>
            <w:tcW w:w="1276" w:type="dxa"/>
            <w:vAlign w:val="center"/>
          </w:tcPr>
          <w:p w14:paraId="09E57039">
            <w:pPr>
              <w:jc w:val="center"/>
              <w:rPr>
                <w:rFonts w:ascii="仿宋_GB2312" w:hAnsi="仿宋" w:eastAsia="仿宋_GB2312"/>
                <w:color w:val="auto"/>
                <w:sz w:val="30"/>
                <w:szCs w:val="30"/>
              </w:rPr>
            </w:pPr>
          </w:p>
        </w:tc>
        <w:tc>
          <w:tcPr>
            <w:tcW w:w="1210" w:type="dxa"/>
            <w:vAlign w:val="center"/>
          </w:tcPr>
          <w:p w14:paraId="180831E7">
            <w:pPr>
              <w:jc w:val="center"/>
              <w:rPr>
                <w:rFonts w:ascii="仿宋_GB2312" w:hAnsi="仿宋" w:eastAsia="仿宋_GB2312"/>
                <w:color w:val="auto"/>
                <w:sz w:val="30"/>
                <w:szCs w:val="30"/>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olor w:val="auto"/>
                <w:sz w:val="30"/>
                <w:szCs w:val="30"/>
              </w:rPr>
            </w:pPr>
          </w:p>
        </w:tc>
        <w:tc>
          <w:tcPr>
            <w:tcW w:w="917" w:type="dxa"/>
            <w:vAlign w:val="center"/>
          </w:tcPr>
          <w:p w14:paraId="27516797">
            <w:pPr>
              <w:jc w:val="center"/>
              <w:rPr>
                <w:rFonts w:ascii="仿宋_GB2312" w:hAnsi="仿宋" w:eastAsia="仿宋_GB2312"/>
                <w:color w:val="auto"/>
                <w:sz w:val="30"/>
                <w:szCs w:val="30"/>
              </w:rPr>
            </w:pPr>
          </w:p>
        </w:tc>
        <w:tc>
          <w:tcPr>
            <w:tcW w:w="2552" w:type="dxa"/>
            <w:vAlign w:val="center"/>
          </w:tcPr>
          <w:p w14:paraId="10F29D26">
            <w:pPr>
              <w:jc w:val="center"/>
              <w:rPr>
                <w:rFonts w:ascii="仿宋_GB2312" w:hAnsi="仿宋" w:eastAsia="仿宋_GB2312"/>
                <w:color w:val="auto"/>
                <w:sz w:val="30"/>
                <w:szCs w:val="30"/>
              </w:rPr>
            </w:pPr>
          </w:p>
        </w:tc>
        <w:tc>
          <w:tcPr>
            <w:tcW w:w="1134" w:type="dxa"/>
            <w:vAlign w:val="center"/>
          </w:tcPr>
          <w:p w14:paraId="6A0C1CF6">
            <w:pPr>
              <w:jc w:val="center"/>
              <w:rPr>
                <w:rFonts w:ascii="仿宋_GB2312" w:hAnsi="仿宋" w:eastAsia="仿宋_GB2312"/>
                <w:color w:val="auto"/>
                <w:sz w:val="30"/>
                <w:szCs w:val="30"/>
              </w:rPr>
            </w:pPr>
          </w:p>
        </w:tc>
        <w:tc>
          <w:tcPr>
            <w:tcW w:w="1417" w:type="dxa"/>
            <w:vAlign w:val="center"/>
          </w:tcPr>
          <w:p w14:paraId="2C983EFB">
            <w:pPr>
              <w:jc w:val="center"/>
              <w:rPr>
                <w:rFonts w:ascii="仿宋_GB2312" w:hAnsi="仿宋" w:eastAsia="仿宋_GB2312"/>
                <w:color w:val="auto"/>
                <w:sz w:val="30"/>
                <w:szCs w:val="30"/>
              </w:rPr>
            </w:pPr>
          </w:p>
        </w:tc>
        <w:tc>
          <w:tcPr>
            <w:tcW w:w="1276" w:type="dxa"/>
            <w:vAlign w:val="center"/>
          </w:tcPr>
          <w:p w14:paraId="4CDFEF34">
            <w:pPr>
              <w:jc w:val="center"/>
              <w:rPr>
                <w:rFonts w:ascii="仿宋_GB2312" w:hAnsi="仿宋" w:eastAsia="仿宋_GB2312"/>
                <w:color w:val="auto"/>
                <w:sz w:val="30"/>
                <w:szCs w:val="30"/>
              </w:rPr>
            </w:pPr>
          </w:p>
        </w:tc>
        <w:tc>
          <w:tcPr>
            <w:tcW w:w="1210" w:type="dxa"/>
            <w:vAlign w:val="center"/>
          </w:tcPr>
          <w:p w14:paraId="5084E17D">
            <w:pPr>
              <w:jc w:val="center"/>
              <w:rPr>
                <w:rFonts w:ascii="仿宋_GB2312" w:hAnsi="仿宋" w:eastAsia="仿宋_GB2312"/>
                <w:color w:val="auto"/>
                <w:sz w:val="30"/>
                <w:szCs w:val="30"/>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olor w:val="auto"/>
                <w:sz w:val="30"/>
                <w:szCs w:val="30"/>
              </w:rPr>
            </w:pPr>
          </w:p>
        </w:tc>
        <w:tc>
          <w:tcPr>
            <w:tcW w:w="917" w:type="dxa"/>
            <w:vAlign w:val="center"/>
          </w:tcPr>
          <w:p w14:paraId="3AA1EB54">
            <w:pPr>
              <w:jc w:val="center"/>
              <w:rPr>
                <w:rFonts w:ascii="仿宋_GB2312" w:hAnsi="仿宋" w:eastAsia="仿宋_GB2312"/>
                <w:color w:val="auto"/>
                <w:sz w:val="30"/>
                <w:szCs w:val="30"/>
              </w:rPr>
            </w:pPr>
          </w:p>
        </w:tc>
        <w:tc>
          <w:tcPr>
            <w:tcW w:w="2552" w:type="dxa"/>
            <w:vAlign w:val="center"/>
          </w:tcPr>
          <w:p w14:paraId="0561B2BD">
            <w:pPr>
              <w:jc w:val="center"/>
              <w:rPr>
                <w:rFonts w:ascii="仿宋_GB2312" w:hAnsi="仿宋" w:eastAsia="仿宋_GB2312"/>
                <w:color w:val="auto"/>
                <w:sz w:val="30"/>
                <w:szCs w:val="30"/>
              </w:rPr>
            </w:pPr>
          </w:p>
        </w:tc>
        <w:tc>
          <w:tcPr>
            <w:tcW w:w="1134" w:type="dxa"/>
            <w:vAlign w:val="center"/>
          </w:tcPr>
          <w:p w14:paraId="504E5B01">
            <w:pPr>
              <w:jc w:val="center"/>
              <w:rPr>
                <w:rFonts w:ascii="仿宋_GB2312" w:hAnsi="仿宋" w:eastAsia="仿宋_GB2312"/>
                <w:color w:val="auto"/>
                <w:sz w:val="30"/>
                <w:szCs w:val="30"/>
              </w:rPr>
            </w:pPr>
          </w:p>
        </w:tc>
        <w:tc>
          <w:tcPr>
            <w:tcW w:w="1417" w:type="dxa"/>
            <w:vAlign w:val="center"/>
          </w:tcPr>
          <w:p w14:paraId="25B10744">
            <w:pPr>
              <w:jc w:val="center"/>
              <w:rPr>
                <w:rFonts w:ascii="仿宋_GB2312" w:hAnsi="仿宋" w:eastAsia="仿宋_GB2312"/>
                <w:color w:val="auto"/>
                <w:sz w:val="30"/>
                <w:szCs w:val="30"/>
              </w:rPr>
            </w:pPr>
          </w:p>
        </w:tc>
        <w:tc>
          <w:tcPr>
            <w:tcW w:w="1276" w:type="dxa"/>
            <w:vAlign w:val="center"/>
          </w:tcPr>
          <w:p w14:paraId="7CD83EED">
            <w:pPr>
              <w:jc w:val="center"/>
              <w:rPr>
                <w:rFonts w:ascii="仿宋_GB2312" w:hAnsi="仿宋" w:eastAsia="仿宋_GB2312"/>
                <w:color w:val="auto"/>
                <w:sz w:val="30"/>
                <w:szCs w:val="30"/>
              </w:rPr>
            </w:pPr>
          </w:p>
        </w:tc>
        <w:tc>
          <w:tcPr>
            <w:tcW w:w="1210" w:type="dxa"/>
            <w:vAlign w:val="center"/>
          </w:tcPr>
          <w:p w14:paraId="686EF2CC">
            <w:pPr>
              <w:jc w:val="center"/>
              <w:rPr>
                <w:rFonts w:ascii="仿宋_GB2312" w:hAnsi="仿宋" w:eastAsia="仿宋_GB2312"/>
                <w:color w:val="auto"/>
                <w:sz w:val="30"/>
                <w:szCs w:val="30"/>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olor w:val="auto"/>
                <w:sz w:val="30"/>
                <w:szCs w:val="30"/>
              </w:rPr>
            </w:pPr>
          </w:p>
        </w:tc>
        <w:tc>
          <w:tcPr>
            <w:tcW w:w="917" w:type="dxa"/>
            <w:vAlign w:val="center"/>
          </w:tcPr>
          <w:p w14:paraId="7C7EED3D">
            <w:pPr>
              <w:jc w:val="center"/>
              <w:rPr>
                <w:rFonts w:ascii="仿宋_GB2312" w:hAnsi="仿宋" w:eastAsia="仿宋_GB2312"/>
                <w:color w:val="auto"/>
                <w:sz w:val="30"/>
                <w:szCs w:val="30"/>
              </w:rPr>
            </w:pPr>
          </w:p>
        </w:tc>
        <w:tc>
          <w:tcPr>
            <w:tcW w:w="2552" w:type="dxa"/>
            <w:vAlign w:val="center"/>
          </w:tcPr>
          <w:p w14:paraId="50860C8E">
            <w:pPr>
              <w:jc w:val="center"/>
              <w:rPr>
                <w:rFonts w:ascii="仿宋_GB2312" w:hAnsi="仿宋" w:eastAsia="仿宋_GB2312"/>
                <w:color w:val="auto"/>
                <w:sz w:val="30"/>
                <w:szCs w:val="30"/>
              </w:rPr>
            </w:pPr>
          </w:p>
        </w:tc>
        <w:tc>
          <w:tcPr>
            <w:tcW w:w="1134" w:type="dxa"/>
            <w:vAlign w:val="center"/>
          </w:tcPr>
          <w:p w14:paraId="2EAAB40C">
            <w:pPr>
              <w:jc w:val="center"/>
              <w:rPr>
                <w:rFonts w:ascii="仿宋_GB2312" w:hAnsi="仿宋" w:eastAsia="仿宋_GB2312"/>
                <w:color w:val="auto"/>
                <w:sz w:val="30"/>
                <w:szCs w:val="30"/>
              </w:rPr>
            </w:pPr>
          </w:p>
        </w:tc>
        <w:tc>
          <w:tcPr>
            <w:tcW w:w="1417" w:type="dxa"/>
            <w:vAlign w:val="center"/>
          </w:tcPr>
          <w:p w14:paraId="33BDB978">
            <w:pPr>
              <w:jc w:val="center"/>
              <w:rPr>
                <w:rFonts w:ascii="仿宋_GB2312" w:hAnsi="仿宋" w:eastAsia="仿宋_GB2312"/>
                <w:color w:val="auto"/>
                <w:sz w:val="30"/>
                <w:szCs w:val="30"/>
              </w:rPr>
            </w:pPr>
          </w:p>
        </w:tc>
        <w:tc>
          <w:tcPr>
            <w:tcW w:w="1276" w:type="dxa"/>
            <w:vAlign w:val="center"/>
          </w:tcPr>
          <w:p w14:paraId="7D94A65B">
            <w:pPr>
              <w:jc w:val="center"/>
              <w:rPr>
                <w:rFonts w:ascii="仿宋_GB2312" w:hAnsi="仿宋" w:eastAsia="仿宋_GB2312"/>
                <w:color w:val="auto"/>
                <w:sz w:val="30"/>
                <w:szCs w:val="30"/>
              </w:rPr>
            </w:pPr>
          </w:p>
        </w:tc>
        <w:tc>
          <w:tcPr>
            <w:tcW w:w="1210" w:type="dxa"/>
            <w:vAlign w:val="center"/>
          </w:tcPr>
          <w:p w14:paraId="5B60FCDF">
            <w:pPr>
              <w:jc w:val="center"/>
              <w:rPr>
                <w:rFonts w:ascii="仿宋_GB2312" w:hAnsi="仿宋" w:eastAsia="仿宋_GB2312"/>
                <w:color w:val="auto"/>
                <w:sz w:val="30"/>
                <w:szCs w:val="30"/>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olor w:val="auto"/>
                <w:sz w:val="30"/>
                <w:szCs w:val="30"/>
              </w:rPr>
            </w:pPr>
          </w:p>
        </w:tc>
        <w:tc>
          <w:tcPr>
            <w:tcW w:w="917" w:type="dxa"/>
            <w:vAlign w:val="center"/>
          </w:tcPr>
          <w:p w14:paraId="5ACA506D">
            <w:pPr>
              <w:jc w:val="center"/>
              <w:rPr>
                <w:rFonts w:ascii="仿宋_GB2312" w:hAnsi="仿宋" w:eastAsia="仿宋_GB2312"/>
                <w:color w:val="auto"/>
                <w:sz w:val="30"/>
                <w:szCs w:val="30"/>
              </w:rPr>
            </w:pPr>
          </w:p>
        </w:tc>
        <w:tc>
          <w:tcPr>
            <w:tcW w:w="2552" w:type="dxa"/>
            <w:vAlign w:val="center"/>
          </w:tcPr>
          <w:p w14:paraId="7B9B1FA1">
            <w:pPr>
              <w:jc w:val="center"/>
              <w:rPr>
                <w:rFonts w:ascii="仿宋_GB2312" w:hAnsi="仿宋" w:eastAsia="仿宋_GB2312"/>
                <w:color w:val="auto"/>
                <w:sz w:val="30"/>
                <w:szCs w:val="30"/>
              </w:rPr>
            </w:pPr>
          </w:p>
        </w:tc>
        <w:tc>
          <w:tcPr>
            <w:tcW w:w="1134" w:type="dxa"/>
            <w:vAlign w:val="center"/>
          </w:tcPr>
          <w:p w14:paraId="38015608">
            <w:pPr>
              <w:jc w:val="center"/>
              <w:rPr>
                <w:rFonts w:ascii="仿宋_GB2312" w:hAnsi="仿宋" w:eastAsia="仿宋_GB2312"/>
                <w:color w:val="auto"/>
                <w:sz w:val="30"/>
                <w:szCs w:val="30"/>
              </w:rPr>
            </w:pPr>
          </w:p>
        </w:tc>
        <w:tc>
          <w:tcPr>
            <w:tcW w:w="1417" w:type="dxa"/>
            <w:vAlign w:val="center"/>
          </w:tcPr>
          <w:p w14:paraId="7EE527DA">
            <w:pPr>
              <w:jc w:val="center"/>
              <w:rPr>
                <w:rFonts w:ascii="仿宋_GB2312" w:hAnsi="仿宋" w:eastAsia="仿宋_GB2312"/>
                <w:color w:val="auto"/>
                <w:sz w:val="30"/>
                <w:szCs w:val="30"/>
              </w:rPr>
            </w:pPr>
          </w:p>
        </w:tc>
        <w:tc>
          <w:tcPr>
            <w:tcW w:w="1276" w:type="dxa"/>
            <w:vAlign w:val="center"/>
          </w:tcPr>
          <w:p w14:paraId="3157AF91">
            <w:pPr>
              <w:jc w:val="center"/>
              <w:rPr>
                <w:rFonts w:ascii="仿宋_GB2312" w:hAnsi="仿宋" w:eastAsia="仿宋_GB2312"/>
                <w:color w:val="auto"/>
                <w:sz w:val="30"/>
                <w:szCs w:val="30"/>
              </w:rPr>
            </w:pPr>
          </w:p>
        </w:tc>
        <w:tc>
          <w:tcPr>
            <w:tcW w:w="1210" w:type="dxa"/>
            <w:vAlign w:val="center"/>
          </w:tcPr>
          <w:p w14:paraId="413E2D65">
            <w:pPr>
              <w:jc w:val="center"/>
              <w:rPr>
                <w:rFonts w:ascii="仿宋_GB2312" w:hAnsi="仿宋" w:eastAsia="仿宋_GB2312"/>
                <w:color w:val="auto"/>
                <w:sz w:val="30"/>
                <w:szCs w:val="30"/>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olor w:val="auto"/>
                <w:sz w:val="30"/>
                <w:szCs w:val="30"/>
              </w:rPr>
            </w:pPr>
          </w:p>
        </w:tc>
        <w:tc>
          <w:tcPr>
            <w:tcW w:w="917" w:type="dxa"/>
            <w:vAlign w:val="center"/>
          </w:tcPr>
          <w:p w14:paraId="47B8EFF3">
            <w:pPr>
              <w:jc w:val="center"/>
              <w:rPr>
                <w:rFonts w:ascii="仿宋_GB2312" w:hAnsi="仿宋" w:eastAsia="仿宋_GB2312"/>
                <w:color w:val="auto"/>
                <w:sz w:val="30"/>
                <w:szCs w:val="30"/>
              </w:rPr>
            </w:pPr>
          </w:p>
        </w:tc>
        <w:tc>
          <w:tcPr>
            <w:tcW w:w="2552" w:type="dxa"/>
            <w:vAlign w:val="center"/>
          </w:tcPr>
          <w:p w14:paraId="1907D2C0">
            <w:pPr>
              <w:jc w:val="center"/>
              <w:rPr>
                <w:rFonts w:ascii="仿宋_GB2312" w:hAnsi="仿宋" w:eastAsia="仿宋_GB2312"/>
                <w:color w:val="auto"/>
                <w:sz w:val="30"/>
                <w:szCs w:val="30"/>
              </w:rPr>
            </w:pPr>
          </w:p>
        </w:tc>
        <w:tc>
          <w:tcPr>
            <w:tcW w:w="1134" w:type="dxa"/>
            <w:vAlign w:val="center"/>
          </w:tcPr>
          <w:p w14:paraId="069BEB00">
            <w:pPr>
              <w:jc w:val="center"/>
              <w:rPr>
                <w:rFonts w:ascii="仿宋_GB2312" w:hAnsi="仿宋" w:eastAsia="仿宋_GB2312"/>
                <w:color w:val="auto"/>
                <w:sz w:val="30"/>
                <w:szCs w:val="30"/>
              </w:rPr>
            </w:pPr>
          </w:p>
        </w:tc>
        <w:tc>
          <w:tcPr>
            <w:tcW w:w="1417" w:type="dxa"/>
            <w:vAlign w:val="center"/>
          </w:tcPr>
          <w:p w14:paraId="317AA6FE">
            <w:pPr>
              <w:jc w:val="center"/>
              <w:rPr>
                <w:rFonts w:ascii="仿宋_GB2312" w:hAnsi="仿宋" w:eastAsia="仿宋_GB2312"/>
                <w:color w:val="auto"/>
                <w:sz w:val="30"/>
                <w:szCs w:val="30"/>
              </w:rPr>
            </w:pPr>
          </w:p>
        </w:tc>
        <w:tc>
          <w:tcPr>
            <w:tcW w:w="1276" w:type="dxa"/>
            <w:vAlign w:val="center"/>
          </w:tcPr>
          <w:p w14:paraId="41580740">
            <w:pPr>
              <w:jc w:val="center"/>
              <w:rPr>
                <w:rFonts w:ascii="仿宋_GB2312" w:hAnsi="仿宋" w:eastAsia="仿宋_GB2312"/>
                <w:color w:val="auto"/>
                <w:sz w:val="30"/>
                <w:szCs w:val="30"/>
              </w:rPr>
            </w:pPr>
          </w:p>
        </w:tc>
        <w:tc>
          <w:tcPr>
            <w:tcW w:w="1210" w:type="dxa"/>
            <w:vAlign w:val="center"/>
          </w:tcPr>
          <w:p w14:paraId="166BE2D3">
            <w:pPr>
              <w:jc w:val="center"/>
              <w:rPr>
                <w:rFonts w:ascii="仿宋_GB2312" w:hAnsi="仿宋" w:eastAsia="仿宋_GB2312"/>
                <w:color w:val="auto"/>
                <w:sz w:val="30"/>
                <w:szCs w:val="30"/>
              </w:rPr>
            </w:pPr>
          </w:p>
        </w:tc>
      </w:tr>
    </w:tbl>
    <w:p w14:paraId="58C72B2D">
      <w:pPr>
        <w:rPr>
          <w:rFonts w:ascii="仿宋_GB2312" w:hAnsi="仿宋" w:eastAsia="仿宋_GB2312"/>
          <w:color w:val="auto"/>
          <w:sz w:val="24"/>
        </w:rPr>
      </w:pPr>
      <w:r>
        <w:rPr>
          <w:rFonts w:hint="eastAsia" w:ascii="仿宋_GB2312" w:hAnsi="仿宋" w:eastAsia="仿宋_GB2312"/>
          <w:color w:val="auto"/>
          <w:sz w:val="24"/>
        </w:rPr>
        <w:t>备注：此表应认真填写，不得提供虚假业绩。</w:t>
      </w:r>
    </w:p>
    <w:p w14:paraId="5FAA2C6D">
      <w:pPr>
        <w:ind w:firstLine="720" w:firstLineChars="300"/>
        <w:rPr>
          <w:rFonts w:ascii="仿宋_GB2312" w:hAnsi="仿宋" w:eastAsia="仿宋_GB2312"/>
          <w:color w:val="auto"/>
          <w:sz w:val="24"/>
        </w:rPr>
      </w:pPr>
      <w:r>
        <w:rPr>
          <w:rFonts w:hint="eastAsia" w:ascii="仿宋_GB2312" w:hAnsi="仿宋" w:eastAsia="仿宋_GB2312"/>
          <w:color w:val="auto"/>
          <w:sz w:val="24"/>
        </w:rPr>
        <w:t>后附合同书的扫描件；</w:t>
      </w:r>
    </w:p>
    <w:p w14:paraId="0FE16B01">
      <w:pPr>
        <w:ind w:firstLine="720" w:firstLineChars="300"/>
        <w:rPr>
          <w:rFonts w:ascii="仿宋_GB2312" w:hAnsi="仿宋" w:eastAsia="仿宋_GB2312"/>
          <w:color w:val="auto"/>
          <w:sz w:val="24"/>
        </w:rPr>
      </w:pPr>
      <w:r>
        <w:rPr>
          <w:rFonts w:hint="eastAsia" w:ascii="仿宋_GB2312" w:hAnsi="仿宋" w:eastAsia="仿宋_GB2312"/>
          <w:color w:val="auto"/>
          <w:sz w:val="24"/>
        </w:rPr>
        <w:t>界定日期以合同签订时间为准。</w:t>
      </w:r>
    </w:p>
    <w:p w14:paraId="643E728B">
      <w:pPr>
        <w:ind w:firstLine="720" w:firstLineChars="300"/>
        <w:rPr>
          <w:rFonts w:ascii="仿宋_GB2312" w:hAnsi="仿宋" w:eastAsia="仿宋_GB2312"/>
          <w:color w:val="auto"/>
          <w:sz w:val="24"/>
        </w:rPr>
      </w:pPr>
    </w:p>
    <w:p w14:paraId="2E6008B4">
      <w:pPr>
        <w:wordWrap w:val="0"/>
        <w:jc w:val="right"/>
        <w:rPr>
          <w:rFonts w:ascii="仿宋_GB2312" w:hAnsi="仿宋" w:eastAsia="仿宋_GB2312"/>
          <w:color w:val="auto"/>
          <w:sz w:val="24"/>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2D39FD6">
      <w:pPr>
        <w:wordWrap w:val="0"/>
        <w:spacing w:line="56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0AF92419">
      <w:pPr>
        <w:jc w:val="center"/>
        <w:rPr>
          <w:rFonts w:ascii="仿宋_GB2312" w:hAnsi="仿宋" w:eastAsia="仿宋_GB2312"/>
          <w:color w:val="auto"/>
          <w:sz w:val="30"/>
          <w:szCs w:val="30"/>
        </w:rPr>
        <w:sectPr>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rPr>
        <w:sectPr>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rPr>
        <w:t>技术文件</w:t>
      </w:r>
    </w:p>
    <w:p w14:paraId="0A6D8149">
      <w:pPr>
        <w:jc w:val="center"/>
        <w:rPr>
          <w:rFonts w:ascii="黑体" w:hAnsi="黑体" w:eastAsia="黑体"/>
          <w:color w:val="auto"/>
          <w:sz w:val="44"/>
          <w:szCs w:val="44"/>
        </w:rPr>
      </w:pPr>
      <w:r>
        <w:rPr>
          <w:rFonts w:hint="eastAsia" w:ascii="黑体" w:hAnsi="黑体" w:eastAsia="黑体"/>
          <w:color w:val="auto"/>
          <w:sz w:val="44"/>
          <w:szCs w:val="44"/>
        </w:rPr>
        <w:t>需要采购人提供的配合</w:t>
      </w:r>
    </w:p>
    <w:p w14:paraId="38FCC553">
      <w:pPr>
        <w:rPr>
          <w:color w:val="auto"/>
        </w:rPr>
        <w:sectPr>
          <w:pgSz w:w="11906" w:h="16838"/>
          <w:pgMar w:top="1440" w:right="1080" w:bottom="1440" w:left="1080" w:header="851" w:footer="992" w:gutter="0"/>
          <w:pgNumType w:fmt="decimal"/>
          <w:cols w:space="425" w:num="1"/>
          <w:docGrid w:type="lines" w:linePitch="312" w:charSpace="0"/>
        </w:sectPr>
      </w:pPr>
    </w:p>
    <w:p w14:paraId="64A07ADE">
      <w:pPr>
        <w:pStyle w:val="30"/>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2DEA1B02">
      <w:pPr>
        <w:rPr>
          <w:color w:val="auto"/>
        </w:rPr>
      </w:pPr>
    </w:p>
    <w:p w14:paraId="722FA571">
      <w:pPr>
        <w:rPr>
          <w:color w:val="auto"/>
        </w:rPr>
        <w:sectPr>
          <w:headerReference r:id="rId21" w:type="first"/>
          <w:footerReference r:id="rId22" w:type="default"/>
          <w:headerReference r:id="rId20" w:type="even"/>
          <w:pgSz w:w="11906" w:h="16838"/>
          <w:pgMar w:top="1440" w:right="1077" w:bottom="1440" w:left="1077" w:header="851" w:footer="992" w:gutter="0"/>
          <w:pgNumType w:fmt="decimal"/>
          <w:cols w:space="425" w:num="1"/>
          <w:vAlign w:val="center"/>
          <w:docGrid w:type="lines" w:linePitch="312" w:charSpace="0"/>
        </w:sectPr>
      </w:pPr>
    </w:p>
    <w:p w14:paraId="7203DEF5">
      <w:pPr>
        <w:pStyle w:val="17"/>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WHJX-ZB-2026-055</w:t>
      </w:r>
    </w:p>
    <w:p w14:paraId="23F94F20">
      <w:pPr>
        <w:jc w:val="center"/>
        <w:rPr>
          <w:rFonts w:hint="eastAsia" w:ascii="宋体" w:hAnsi="宋体" w:eastAsia="宋体" w:cs="宋体"/>
          <w:b/>
          <w:color w:val="auto"/>
          <w:sz w:val="44"/>
          <w:szCs w:val="44"/>
          <w:highlight w:val="none"/>
        </w:rPr>
      </w:pPr>
    </w:p>
    <w:p w14:paraId="2D2A8BC0">
      <w:pPr>
        <w:pStyle w:val="4"/>
        <w:rPr>
          <w:rFonts w:hint="eastAsia" w:ascii="宋体" w:hAnsi="宋体" w:eastAsia="宋体" w:cs="宋体"/>
          <w:color w:val="auto"/>
        </w:rPr>
      </w:pPr>
    </w:p>
    <w:p w14:paraId="2AE79801">
      <w:pPr>
        <w:pStyle w:val="32"/>
        <w:ind w:firstLine="880"/>
        <w:rPr>
          <w:rFonts w:hint="eastAsia" w:ascii="宋体" w:hAnsi="宋体" w:eastAsia="宋体" w:cs="宋体"/>
          <w:color w:val="auto"/>
          <w:sz w:val="44"/>
          <w:szCs w:val="44"/>
          <w:highlight w:val="none"/>
        </w:rPr>
      </w:pPr>
    </w:p>
    <w:p w14:paraId="321767FD">
      <w:pPr>
        <w:pStyle w:val="32"/>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乳山市金岭矿业科技有限公司</w:t>
      </w:r>
      <w:r>
        <w:rPr>
          <w:rFonts w:hint="eastAsia" w:ascii="宋体" w:hAnsi="宋体" w:eastAsia="宋体" w:cs="宋体"/>
          <w:b/>
          <w:color w:val="auto"/>
          <w:sz w:val="44"/>
          <w:szCs w:val="44"/>
          <w:highlight w:val="none"/>
        </w:rPr>
        <w:t>采购</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乳山市白沙滩镇潘家、冯家镇卧龙饰面用花岗岩矿两矿区可行性研究报告、安全预评价及安全设施设计</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2"/>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乳山市金岭矿业科技有限公司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9"/>
        <w:ind w:firstLine="2728" w:firstLineChars="620"/>
        <w:rPr>
          <w:rFonts w:hint="eastAsia" w:ascii="宋体" w:hAnsi="宋体" w:eastAsia="宋体" w:cs="宋体"/>
          <w:color w:val="auto"/>
          <w:sz w:val="44"/>
          <w:szCs w:val="44"/>
          <w:highlight w:val="none"/>
        </w:rPr>
      </w:pPr>
    </w:p>
    <w:p w14:paraId="0967296C">
      <w:pPr>
        <w:pStyle w:val="19"/>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9"/>
        <w:spacing w:line="520" w:lineRule="exact"/>
        <w:ind w:left="105" w:firstLine="570"/>
        <w:rPr>
          <w:rFonts w:ascii="仿宋" w:hAnsi="仿宋" w:eastAsia="仿宋" w:cs="Times New Roman"/>
          <w:color w:val="auto"/>
          <w:sz w:val="30"/>
          <w:szCs w:val="30"/>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rPr>
        <w:t>本合同于 年 月 日由甲、乙双方共同签订。甲方为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、乙方为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 xml:space="preserve"> 　        二、标的：</w:t>
      </w:r>
    </w:p>
    <w:p w14:paraId="1D9C2419">
      <w:pPr>
        <w:widowControl w:val="0"/>
        <w:tabs>
          <w:tab w:val="left" w:pos="900"/>
        </w:tabs>
        <w:spacing w:line="520" w:lineRule="exact"/>
        <w:ind w:left="48" w:leftChars="23"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本合同标的：</w:t>
      </w:r>
      <w:r>
        <w:rPr>
          <w:rFonts w:hint="eastAsia" w:ascii="仿宋" w:hAnsi="仿宋" w:eastAsia="仿宋" w:cs="Times New Roman"/>
          <w:color w:val="auto"/>
          <w:kern w:val="0"/>
          <w:sz w:val="30"/>
          <w:szCs w:val="30"/>
          <w:lang w:eastAsia="zh-CN" w:bidi="ar-SA"/>
        </w:rPr>
        <w:t>安全预评价</w:t>
      </w:r>
      <w:r>
        <w:rPr>
          <w:rFonts w:hint="eastAsia" w:ascii="仿宋" w:hAnsi="仿宋" w:eastAsia="仿宋" w:cs="Times New Roman"/>
          <w:color w:val="auto"/>
          <w:kern w:val="0"/>
          <w:sz w:val="30"/>
          <w:szCs w:val="30"/>
          <w:lang w:val="en-US" w:eastAsia="zh-CN" w:bidi="ar-SA"/>
        </w:rPr>
        <w:t>。</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本合同总价款为人民币</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元整（</w:t>
      </w:r>
      <w:r>
        <w:rPr>
          <w:rFonts w:ascii="仿宋" w:hAnsi="Courier New"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lang w:val="en-US" w:eastAsia="zh-CN" w:bidi="ar-SA"/>
        </w:rPr>
      </w:pPr>
      <w:r>
        <w:rPr>
          <w:rFonts w:hint="eastAsia" w:ascii="仿宋" w:hAnsi="仿宋" w:eastAsia="仿宋" w:cs="Times New Roman"/>
          <w:b/>
          <w:bCs/>
          <w:color w:val="auto"/>
          <w:kern w:val="0"/>
          <w:sz w:val="30"/>
          <w:szCs w:val="30"/>
          <w:lang w:val="en-US" w:eastAsia="zh-CN" w:bidi="ar-SA"/>
        </w:rPr>
        <w:t>四、质量及专利权：</w:t>
      </w:r>
    </w:p>
    <w:p w14:paraId="2F210CE9">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１.乙方提供的标的物的技术参数必须符合该项目的采购文件的要求、乙方响应文件的承诺及乙方在评审过程中做出的澄清、说明或者补正内容。</w:t>
      </w:r>
    </w:p>
    <w:p w14:paraId="0F3E0B0B">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3.服务期：自合同签订之日起一年。</w:t>
      </w:r>
    </w:p>
    <w:p w14:paraId="4FE3D45A">
      <w:pPr>
        <w:spacing w:line="520" w:lineRule="exact"/>
        <w:ind w:left="561" w:leftChars="267" w:firstLine="148" w:firstLineChars="49"/>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五、实施地点及双方联系方式：</w:t>
      </w:r>
    </w:p>
    <w:p w14:paraId="0BD269F1">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实施地点：甲方指定地点。</w:t>
      </w:r>
    </w:p>
    <w:p w14:paraId="0130408F">
      <w:pPr>
        <w:spacing w:line="520" w:lineRule="exact"/>
        <w:ind w:firstLine="750" w:firstLineChars="250"/>
        <w:rPr>
          <w:rFonts w:hint="eastAsia" w:ascii="仿宋" w:hAnsi="仿宋" w:eastAsia="仿宋" w:cs="Times New Roman"/>
          <w:color w:val="auto"/>
          <w:sz w:val="30"/>
          <w:szCs w:val="30"/>
          <w:lang w:val="en-US" w:eastAsia="zh-CN"/>
        </w:rPr>
      </w:pPr>
      <w:r>
        <w:rPr>
          <w:rFonts w:hint="eastAsia" w:ascii="仿宋" w:hAnsi="仿宋" w:eastAsia="仿宋" w:cs="Times New Roman"/>
          <w:color w:val="auto"/>
          <w:sz w:val="30"/>
          <w:szCs w:val="30"/>
        </w:rPr>
        <w:t>甲方联系人：</w:t>
      </w:r>
      <w:r>
        <w:rPr>
          <w:rFonts w:hint="eastAsia" w:ascii="仿宋" w:hAnsi="仿宋" w:eastAsia="仿宋" w:cs="Times New Roman"/>
          <w:color w:val="auto"/>
          <w:sz w:val="30"/>
          <w:szCs w:val="30"/>
          <w:lang w:val="en-US" w:eastAsia="zh-CN"/>
        </w:rPr>
        <w:t xml:space="preserve">王工      </w:t>
      </w:r>
      <w:r>
        <w:rPr>
          <w:rFonts w:hint="eastAsia" w:ascii="仿宋" w:hAnsi="仿宋" w:eastAsia="仿宋" w:cs="Times New Roman"/>
          <w:color w:val="auto"/>
          <w:sz w:val="30"/>
          <w:szCs w:val="30"/>
        </w:rPr>
        <w:t>联系电话：</w:t>
      </w:r>
      <w:r>
        <w:rPr>
          <w:rFonts w:hint="eastAsia" w:ascii="仿宋" w:hAnsi="仿宋" w:eastAsia="仿宋" w:cs="Times New Roman"/>
          <w:color w:val="auto"/>
          <w:sz w:val="30"/>
          <w:szCs w:val="30"/>
          <w:lang w:val="en-US" w:eastAsia="zh-CN"/>
        </w:rPr>
        <w:t>0631-6650885</w:t>
      </w:r>
    </w:p>
    <w:p w14:paraId="58DEE29E">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乙方联系人：</w:t>
      </w:r>
      <w:r>
        <w:rPr>
          <w:rFonts w:hint="eastAsia" w:ascii="仿宋" w:hAnsi="仿宋" w:eastAsia="仿宋" w:cs="Times New Roman"/>
          <w:color w:val="auto"/>
          <w:sz w:val="30"/>
          <w:szCs w:val="30"/>
          <w:lang w:val="en-US" w:eastAsia="zh-CN"/>
        </w:rPr>
        <w:t xml:space="preserve">          </w:t>
      </w:r>
      <w:r>
        <w:rPr>
          <w:rFonts w:hint="eastAsia" w:ascii="仿宋" w:hAnsi="仿宋" w:eastAsia="仿宋" w:cs="Times New Roman"/>
          <w:color w:val="auto"/>
          <w:sz w:val="30"/>
          <w:szCs w:val="30"/>
        </w:rPr>
        <w:t>联系电话：</w:t>
      </w:r>
    </w:p>
    <w:p w14:paraId="23A30B74">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六、服务期限</w:t>
      </w:r>
    </w:p>
    <w:p w14:paraId="2E36BD12">
      <w:pPr>
        <w:spacing w:line="520" w:lineRule="exact"/>
        <w:ind w:firstLine="708" w:firstLineChars="236"/>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lang w:eastAsia="zh-CN"/>
        </w:rPr>
        <w:t>自合同签订之日起一年</w:t>
      </w:r>
    </w:p>
    <w:p w14:paraId="306567A1">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七、双方的权利与义务：</w:t>
      </w:r>
    </w:p>
    <w:p w14:paraId="21A02F1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（一）甲方的权利与义务：</w:t>
      </w:r>
    </w:p>
    <w:p w14:paraId="00E7873F">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（二）乙方的权利与义务：</w:t>
      </w:r>
    </w:p>
    <w:p w14:paraId="2A6981D6">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2、服务时间内乙方应接受甲方的监督检查，对甲方提出的意见应当及时进行整改。</w:t>
      </w:r>
    </w:p>
    <w:p w14:paraId="3593C96C">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八、验收：</w:t>
      </w:r>
    </w:p>
    <w:p w14:paraId="39884995">
      <w:pPr>
        <w:widowControl w:val="0"/>
        <w:tabs>
          <w:tab w:val="left" w:pos="720"/>
          <w:tab w:val="left" w:pos="1080"/>
        </w:tabs>
        <w:spacing w:line="520" w:lineRule="exact"/>
        <w:ind w:left="50" w:firstLine="561"/>
        <w:jc w:val="both"/>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1、乙方提供的服务标的物必须符合国家、省、市有关部门的相关规定，且满足本项目相关需求。</w:t>
      </w:r>
    </w:p>
    <w:p w14:paraId="2CB30E9D">
      <w:pPr>
        <w:widowControl w:val="0"/>
        <w:tabs>
          <w:tab w:val="left" w:pos="720"/>
          <w:tab w:val="left" w:pos="1080"/>
        </w:tabs>
        <w:spacing w:line="520" w:lineRule="exact"/>
        <w:ind w:left="50" w:firstLine="561"/>
        <w:jc w:val="both"/>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九、付款：</w:t>
      </w:r>
    </w:p>
    <w:p w14:paraId="7D27A452">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（1）本合同以人民币付款。</w:t>
      </w:r>
    </w:p>
    <w:p w14:paraId="1C272003">
      <w:pPr>
        <w:spacing w:line="520" w:lineRule="exact"/>
        <w:ind w:firstLine="600" w:firstLineChars="200"/>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rPr>
        <w:t>（2）付款方式：</w:t>
      </w:r>
      <w:r>
        <w:rPr>
          <w:rFonts w:hint="eastAsia" w:ascii="仿宋" w:hAnsi="仿宋" w:eastAsia="仿宋" w:cs="Times New Roman"/>
          <w:color w:val="auto"/>
          <w:sz w:val="30"/>
          <w:szCs w:val="30"/>
          <w:lang w:eastAsia="zh-CN"/>
        </w:rPr>
        <w:t>所有工作完成并提交成果文件，待基建批复下达后，支付合同总价款的50%；剩余款项，待安全生产许可证取得后支付。</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开户银行：</w:t>
      </w:r>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十、服务承诺：</w:t>
      </w:r>
    </w:p>
    <w:p w14:paraId="4480C33B">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十</w:t>
      </w:r>
      <w:r>
        <w:rPr>
          <w:rFonts w:hint="eastAsia" w:ascii="仿宋" w:hAnsi="仿宋" w:eastAsia="仿宋" w:cs="Times New Roman"/>
          <w:b/>
          <w:color w:val="auto"/>
          <w:sz w:val="30"/>
          <w:szCs w:val="30"/>
          <w:lang w:val="en-US" w:eastAsia="zh-CN"/>
        </w:rPr>
        <w:t>一</w:t>
      </w:r>
      <w:r>
        <w:rPr>
          <w:rFonts w:hint="eastAsia" w:ascii="仿宋" w:hAnsi="仿宋" w:eastAsia="仿宋" w:cs="Times New Roman"/>
          <w:b/>
          <w:color w:val="auto"/>
          <w:sz w:val="30"/>
          <w:szCs w:val="30"/>
        </w:rPr>
        <w:t>、变更、修改及转让：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二</w:t>
      </w:r>
      <w:r>
        <w:rPr>
          <w:rFonts w:hint="eastAsia" w:ascii="仿宋" w:hAnsi="仿宋" w:eastAsia="仿宋" w:cs="Times New Roman"/>
          <w:b/>
          <w:bCs/>
          <w:color w:val="auto"/>
          <w:sz w:val="30"/>
          <w:szCs w:val="30"/>
        </w:rPr>
        <w:t>、合同解除：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三</w:t>
      </w:r>
      <w:r>
        <w:rPr>
          <w:rFonts w:hint="eastAsia" w:ascii="仿宋" w:hAnsi="仿宋" w:eastAsia="仿宋" w:cs="Times New Roman"/>
          <w:b/>
          <w:bCs/>
          <w:color w:val="auto"/>
          <w:sz w:val="30"/>
          <w:szCs w:val="30"/>
        </w:rPr>
        <w:t>、违约赔偿：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四</w:t>
      </w:r>
      <w:r>
        <w:rPr>
          <w:rFonts w:hint="eastAsia" w:ascii="仿宋" w:hAnsi="仿宋" w:eastAsia="仿宋" w:cs="Times New Roman"/>
          <w:b/>
          <w:bCs/>
          <w:color w:val="auto"/>
          <w:sz w:val="30"/>
          <w:szCs w:val="30"/>
        </w:rPr>
        <w:t>、争议解决：</w:t>
      </w:r>
    </w:p>
    <w:p w14:paraId="57B8C384">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五</w:t>
      </w:r>
      <w:r>
        <w:rPr>
          <w:rFonts w:hint="eastAsia" w:ascii="仿宋" w:hAnsi="仿宋" w:eastAsia="仿宋" w:cs="Times New Roman"/>
          <w:b/>
          <w:bCs/>
          <w:color w:val="auto"/>
          <w:sz w:val="30"/>
          <w:szCs w:val="30"/>
        </w:rPr>
        <w:t>、合同生效：</w:t>
      </w:r>
    </w:p>
    <w:p w14:paraId="57F7DCD0">
      <w:pPr>
        <w:spacing w:line="520" w:lineRule="exact"/>
        <w:ind w:firstLine="600" w:firstLineChars="200"/>
        <w:rPr>
          <w:rFonts w:hint="eastAsia" w:ascii="仿宋" w:hAnsi="仿宋" w:eastAsia="仿宋" w:cs="Times New Roman"/>
          <w:color w:val="auto"/>
          <w:sz w:val="30"/>
          <w:szCs w:val="30"/>
          <w:shd w:val="pct10" w:color="auto" w:fill="FFFFFF"/>
        </w:rPr>
      </w:pPr>
      <w:r>
        <w:rPr>
          <w:rFonts w:hint="eastAsia" w:ascii="仿宋" w:hAnsi="仿宋" w:eastAsia="仿宋" w:cs="Times New Roman"/>
          <w:color w:val="auto"/>
          <w:sz w:val="30"/>
          <w:szCs w:val="30"/>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shd w:val="pct10" w:color="auto" w:fill="FFFFFF"/>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六</w:t>
      </w:r>
      <w:r>
        <w:rPr>
          <w:rFonts w:hint="eastAsia" w:ascii="仿宋" w:hAnsi="仿宋" w:eastAsia="仿宋" w:cs="Times New Roman"/>
          <w:b/>
          <w:bCs/>
          <w:color w:val="auto"/>
          <w:sz w:val="30"/>
          <w:szCs w:val="30"/>
        </w:rPr>
        <w:t>、签约地点：</w:t>
      </w:r>
      <w:r>
        <w:rPr>
          <w:rFonts w:hint="eastAsia" w:ascii="仿宋" w:hAnsi="仿宋" w:eastAsia="仿宋" w:cs="Times New Roman"/>
          <w:color w:val="auto"/>
          <w:sz w:val="30"/>
          <w:szCs w:val="30"/>
        </w:rPr>
        <w:t>山东省乳山市。</w:t>
      </w:r>
    </w:p>
    <w:p w14:paraId="06DF8EF5">
      <w:pPr>
        <w:spacing w:line="520" w:lineRule="exact"/>
        <w:ind w:firstLine="600" w:firstLineChars="200"/>
        <w:rPr>
          <w:rFonts w:hint="eastAsia" w:ascii="仿宋" w:hAnsi="仿宋" w:eastAsia="仿宋" w:cs="Times New Roman"/>
          <w:color w:val="auto"/>
          <w:sz w:val="30"/>
          <w:szCs w:val="30"/>
        </w:rPr>
      </w:pPr>
    </w:p>
    <w:p w14:paraId="29C31959">
      <w:pPr>
        <w:spacing w:line="520" w:lineRule="exact"/>
        <w:ind w:firstLine="600" w:firstLineChars="200"/>
        <w:rPr>
          <w:rFonts w:hint="eastAsia" w:ascii="仿宋" w:hAnsi="仿宋" w:eastAsia="仿宋" w:cs="Times New Roman"/>
          <w:color w:val="auto"/>
          <w:sz w:val="30"/>
          <w:szCs w:val="30"/>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甲    方:</w:t>
      </w:r>
      <w:r>
        <w:rPr>
          <w:rFonts w:hint="eastAsia" w:ascii="仿宋" w:hAnsi="仿宋" w:eastAsia="仿宋" w:cs="Times New Roman"/>
          <w:color w:val="auto"/>
          <w:kern w:val="0"/>
          <w:sz w:val="30"/>
          <w:szCs w:val="30"/>
          <w:lang w:eastAsia="zh-CN" w:bidi="ar-SA"/>
        </w:rPr>
        <w:t>乳山市金岭矿业科技有限公司</w:t>
      </w:r>
      <w:r>
        <w:rPr>
          <w:rFonts w:hint="eastAsia" w:ascii="仿宋" w:hAnsi="仿宋" w:eastAsia="仿宋" w:cs="Times New Roman"/>
          <w:color w:val="auto"/>
          <w:kern w:val="0"/>
          <w:sz w:val="30"/>
          <w:szCs w:val="30"/>
          <w:lang w:val="en-US" w:eastAsia="zh-CN" w:bidi="ar-SA"/>
        </w:rPr>
        <w:t xml:space="preserve">   乙 　 方:   </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lang w:val="en-US" w:eastAsia="zh-CN" w:bidi="ar-SA"/>
        </w:rPr>
      </w:pPr>
    </w:p>
    <w:p w14:paraId="28A7A85E">
      <w:pPr>
        <w:widowControl w:val="0"/>
        <w:tabs>
          <w:tab w:val="left" w:pos="900"/>
        </w:tabs>
        <w:spacing w:line="520" w:lineRule="exact"/>
        <w:ind w:left="46" w:leftChars="22" w:firstLine="600" w:firstLineChars="200"/>
        <w:jc w:val="both"/>
        <w:rPr>
          <w:rFonts w:hint="eastAsia" w:ascii="仿宋_GB2312" w:hAnsi="Courier New" w:eastAsia="仿宋_GB2312"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注：本合同条款仅供参考，成交后需根据情况另行修改</w:t>
      </w:r>
      <w:r>
        <w:rPr>
          <w:rFonts w:hint="eastAsia" w:ascii="仿宋_GB2312" w:hAnsi="宋体" w:eastAsia="仿宋_GB2312" w:cs="Times New Roman"/>
          <w:color w:val="auto"/>
          <w:kern w:val="0"/>
          <w:sz w:val="30"/>
          <w:szCs w:val="30"/>
          <w:lang w:val="en-US" w:eastAsia="zh-CN" w:bidi="ar-SA"/>
        </w:rPr>
        <w:t>。</w:t>
      </w:r>
    </w:p>
    <w:p w14:paraId="063C42EB">
      <w:pPr>
        <w:widowControl w:val="0"/>
        <w:spacing w:line="560" w:lineRule="exact"/>
        <w:ind w:left="105" w:firstLine="560" w:firstLineChars="200"/>
        <w:jc w:val="both"/>
        <w:rPr>
          <w:rFonts w:hint="eastAsia" w:ascii="仿宋" w:hAnsi="仿宋" w:eastAsia="仿宋" w:cs="仿宋"/>
          <w:color w:val="auto"/>
          <w:kern w:val="0"/>
          <w:sz w:val="28"/>
          <w:szCs w:val="28"/>
          <w:lang w:val="en-US" w:eastAsia="zh-CN" w:bidi="ar-SA"/>
        </w:rPr>
      </w:pPr>
    </w:p>
    <w:p w14:paraId="16C2160C">
      <w:pPr>
        <w:spacing w:line="360" w:lineRule="auto"/>
        <w:jc w:val="left"/>
        <w:rPr>
          <w:rFonts w:ascii="仿宋_GB2312" w:eastAsia="仿宋_GB2312"/>
          <w:color w:val="auto"/>
        </w:rPr>
      </w:pPr>
    </w:p>
    <w:sectPr>
      <w:headerReference r:id="rId23" w:type="default"/>
      <w:footerReference r:id="rId24"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B20CE41-E6ED-4FB4-8B08-B2515B346B77}"/>
  </w:font>
  <w:font w:name="黑体">
    <w:panose1 w:val="02010609060101010101"/>
    <w:charset w:val="86"/>
    <w:family w:val="auto"/>
    <w:pitch w:val="default"/>
    <w:sig w:usb0="800002BF" w:usb1="38CF7CFA" w:usb2="00000016" w:usb3="00000000" w:csb0="00040001" w:csb1="00000000"/>
    <w:embedRegular r:id="rId2" w:fontKey="{A8EB4913-6E21-45F2-8AC7-171C5D2568FE}"/>
  </w:font>
  <w:font w:name="Courier New">
    <w:panose1 w:val="02070309020205020404"/>
    <w:charset w:val="01"/>
    <w:family w:val="modern"/>
    <w:pitch w:val="default"/>
    <w:sig w:usb0="E0002EFF" w:usb1="C0007843" w:usb2="00000009" w:usb3="00000000" w:csb0="400001FF" w:csb1="FFFF0000"/>
    <w:embedRegular r:id="rId3" w:fontKey="{30C5A09F-C8AA-49C1-9EC6-ED915A8B5616}"/>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EFD58874-61CD-4794-ACC7-BECC9BC1674D}"/>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2E608978-DF04-4B48-B8C9-97848EA4A763}"/>
  </w:font>
  <w:font w:name="方正小标宋简体">
    <w:panose1 w:val="02000000000000000000"/>
    <w:charset w:val="86"/>
    <w:family w:val="script"/>
    <w:pitch w:val="default"/>
    <w:sig w:usb0="00000001" w:usb1="08000000" w:usb2="00000000" w:usb3="00000000" w:csb0="00040000" w:csb1="00000000"/>
    <w:embedRegular r:id="rId6" w:fontKey="{FE613966-179C-41EC-BCC3-D4E85982A5AC}"/>
  </w:font>
  <w:font w:name="仿宋_GB2312">
    <w:panose1 w:val="02010609030101010101"/>
    <w:charset w:val="86"/>
    <w:family w:val="modern"/>
    <w:pitch w:val="default"/>
    <w:sig w:usb0="00000001" w:usb1="080E0000" w:usb2="00000000" w:usb3="00000000" w:csb0="00040000" w:csb1="00000000"/>
    <w:embedRegular r:id="rId7" w:fontKey="{081216B6-8369-4ACD-AF71-37A0DD09F018}"/>
  </w:font>
  <w:font w:name="仿宋">
    <w:panose1 w:val="02010609060101010101"/>
    <w:charset w:val="86"/>
    <w:family w:val="auto"/>
    <w:pitch w:val="default"/>
    <w:sig w:usb0="800002BF" w:usb1="38CF7CFA" w:usb2="00000016" w:usb3="00000000" w:csb0="00040001" w:csb1="00000000"/>
    <w:embedRegular r:id="rId8" w:fontKey="{BEE9180A-D5D8-4414-9900-E405B888AC6E}"/>
  </w:font>
  <w:font w:name="方正楷体简体">
    <w:panose1 w:val="02000000000000000000"/>
    <w:charset w:val="86"/>
    <w:family w:val="auto"/>
    <w:pitch w:val="default"/>
    <w:sig w:usb0="A00002BF" w:usb1="184F6CFA" w:usb2="00000012" w:usb3="00000000" w:csb0="00040001" w:csb1="00000000"/>
    <w:embedRegular r:id="rId9" w:fontKey="{A390233B-A2C5-4D12-9709-1CC703DD4321}"/>
  </w:font>
  <w:font w:name="楷体_GB2312">
    <w:altName w:val="楷体"/>
    <w:panose1 w:val="02010609030101010101"/>
    <w:charset w:val="86"/>
    <w:family w:val="modern"/>
    <w:pitch w:val="default"/>
    <w:sig w:usb0="00000000" w:usb1="00000000" w:usb2="00000000" w:usb3="00000000" w:csb0="00040000" w:csb1="00000000"/>
    <w:embedRegular r:id="rId10" w:fontKey="{155FAE35-39AF-4F96-A286-1790CF9545FC}"/>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WPSEMBED3">
    <w:panose1 w:val="02000000000000000000"/>
    <w:charset w:val="86"/>
    <w:family w:val="auto"/>
    <w:pitch w:val="default"/>
    <w:sig w:usb0="A00002BF" w:usb1="184F6CFA" w:usb2="00000012" w:usb3="00000000" w:csb0="00040001" w:csb1="00000000"/>
  </w:font>
  <w:font w:name="Microsoft YaHei U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6"/>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1"/>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1"/>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1"/>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1"/>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1"/>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1"/>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1"/>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1"/>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1"/>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1"/>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1"/>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1"/>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1"/>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1"/>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2"/>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E7AAFA"/>
    <w:multiLevelType w:val="singleLevel"/>
    <w:tmpl w:val="8AE7AAFA"/>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825039"/>
    <w:rsid w:val="028B18FB"/>
    <w:rsid w:val="03EE3926"/>
    <w:rsid w:val="05D2339D"/>
    <w:rsid w:val="06CE78BD"/>
    <w:rsid w:val="06DD2070"/>
    <w:rsid w:val="07490327"/>
    <w:rsid w:val="07780E34"/>
    <w:rsid w:val="078B6320"/>
    <w:rsid w:val="08137BB3"/>
    <w:rsid w:val="08323488"/>
    <w:rsid w:val="08692325"/>
    <w:rsid w:val="091D3320"/>
    <w:rsid w:val="09327424"/>
    <w:rsid w:val="0B664479"/>
    <w:rsid w:val="0BC20266"/>
    <w:rsid w:val="0BC5281F"/>
    <w:rsid w:val="0BDF3774"/>
    <w:rsid w:val="0C36657C"/>
    <w:rsid w:val="0D3D218F"/>
    <w:rsid w:val="0D46410F"/>
    <w:rsid w:val="0E512889"/>
    <w:rsid w:val="10A278CC"/>
    <w:rsid w:val="1157279B"/>
    <w:rsid w:val="11A72AD3"/>
    <w:rsid w:val="12384D02"/>
    <w:rsid w:val="135E44C2"/>
    <w:rsid w:val="13AF519D"/>
    <w:rsid w:val="13BA5B9C"/>
    <w:rsid w:val="13D43993"/>
    <w:rsid w:val="13D51620"/>
    <w:rsid w:val="14CE20B2"/>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C6CD1"/>
    <w:rsid w:val="1EE261C9"/>
    <w:rsid w:val="1F0D396C"/>
    <w:rsid w:val="1F3D1239"/>
    <w:rsid w:val="1F5A3A62"/>
    <w:rsid w:val="1FB0010B"/>
    <w:rsid w:val="20392F7C"/>
    <w:rsid w:val="21A60897"/>
    <w:rsid w:val="21D669B8"/>
    <w:rsid w:val="236F22BB"/>
    <w:rsid w:val="23D305B4"/>
    <w:rsid w:val="245C0238"/>
    <w:rsid w:val="250550E5"/>
    <w:rsid w:val="25220111"/>
    <w:rsid w:val="259E376E"/>
    <w:rsid w:val="26054D70"/>
    <w:rsid w:val="263F63D5"/>
    <w:rsid w:val="26D413CE"/>
    <w:rsid w:val="26FA03BD"/>
    <w:rsid w:val="27215B63"/>
    <w:rsid w:val="27635321"/>
    <w:rsid w:val="27DE4C86"/>
    <w:rsid w:val="27FC54F8"/>
    <w:rsid w:val="286A22CA"/>
    <w:rsid w:val="2892109B"/>
    <w:rsid w:val="29BE7895"/>
    <w:rsid w:val="29F80462"/>
    <w:rsid w:val="2A1C76E4"/>
    <w:rsid w:val="2BBB485D"/>
    <w:rsid w:val="2BC966A0"/>
    <w:rsid w:val="2C8F3E83"/>
    <w:rsid w:val="2C9F0A22"/>
    <w:rsid w:val="2D5241CE"/>
    <w:rsid w:val="2DFA155F"/>
    <w:rsid w:val="2F436BD5"/>
    <w:rsid w:val="2F50024D"/>
    <w:rsid w:val="2FE62C93"/>
    <w:rsid w:val="317F19C3"/>
    <w:rsid w:val="318B0F15"/>
    <w:rsid w:val="347209EC"/>
    <w:rsid w:val="350D5889"/>
    <w:rsid w:val="356F47B8"/>
    <w:rsid w:val="364822B7"/>
    <w:rsid w:val="36557C1C"/>
    <w:rsid w:val="36BB7D2A"/>
    <w:rsid w:val="36C93C0A"/>
    <w:rsid w:val="3830341F"/>
    <w:rsid w:val="39812B34"/>
    <w:rsid w:val="39894B48"/>
    <w:rsid w:val="3A650191"/>
    <w:rsid w:val="3A6E5A73"/>
    <w:rsid w:val="3ABC3FCA"/>
    <w:rsid w:val="3B5C212D"/>
    <w:rsid w:val="3B636B71"/>
    <w:rsid w:val="3B9052B1"/>
    <w:rsid w:val="3D235CB1"/>
    <w:rsid w:val="3E8C0EA9"/>
    <w:rsid w:val="3F0510C2"/>
    <w:rsid w:val="3FF81676"/>
    <w:rsid w:val="405008EF"/>
    <w:rsid w:val="4095739B"/>
    <w:rsid w:val="40E71A9D"/>
    <w:rsid w:val="41090464"/>
    <w:rsid w:val="41330FFD"/>
    <w:rsid w:val="41DB2FFE"/>
    <w:rsid w:val="41FA23F0"/>
    <w:rsid w:val="4206662A"/>
    <w:rsid w:val="42D739B6"/>
    <w:rsid w:val="43490985"/>
    <w:rsid w:val="43AF6CB4"/>
    <w:rsid w:val="440B6D71"/>
    <w:rsid w:val="442D54A6"/>
    <w:rsid w:val="445343B4"/>
    <w:rsid w:val="447E4FEB"/>
    <w:rsid w:val="44817E8C"/>
    <w:rsid w:val="457636DF"/>
    <w:rsid w:val="4602216A"/>
    <w:rsid w:val="46802E90"/>
    <w:rsid w:val="46F624F2"/>
    <w:rsid w:val="47EB1D31"/>
    <w:rsid w:val="47EE26A0"/>
    <w:rsid w:val="48AE0841"/>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0F360E5"/>
    <w:rsid w:val="511E4CB5"/>
    <w:rsid w:val="513A6618"/>
    <w:rsid w:val="516E5BD0"/>
    <w:rsid w:val="522E49E0"/>
    <w:rsid w:val="52BF6BFC"/>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C0C0C94"/>
    <w:rsid w:val="5DD230AF"/>
    <w:rsid w:val="5EE96902"/>
    <w:rsid w:val="606440F9"/>
    <w:rsid w:val="60C27188"/>
    <w:rsid w:val="6161146B"/>
    <w:rsid w:val="629152E7"/>
    <w:rsid w:val="62950184"/>
    <w:rsid w:val="62F31BF5"/>
    <w:rsid w:val="63415946"/>
    <w:rsid w:val="63D538F9"/>
    <w:rsid w:val="648D1389"/>
    <w:rsid w:val="64BD4C50"/>
    <w:rsid w:val="64CC575F"/>
    <w:rsid w:val="66D620DD"/>
    <w:rsid w:val="6706090A"/>
    <w:rsid w:val="67544B35"/>
    <w:rsid w:val="68076C62"/>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8B3A66"/>
    <w:rsid w:val="73EA41CD"/>
    <w:rsid w:val="74715F31"/>
    <w:rsid w:val="74850A24"/>
    <w:rsid w:val="74C330D6"/>
    <w:rsid w:val="76AB0714"/>
    <w:rsid w:val="7749397A"/>
    <w:rsid w:val="78BA1B37"/>
    <w:rsid w:val="790E68AB"/>
    <w:rsid w:val="7A596109"/>
    <w:rsid w:val="7AA03D90"/>
    <w:rsid w:val="7ADA1F33"/>
    <w:rsid w:val="7B4613FB"/>
    <w:rsid w:val="7BD30BB1"/>
    <w:rsid w:val="7BEE3731"/>
    <w:rsid w:val="7C7509D3"/>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1"/>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2"/>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3"/>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4"/>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5"/>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6"/>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7"/>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8"/>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9"/>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link w:val="6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56"/>
    <w:qFormat/>
    <w:uiPriority w:val="0"/>
    <w:rPr>
      <w:rFonts w:ascii="宋体"/>
      <w:sz w:val="18"/>
      <w:szCs w:val="18"/>
    </w:rPr>
  </w:style>
  <w:style w:type="paragraph" w:styleId="15">
    <w:name w:val="annotation text"/>
    <w:basedOn w:val="1"/>
    <w:link w:val="54"/>
    <w:qFormat/>
    <w:uiPriority w:val="0"/>
    <w:pPr>
      <w:jc w:val="left"/>
    </w:pPr>
    <w:rPr>
      <w:kern w:val="0"/>
      <w:sz w:val="28"/>
      <w:szCs w:val="28"/>
    </w:rPr>
  </w:style>
  <w:style w:type="paragraph" w:styleId="16">
    <w:name w:val="Body Text"/>
    <w:basedOn w:val="1"/>
    <w:next w:val="1"/>
    <w:link w:val="57"/>
    <w:qFormat/>
    <w:uiPriority w:val="0"/>
    <w:pPr>
      <w:spacing w:line="420" w:lineRule="auto"/>
    </w:pPr>
    <w:rPr>
      <w:kern w:val="0"/>
      <w:sz w:val="24"/>
      <w:szCs w:val="24"/>
    </w:rPr>
  </w:style>
  <w:style w:type="paragraph" w:styleId="17">
    <w:name w:val="Body Text Indent"/>
    <w:basedOn w:val="1"/>
    <w:link w:val="58"/>
    <w:qFormat/>
    <w:uiPriority w:val="99"/>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9"/>
    <w:qFormat/>
    <w:uiPriority w:val="0"/>
    <w:rPr>
      <w:rFonts w:ascii="宋体" w:hAnsi="Courier New"/>
      <w:kern w:val="0"/>
      <w:szCs w:val="21"/>
    </w:rPr>
  </w:style>
  <w:style w:type="paragraph" w:styleId="20">
    <w:name w:val="Balloon Text"/>
    <w:basedOn w:val="1"/>
    <w:link w:val="60"/>
    <w:qFormat/>
    <w:uiPriority w:val="0"/>
    <w:rPr>
      <w:kern w:val="0"/>
      <w:sz w:val="18"/>
      <w:szCs w:val="18"/>
    </w:rPr>
  </w:style>
  <w:style w:type="paragraph" w:styleId="21">
    <w:name w:val="footer"/>
    <w:basedOn w:val="1"/>
    <w:link w:val="52"/>
    <w:qFormat/>
    <w:uiPriority w:val="99"/>
    <w:pPr>
      <w:tabs>
        <w:tab w:val="center" w:pos="4153"/>
        <w:tab w:val="right" w:pos="8306"/>
      </w:tabs>
      <w:snapToGrid w:val="0"/>
      <w:jc w:val="left"/>
    </w:pPr>
    <w:rPr>
      <w:kern w:val="0"/>
      <w:sz w:val="18"/>
      <w:szCs w:val="18"/>
    </w:rPr>
  </w:style>
  <w:style w:type="paragraph" w:styleId="22">
    <w:name w:val="header"/>
    <w:basedOn w:val="1"/>
    <w:link w:val="50"/>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next w:val="25"/>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index 1"/>
    <w:basedOn w:val="1"/>
    <w:next w:val="1"/>
    <w:qFormat/>
    <w:uiPriority w:val="0"/>
  </w:style>
  <w:style w:type="paragraph" w:styleId="26">
    <w:name w:val="Body Text Indent 3"/>
    <w:basedOn w:val="1"/>
    <w:link w:val="61"/>
    <w:qFormat/>
    <w:uiPriority w:val="0"/>
    <w:pPr>
      <w:spacing w:after="120"/>
      <w:ind w:left="420" w:leftChars="200"/>
    </w:pPr>
    <w:rPr>
      <w:kern w:val="0"/>
      <w:sz w:val="16"/>
      <w:szCs w:val="16"/>
    </w:rPr>
  </w:style>
  <w:style w:type="paragraph" w:styleId="27">
    <w:name w:val="Body Text 2"/>
    <w:basedOn w:val="1"/>
    <w:link w:val="62"/>
    <w:qFormat/>
    <w:uiPriority w:val="0"/>
    <w:pPr>
      <w:spacing w:after="120" w:line="480" w:lineRule="auto"/>
    </w:pPr>
    <w:rPr>
      <w:kern w:val="0"/>
      <w:sz w:val="24"/>
      <w:szCs w:val="24"/>
    </w:rPr>
  </w:style>
  <w:style w:type="paragraph" w:styleId="28">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9">
    <w:name w:val="Normal (Web)"/>
    <w:basedOn w:val="1"/>
    <w:qFormat/>
    <w:uiPriority w:val="0"/>
    <w:rPr>
      <w:sz w:val="24"/>
      <w:szCs w:val="24"/>
    </w:rPr>
  </w:style>
  <w:style w:type="paragraph" w:styleId="30">
    <w:name w:val="Title"/>
    <w:basedOn w:val="1"/>
    <w:next w:val="1"/>
    <w:link w:val="51"/>
    <w:qFormat/>
    <w:uiPriority w:val="0"/>
    <w:pPr>
      <w:spacing w:before="240" w:after="60"/>
      <w:jc w:val="center"/>
      <w:outlineLvl w:val="0"/>
    </w:pPr>
    <w:rPr>
      <w:rFonts w:ascii="Cambria" w:hAnsi="Cambria"/>
      <w:b/>
      <w:bCs/>
      <w:kern w:val="0"/>
      <w:sz w:val="32"/>
      <w:szCs w:val="32"/>
    </w:rPr>
  </w:style>
  <w:style w:type="paragraph" w:styleId="31">
    <w:name w:val="Body Text First Indent"/>
    <w:basedOn w:val="16"/>
    <w:next w:val="1"/>
    <w:qFormat/>
    <w:uiPriority w:val="0"/>
    <w:pPr>
      <w:tabs>
        <w:tab w:val="left" w:pos="420"/>
      </w:tabs>
      <w:spacing w:after="120" w:line="240" w:lineRule="auto"/>
      <w:ind w:firstLine="420" w:firstLineChars="100"/>
    </w:pPr>
  </w:style>
  <w:style w:type="paragraph" w:styleId="32">
    <w:name w:val="Body Text First Indent 2"/>
    <w:basedOn w:val="17"/>
    <w:link w:val="120"/>
    <w:semiHidden/>
    <w:unhideWhenUsed/>
    <w:qFormat/>
    <w:uiPriority w:val="99"/>
    <w:pPr>
      <w:spacing w:after="120"/>
      <w:ind w:left="420" w:leftChars="200" w:firstLine="420" w:firstLineChars="200"/>
    </w:pPr>
    <w:rPr>
      <w:kern w:val="2"/>
      <w:sz w:val="21"/>
      <w:szCs w:val="22"/>
    </w:rPr>
  </w:style>
  <w:style w:type="table" w:styleId="34">
    <w:name w:val="Table Grid"/>
    <w:basedOn w:val="33"/>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Strong"/>
    <w:qFormat/>
    <w:uiPriority w:val="0"/>
    <w:rPr>
      <w:b/>
      <w:bCs/>
    </w:rPr>
  </w:style>
  <w:style w:type="character" w:styleId="37">
    <w:name w:val="page number"/>
    <w:qFormat/>
    <w:uiPriority w:val="0"/>
  </w:style>
  <w:style w:type="character" w:styleId="38">
    <w:name w:val="FollowedHyperlink"/>
    <w:qFormat/>
    <w:uiPriority w:val="0"/>
    <w:rPr>
      <w:color w:val="800080"/>
      <w:u w:val="single"/>
    </w:rPr>
  </w:style>
  <w:style w:type="character" w:styleId="39">
    <w:name w:val="Hyperlink"/>
    <w:qFormat/>
    <w:uiPriority w:val="0"/>
    <w:rPr>
      <w:color w:val="0000FF"/>
      <w:u w:val="single"/>
    </w:rPr>
  </w:style>
  <w:style w:type="character" w:styleId="40">
    <w:name w:val="annotation reference"/>
    <w:qFormat/>
    <w:uiPriority w:val="0"/>
    <w:rPr>
      <w:sz w:val="21"/>
      <w:szCs w:val="21"/>
    </w:rPr>
  </w:style>
  <w:style w:type="character" w:customStyle="1" w:styleId="41">
    <w:name w:val="标题 1 字符"/>
    <w:link w:val="3"/>
    <w:qFormat/>
    <w:uiPriority w:val="0"/>
    <w:rPr>
      <w:rFonts w:ascii="Times New Roman" w:hAnsi="Times New Roman" w:eastAsia="宋体" w:cs="Times New Roman"/>
      <w:b/>
      <w:bCs/>
      <w:kern w:val="44"/>
      <w:sz w:val="44"/>
      <w:szCs w:val="44"/>
    </w:rPr>
  </w:style>
  <w:style w:type="character" w:customStyle="1" w:styleId="42">
    <w:name w:val="标题 2 字符"/>
    <w:link w:val="4"/>
    <w:qFormat/>
    <w:uiPriority w:val="0"/>
    <w:rPr>
      <w:rFonts w:ascii="Cambria" w:hAnsi="Cambria" w:eastAsia="宋体" w:cs="Times New Roman"/>
      <w:b/>
      <w:bCs/>
      <w:kern w:val="0"/>
      <w:sz w:val="28"/>
      <w:szCs w:val="28"/>
    </w:rPr>
  </w:style>
  <w:style w:type="character" w:customStyle="1" w:styleId="43">
    <w:name w:val="标题 3 字符"/>
    <w:link w:val="5"/>
    <w:qFormat/>
    <w:uiPriority w:val="0"/>
    <w:rPr>
      <w:rFonts w:ascii="Times New Roman" w:hAnsi="Times New Roman" w:eastAsia="宋体" w:cs="Times New Roman"/>
      <w:b/>
      <w:bCs/>
      <w:kern w:val="0"/>
      <w:sz w:val="32"/>
      <w:szCs w:val="32"/>
    </w:rPr>
  </w:style>
  <w:style w:type="character" w:customStyle="1" w:styleId="44">
    <w:name w:val="标题 4 字符"/>
    <w:link w:val="6"/>
    <w:qFormat/>
    <w:uiPriority w:val="0"/>
    <w:rPr>
      <w:rFonts w:ascii="Cambria" w:hAnsi="Cambria" w:eastAsia="宋体" w:cs="Times New Roman"/>
      <w:b/>
      <w:bCs/>
      <w:kern w:val="0"/>
      <w:sz w:val="28"/>
      <w:szCs w:val="28"/>
    </w:rPr>
  </w:style>
  <w:style w:type="character" w:customStyle="1" w:styleId="45">
    <w:name w:val="标题 5 字符"/>
    <w:link w:val="7"/>
    <w:qFormat/>
    <w:uiPriority w:val="0"/>
    <w:rPr>
      <w:rFonts w:ascii="Times New Roman" w:hAnsi="Times New Roman" w:eastAsia="宋体" w:cs="Times New Roman"/>
      <w:b/>
      <w:bCs/>
      <w:kern w:val="0"/>
      <w:sz w:val="28"/>
      <w:szCs w:val="28"/>
    </w:rPr>
  </w:style>
  <w:style w:type="character" w:customStyle="1" w:styleId="46">
    <w:name w:val="标题 6 字符"/>
    <w:link w:val="8"/>
    <w:qFormat/>
    <w:uiPriority w:val="0"/>
    <w:rPr>
      <w:rFonts w:ascii="Arial" w:hAnsi="Arial" w:eastAsia="黑体" w:cs="Times New Roman"/>
      <w:b/>
      <w:bCs/>
      <w:kern w:val="0"/>
      <w:sz w:val="24"/>
      <w:szCs w:val="24"/>
    </w:rPr>
  </w:style>
  <w:style w:type="character" w:customStyle="1" w:styleId="47">
    <w:name w:val="标题 7 字符"/>
    <w:link w:val="9"/>
    <w:qFormat/>
    <w:uiPriority w:val="0"/>
    <w:rPr>
      <w:rFonts w:ascii="Times New Roman" w:hAnsi="Times New Roman" w:eastAsia="宋体" w:cs="Times New Roman"/>
      <w:b/>
      <w:bCs/>
      <w:kern w:val="0"/>
      <w:sz w:val="24"/>
      <w:szCs w:val="24"/>
    </w:rPr>
  </w:style>
  <w:style w:type="character" w:customStyle="1" w:styleId="48">
    <w:name w:val="标题 8 字符"/>
    <w:link w:val="10"/>
    <w:qFormat/>
    <w:uiPriority w:val="0"/>
    <w:rPr>
      <w:rFonts w:ascii="Arial" w:hAnsi="Arial" w:eastAsia="黑体" w:cs="Times New Roman"/>
      <w:kern w:val="0"/>
      <w:sz w:val="24"/>
      <w:szCs w:val="24"/>
    </w:rPr>
  </w:style>
  <w:style w:type="character" w:customStyle="1" w:styleId="49">
    <w:name w:val="标题 9 字符"/>
    <w:link w:val="11"/>
    <w:qFormat/>
    <w:uiPriority w:val="0"/>
    <w:rPr>
      <w:rFonts w:ascii="Arial" w:hAnsi="Arial" w:eastAsia="黑体" w:cs="Times New Roman"/>
      <w:kern w:val="0"/>
      <w:sz w:val="20"/>
      <w:szCs w:val="20"/>
    </w:rPr>
  </w:style>
  <w:style w:type="character" w:customStyle="1" w:styleId="50">
    <w:name w:val="页眉 字符"/>
    <w:link w:val="22"/>
    <w:qFormat/>
    <w:uiPriority w:val="0"/>
    <w:rPr>
      <w:rFonts w:ascii="Times New Roman" w:hAnsi="Times New Roman" w:eastAsia="宋体" w:cs="Times New Roman"/>
      <w:kern w:val="0"/>
      <w:sz w:val="18"/>
      <w:szCs w:val="18"/>
    </w:rPr>
  </w:style>
  <w:style w:type="character" w:customStyle="1" w:styleId="51">
    <w:name w:val="标题 字符"/>
    <w:link w:val="30"/>
    <w:qFormat/>
    <w:uiPriority w:val="0"/>
    <w:rPr>
      <w:rFonts w:ascii="Cambria" w:hAnsi="Cambria" w:eastAsia="宋体" w:cs="Times New Roman"/>
      <w:b/>
      <w:bCs/>
      <w:kern w:val="0"/>
      <w:sz w:val="32"/>
      <w:szCs w:val="32"/>
    </w:rPr>
  </w:style>
  <w:style w:type="character" w:customStyle="1" w:styleId="52">
    <w:name w:val="页脚 字符"/>
    <w:link w:val="21"/>
    <w:qFormat/>
    <w:uiPriority w:val="99"/>
    <w:rPr>
      <w:rFonts w:ascii="Times New Roman" w:hAnsi="Times New Roman" w:eastAsia="宋体" w:cs="Times New Roman"/>
      <w:kern w:val="0"/>
      <w:sz w:val="18"/>
      <w:szCs w:val="18"/>
    </w:rPr>
  </w:style>
  <w:style w:type="paragraph" w:styleId="53">
    <w:name w:val="List Paragraph"/>
    <w:basedOn w:val="1"/>
    <w:qFormat/>
    <w:uiPriority w:val="0"/>
    <w:pPr>
      <w:ind w:firstLine="420" w:firstLineChars="200"/>
    </w:pPr>
    <w:rPr>
      <w:sz w:val="28"/>
      <w:szCs w:val="28"/>
    </w:rPr>
  </w:style>
  <w:style w:type="character" w:customStyle="1" w:styleId="54">
    <w:name w:val="批注文字 字符"/>
    <w:link w:val="15"/>
    <w:qFormat/>
    <w:uiPriority w:val="0"/>
    <w:rPr>
      <w:rFonts w:ascii="Times New Roman" w:hAnsi="Times New Roman" w:eastAsia="宋体" w:cs="Times New Roman"/>
      <w:kern w:val="0"/>
      <w:sz w:val="28"/>
      <w:szCs w:val="28"/>
    </w:rPr>
  </w:style>
  <w:style w:type="character" w:customStyle="1" w:styleId="55">
    <w:name w:val="标题 4 Char"/>
    <w:qFormat/>
    <w:uiPriority w:val="0"/>
    <w:rPr>
      <w:rFonts w:ascii="Cambria" w:hAnsi="Cambria" w:eastAsia="宋体" w:cs="Times New Roman"/>
      <w:b/>
      <w:bCs/>
      <w:kern w:val="2"/>
      <w:sz w:val="28"/>
      <w:szCs w:val="28"/>
    </w:rPr>
  </w:style>
  <w:style w:type="character" w:customStyle="1" w:styleId="56">
    <w:name w:val="文档结构图 字符"/>
    <w:link w:val="14"/>
    <w:qFormat/>
    <w:uiPriority w:val="0"/>
    <w:rPr>
      <w:rFonts w:ascii="宋体" w:hAnsi="Times New Roman" w:eastAsia="宋体" w:cs="Times New Roman"/>
      <w:sz w:val="18"/>
      <w:szCs w:val="18"/>
    </w:rPr>
  </w:style>
  <w:style w:type="character" w:customStyle="1" w:styleId="57">
    <w:name w:val="正文文本 字符"/>
    <w:link w:val="16"/>
    <w:qFormat/>
    <w:uiPriority w:val="0"/>
    <w:rPr>
      <w:rFonts w:ascii="Times New Roman" w:hAnsi="Times New Roman" w:eastAsia="宋体" w:cs="Times New Roman"/>
      <w:kern w:val="0"/>
      <w:sz w:val="24"/>
      <w:szCs w:val="24"/>
    </w:rPr>
  </w:style>
  <w:style w:type="character" w:customStyle="1" w:styleId="58">
    <w:name w:val="正文文本缩进 字符"/>
    <w:link w:val="17"/>
    <w:qFormat/>
    <w:uiPriority w:val="99"/>
    <w:rPr>
      <w:rFonts w:ascii="Times New Roman" w:hAnsi="Times New Roman" w:eastAsia="宋体" w:cs="Times New Roman"/>
      <w:kern w:val="0"/>
      <w:sz w:val="20"/>
      <w:szCs w:val="20"/>
    </w:rPr>
  </w:style>
  <w:style w:type="character" w:customStyle="1" w:styleId="59">
    <w:name w:val="纯文本 字符"/>
    <w:link w:val="19"/>
    <w:qFormat/>
    <w:uiPriority w:val="0"/>
    <w:rPr>
      <w:rFonts w:ascii="宋体" w:hAnsi="Courier New" w:eastAsia="宋体" w:cs="Times New Roman"/>
      <w:kern w:val="0"/>
      <w:szCs w:val="21"/>
    </w:rPr>
  </w:style>
  <w:style w:type="character" w:customStyle="1" w:styleId="60">
    <w:name w:val="批注框文本 字符"/>
    <w:link w:val="20"/>
    <w:qFormat/>
    <w:uiPriority w:val="0"/>
    <w:rPr>
      <w:rFonts w:ascii="Times New Roman" w:hAnsi="Times New Roman" w:eastAsia="宋体" w:cs="Times New Roman"/>
      <w:kern w:val="0"/>
      <w:sz w:val="18"/>
      <w:szCs w:val="18"/>
    </w:rPr>
  </w:style>
  <w:style w:type="character" w:customStyle="1" w:styleId="61">
    <w:name w:val="正文文本缩进 3 字符"/>
    <w:link w:val="26"/>
    <w:qFormat/>
    <w:uiPriority w:val="0"/>
    <w:rPr>
      <w:rFonts w:ascii="Times New Roman" w:hAnsi="Times New Roman" w:eastAsia="宋体" w:cs="Times New Roman"/>
      <w:kern w:val="0"/>
      <w:sz w:val="16"/>
      <w:szCs w:val="16"/>
    </w:rPr>
  </w:style>
  <w:style w:type="character" w:customStyle="1" w:styleId="62">
    <w:name w:val="正文文本 2 字符"/>
    <w:link w:val="27"/>
    <w:qFormat/>
    <w:uiPriority w:val="0"/>
    <w:rPr>
      <w:rFonts w:ascii="Times New Roman" w:hAnsi="Times New Roman" w:eastAsia="宋体" w:cs="Times New Roman"/>
      <w:kern w:val="0"/>
      <w:sz w:val="24"/>
      <w:szCs w:val="24"/>
    </w:rPr>
  </w:style>
  <w:style w:type="table" w:customStyle="1" w:styleId="63">
    <w:name w:val="网格型1"/>
    <w:basedOn w:val="33"/>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正文缩进 字符"/>
    <w:link w:val="12"/>
    <w:qFormat/>
    <w:locked/>
    <w:uiPriority w:val="0"/>
    <w:rPr>
      <w:rFonts w:ascii="Times New Roman" w:hAnsi="Times New Roman" w:eastAsia="宋体" w:cs="Times New Roman"/>
      <w:szCs w:val="21"/>
    </w:rPr>
  </w:style>
  <w:style w:type="character" w:customStyle="1" w:styleId="69">
    <w:name w:val="纯文本 Char1"/>
    <w:qFormat/>
    <w:uiPriority w:val="0"/>
    <w:rPr>
      <w:rFonts w:ascii="宋体" w:hAnsi="Courier New" w:cs="宋体"/>
      <w:kern w:val="2"/>
      <w:sz w:val="21"/>
      <w:szCs w:val="21"/>
    </w:rPr>
  </w:style>
  <w:style w:type="character" w:customStyle="1" w:styleId="70">
    <w:name w:val="批注文字 Char1"/>
    <w:qFormat/>
    <w:uiPriority w:val="0"/>
    <w:rPr>
      <w:rFonts w:ascii="Times New Roman" w:hAnsi="Times New Roman" w:eastAsia="宋体" w:cs="Times New Roman"/>
      <w:sz w:val="24"/>
      <w:szCs w:val="24"/>
    </w:rPr>
  </w:style>
  <w:style w:type="paragraph" w:customStyle="1" w:styleId="71">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2">
    <w:name w:val="apple-converted-space"/>
    <w:qFormat/>
    <w:uiPriority w:val="0"/>
  </w:style>
  <w:style w:type="paragraph" w:customStyle="1" w:styleId="73">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4">
    <w:name w:val="列出段落2"/>
    <w:basedOn w:val="1"/>
    <w:qFormat/>
    <w:uiPriority w:val="0"/>
    <w:pPr>
      <w:ind w:firstLine="420" w:firstLineChars="200"/>
    </w:pPr>
    <w:rPr>
      <w:rFonts w:cs="Calibri"/>
      <w:szCs w:val="21"/>
    </w:rPr>
  </w:style>
  <w:style w:type="paragraph" w:customStyle="1" w:styleId="75">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6">
    <w:name w:val="标题 3 Char1"/>
    <w:qFormat/>
    <w:uiPriority w:val="0"/>
    <w:rPr>
      <w:rFonts w:ascii="Times New Roman" w:hAnsi="Times New Roman" w:eastAsia="宋体" w:cs="Times New Roman"/>
      <w:sz w:val="20"/>
      <w:szCs w:val="20"/>
    </w:rPr>
  </w:style>
  <w:style w:type="paragraph" w:customStyle="1" w:styleId="77">
    <w:name w:val="Char Char11 Char Char Char Char"/>
    <w:basedOn w:val="1"/>
    <w:qFormat/>
    <w:uiPriority w:val="0"/>
    <w:pPr>
      <w:tabs>
        <w:tab w:val="left" w:pos="360"/>
      </w:tabs>
    </w:pPr>
    <w:rPr>
      <w:szCs w:val="21"/>
    </w:rPr>
  </w:style>
  <w:style w:type="paragraph" w:customStyle="1" w:styleId="78">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9">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6">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1">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2">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4">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6">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8">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0">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1">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3">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1">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2">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3">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5">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6">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7">
    <w:name w:val="纯文本 Char3"/>
    <w:qFormat/>
    <w:uiPriority w:val="0"/>
    <w:rPr>
      <w:rFonts w:ascii="宋体" w:hAnsi="Courier New"/>
      <w:sz w:val="21"/>
      <w:szCs w:val="21"/>
    </w:rPr>
  </w:style>
  <w:style w:type="paragraph" w:customStyle="1" w:styleId="118">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9">
    <w:name w:val="Unresolved Mention"/>
    <w:semiHidden/>
    <w:unhideWhenUsed/>
    <w:qFormat/>
    <w:uiPriority w:val="99"/>
    <w:rPr>
      <w:color w:val="605E5C"/>
      <w:shd w:val="clear" w:color="auto" w:fill="E1DFDD"/>
    </w:rPr>
  </w:style>
  <w:style w:type="character" w:customStyle="1" w:styleId="120">
    <w:name w:val="正文文本首行缩进 2 字符"/>
    <w:basedOn w:val="58"/>
    <w:link w:val="32"/>
    <w:semiHidden/>
    <w:qFormat/>
    <w:uiPriority w:val="99"/>
    <w:rPr>
      <w:rFonts w:ascii="Times New Roman" w:hAnsi="Times New Roman" w:eastAsia="宋体" w:cs="Times New Roman"/>
      <w:kern w:val="0"/>
      <w:sz w:val="20"/>
      <w:szCs w:val="20"/>
    </w:rPr>
  </w:style>
  <w:style w:type="character" w:customStyle="1" w:styleId="121">
    <w:name w:val="页脚 字符1"/>
    <w:qFormat/>
    <w:uiPriority w:val="99"/>
    <w:rPr>
      <w:rFonts w:ascii="Times New Roman" w:hAnsi="Times New Roman" w:eastAsia="宋体" w:cs="Times New Roman"/>
      <w:kern w:val="0"/>
      <w:sz w:val="18"/>
      <w:szCs w:val="18"/>
    </w:rPr>
  </w:style>
  <w:style w:type="character" w:customStyle="1" w:styleId="122">
    <w:name w:val="页码1"/>
    <w:qFormat/>
    <w:uiPriority w:val="0"/>
    <w:rPr>
      <w:rFonts w:cs="Times New Roman"/>
    </w:rPr>
  </w:style>
  <w:style w:type="character" w:customStyle="1" w:styleId="123">
    <w:name w:val="flatpickr-weekday2"/>
    <w:basedOn w:val="35"/>
    <w:qFormat/>
    <w:uiPriority w:val="0"/>
    <w:rPr>
      <w:b/>
      <w:bCs/>
      <w:sz w:val="21"/>
      <w:szCs w:val="21"/>
    </w:rPr>
  </w:style>
  <w:style w:type="character" w:customStyle="1" w:styleId="124">
    <w:name w:val="flatpickr-day2"/>
    <w:basedOn w:val="35"/>
    <w:qFormat/>
    <w:uiPriority w:val="0"/>
  </w:style>
  <w:style w:type="paragraph" w:customStyle="1" w:styleId="125">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84</Pages>
  <Words>30368</Words>
  <Characters>32472</Characters>
  <Lines>310</Lines>
  <Paragraphs>87</Paragraphs>
  <TotalTime>6</TotalTime>
  <ScaleCrop>false</ScaleCrop>
  <LinksUpToDate>false</LinksUpToDate>
  <CharactersWithSpaces>33123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__阳光未必暖人心。</cp:lastModifiedBy>
  <cp:lastPrinted>2022-05-17T01:06:00Z</cp:lastPrinted>
  <dcterms:modified xsi:type="dcterms:W3CDTF">2026-08-24T06:32:24Z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483143A8A2394B3A948F29557B64B4F5_13</vt:lpwstr>
  </property>
  <property fmtid="{D5CDD505-2E9C-101B-9397-08002B2CF9AE}" pid="4" name="KSOTemplateDocerSaveRecord">
    <vt:lpwstr>eyJoZGlkIjoiOWY1MDQwNTdkYzk0ZTMzZjJiYTAzY2NiYzZhZDNiZWIiLCJ1c2VySWQiOiI4NTE2NTIxOTAifQ==</vt:lpwstr>
  </property>
</Properties>
</file>