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D3D0A08">
      <w:pPr>
        <w:pStyle w:val="70"/>
        <w:rPr>
          <w:rFonts w:hint="eastAsia" w:ascii="Calibri" w:hAnsi="Calibri" w:eastAsia="仿宋" w:cs="仿宋"/>
          <w:color w:val="auto"/>
          <w:highlight w:val="none"/>
        </w:rPr>
      </w:pPr>
      <w:bookmarkStart w:id="0" w:name="_Toc2218"/>
    </w:p>
    <w:p w14:paraId="63C82287">
      <w:pPr>
        <w:pStyle w:val="70"/>
        <w:rPr>
          <w:rFonts w:hint="eastAsia" w:ascii="Calibri" w:hAnsi="Calibri" w:eastAsia="仿宋" w:cs="仿宋"/>
          <w:color w:val="auto"/>
          <w:highlight w:val="none"/>
        </w:rPr>
      </w:pPr>
    </w:p>
    <w:p w14:paraId="6571DD9F">
      <w:pPr>
        <w:spacing w:before="624" w:beforeLines="200" w:line="360" w:lineRule="auto"/>
        <w:jc w:val="center"/>
        <w:rPr>
          <w:rFonts w:ascii="仿宋" w:hAnsi="仿宋" w:eastAsia="仿宋" w:cs="仿宋"/>
          <w:color w:val="auto"/>
          <w:kern w:val="0"/>
          <w:sz w:val="72"/>
          <w:szCs w:val="72"/>
          <w:highlight w:val="none"/>
        </w:rPr>
      </w:pPr>
      <w:r>
        <w:rPr>
          <w:rFonts w:hint="eastAsia" w:ascii="仿宋" w:hAnsi="仿宋" w:eastAsia="仿宋" w:cs="仿宋"/>
          <w:color w:val="auto"/>
          <w:kern w:val="0"/>
          <w:sz w:val="72"/>
          <w:szCs w:val="72"/>
          <w:highlight w:val="none"/>
        </w:rPr>
        <w:t>招标文件</w:t>
      </w:r>
    </w:p>
    <w:p w14:paraId="43F15D8D">
      <w:pPr>
        <w:pStyle w:val="30"/>
        <w:rPr>
          <w:color w:val="auto"/>
          <w:sz w:val="72"/>
          <w:szCs w:val="72"/>
          <w:highlight w:val="none"/>
        </w:rPr>
      </w:pPr>
    </w:p>
    <w:p w14:paraId="10FA8210">
      <w:pPr>
        <w:spacing w:line="360" w:lineRule="auto"/>
        <w:jc w:val="center"/>
        <w:rPr>
          <w:rFonts w:ascii="仿宋" w:hAnsi="仿宋" w:eastAsia="仿宋" w:cs="仿宋"/>
          <w:color w:val="auto"/>
          <w:sz w:val="72"/>
          <w:szCs w:val="72"/>
          <w:highlight w:val="none"/>
        </w:rPr>
      </w:pPr>
      <w:r>
        <w:rPr>
          <w:rFonts w:hint="eastAsia"/>
          <w:color w:val="auto"/>
          <w:sz w:val="72"/>
          <w:szCs w:val="72"/>
          <w:highlight w:val="none"/>
        </w:rPr>
        <w:drawing>
          <wp:inline distT="0" distB="0" distL="114300" distR="114300">
            <wp:extent cx="1115060" cy="1395730"/>
            <wp:effectExtent l="0" t="0" r="8890" b="13970"/>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icPr>
                  <pic:blipFill>
                    <a:blip r:embed="rId19"/>
                    <a:stretch>
                      <a:fillRect/>
                    </a:stretch>
                  </pic:blipFill>
                  <pic:spPr>
                    <a:xfrm>
                      <a:off x="0" y="0"/>
                      <a:ext cx="1115060" cy="1395730"/>
                    </a:xfrm>
                    <a:prstGeom prst="rect">
                      <a:avLst/>
                    </a:prstGeom>
                    <a:noFill/>
                    <a:ln>
                      <a:noFill/>
                    </a:ln>
                  </pic:spPr>
                </pic:pic>
              </a:graphicData>
            </a:graphic>
          </wp:inline>
        </w:drawing>
      </w:r>
    </w:p>
    <w:p w14:paraId="0EA8842F">
      <w:pPr>
        <w:spacing w:line="360" w:lineRule="auto"/>
        <w:jc w:val="left"/>
        <w:rPr>
          <w:rFonts w:ascii="仿宋" w:hAnsi="仿宋" w:eastAsia="仿宋" w:cs="仿宋"/>
          <w:color w:val="auto"/>
          <w:sz w:val="28"/>
          <w:szCs w:val="28"/>
          <w:highlight w:val="none"/>
        </w:rPr>
      </w:pPr>
    </w:p>
    <w:p w14:paraId="6B7BD715">
      <w:pPr>
        <w:tabs>
          <w:tab w:val="left" w:pos="0"/>
          <w:tab w:val="left" w:pos="142"/>
        </w:tabs>
        <w:snapToGrid w:val="0"/>
        <w:spacing w:after="156" w:afterLines="50" w:line="240" w:lineRule="atLeast"/>
        <w:ind w:firstLine="643" w:firstLineChars="200"/>
        <w:jc w:val="left"/>
        <w:rPr>
          <w:rFonts w:hint="default" w:ascii="仿宋" w:hAnsi="仿宋" w:eastAsia="仿宋" w:cs="仿宋"/>
          <w:b/>
          <w:color w:val="auto"/>
          <w:sz w:val="32"/>
          <w:szCs w:val="32"/>
          <w:highlight w:val="none"/>
          <w:lang w:val="en-US" w:eastAsia="zh-CN"/>
        </w:rPr>
      </w:pPr>
      <w:r>
        <w:rPr>
          <w:rFonts w:hint="eastAsia" w:ascii="仿宋" w:hAnsi="仿宋" w:eastAsia="仿宋" w:cs="仿宋"/>
          <w:b/>
          <w:color w:val="auto"/>
          <w:sz w:val="32"/>
          <w:szCs w:val="32"/>
          <w:highlight w:val="none"/>
          <w:lang w:eastAsia="zh-CN"/>
        </w:rPr>
        <w:t>招标</w:t>
      </w:r>
      <w:r>
        <w:rPr>
          <w:rFonts w:hint="eastAsia" w:ascii="仿宋" w:hAnsi="仿宋" w:eastAsia="仿宋" w:cs="仿宋"/>
          <w:b/>
          <w:color w:val="auto"/>
          <w:sz w:val="32"/>
          <w:szCs w:val="32"/>
          <w:highlight w:val="none"/>
        </w:rPr>
        <w:t>编号：</w:t>
      </w:r>
      <w:r>
        <w:rPr>
          <w:rFonts w:hint="eastAsia" w:ascii="仿宋" w:hAnsi="仿宋" w:eastAsia="仿宋" w:cs="仿宋"/>
          <w:b w:val="0"/>
          <w:bCs/>
          <w:color w:val="auto"/>
          <w:sz w:val="32"/>
          <w:szCs w:val="32"/>
          <w:highlight w:val="none"/>
          <w:lang w:eastAsia="zh-CN"/>
        </w:rPr>
        <w:t>WHJTCZ2026-0007</w:t>
      </w:r>
    </w:p>
    <w:p w14:paraId="52EBFAA3">
      <w:pPr>
        <w:keepNext w:val="0"/>
        <w:keepLines w:val="0"/>
        <w:pageBreakBefore w:val="0"/>
        <w:widowControl w:val="0"/>
        <w:tabs>
          <w:tab w:val="left" w:pos="0"/>
          <w:tab w:val="left" w:pos="142"/>
        </w:tabs>
        <w:kinsoku/>
        <w:wordWrap/>
        <w:overflowPunct/>
        <w:topLinePunct w:val="0"/>
        <w:autoSpaceDE/>
        <w:autoSpaceDN/>
        <w:bidi w:val="0"/>
        <w:adjustRightInd/>
        <w:snapToGrid w:val="0"/>
        <w:spacing w:after="156" w:afterLines="50" w:line="560" w:lineRule="exact"/>
        <w:ind w:left="2244" w:leftChars="304" w:hanging="1606" w:hangingChars="500"/>
        <w:jc w:val="left"/>
        <w:textAlignment w:val="auto"/>
        <w:rPr>
          <w:rFonts w:hint="eastAsia" w:ascii="仿宋" w:hAnsi="仿宋" w:eastAsia="仿宋" w:cs="仿宋"/>
          <w:b w:val="0"/>
          <w:bCs/>
          <w:color w:val="auto"/>
          <w:sz w:val="32"/>
          <w:szCs w:val="32"/>
          <w:highlight w:val="none"/>
          <w:lang w:eastAsia="zh-CN"/>
        </w:rPr>
      </w:pPr>
      <w:r>
        <w:rPr>
          <w:rFonts w:hint="eastAsia" w:ascii="仿宋" w:hAnsi="仿宋" w:eastAsia="仿宋" w:cs="仿宋"/>
          <w:b/>
          <w:color w:val="auto"/>
          <w:sz w:val="32"/>
          <w:szCs w:val="32"/>
          <w:highlight w:val="none"/>
        </w:rPr>
        <w:t>项目名称：</w:t>
      </w:r>
      <w:r>
        <w:rPr>
          <w:rFonts w:hint="eastAsia" w:ascii="仿宋" w:hAnsi="仿宋" w:eastAsia="仿宋" w:cs="仿宋"/>
          <w:b w:val="0"/>
          <w:bCs/>
          <w:color w:val="auto"/>
          <w:sz w:val="32"/>
          <w:szCs w:val="32"/>
          <w:highlight w:val="none"/>
          <w:lang w:val="en-US" w:eastAsia="zh-CN"/>
        </w:rPr>
        <w:t>选定车辆定点加油服务单位</w:t>
      </w:r>
    </w:p>
    <w:p w14:paraId="74968979">
      <w:pPr>
        <w:tabs>
          <w:tab w:val="left" w:pos="0"/>
          <w:tab w:val="left" w:pos="142"/>
        </w:tabs>
        <w:snapToGrid w:val="0"/>
        <w:spacing w:after="156" w:afterLines="50" w:line="240" w:lineRule="atLeast"/>
        <w:ind w:firstLine="643" w:firstLineChars="200"/>
        <w:jc w:val="left"/>
        <w:rPr>
          <w:rFonts w:ascii="仿宋" w:hAnsi="仿宋" w:eastAsia="仿宋" w:cs="仿宋"/>
          <w:b/>
          <w:color w:val="auto"/>
          <w:sz w:val="32"/>
          <w:szCs w:val="32"/>
          <w:highlight w:val="none"/>
        </w:rPr>
      </w:pPr>
      <w:r>
        <w:rPr>
          <w:rFonts w:hint="eastAsia" w:ascii="仿宋" w:hAnsi="仿宋" w:eastAsia="仿宋" w:cs="仿宋"/>
          <w:b/>
          <w:color w:val="auto"/>
          <w:sz w:val="32"/>
          <w:szCs w:val="32"/>
          <w:highlight w:val="none"/>
          <w:lang w:eastAsia="zh-CN"/>
        </w:rPr>
        <w:t>招标</w:t>
      </w:r>
      <w:r>
        <w:rPr>
          <w:rFonts w:hint="eastAsia" w:ascii="仿宋" w:hAnsi="仿宋" w:eastAsia="仿宋" w:cs="仿宋"/>
          <w:b/>
          <w:color w:val="auto"/>
          <w:sz w:val="32"/>
          <w:szCs w:val="32"/>
          <w:highlight w:val="none"/>
        </w:rPr>
        <w:t>方式：</w:t>
      </w:r>
      <w:r>
        <w:rPr>
          <w:rFonts w:hint="eastAsia" w:ascii="仿宋" w:hAnsi="仿宋" w:eastAsia="仿宋" w:cs="仿宋"/>
          <w:color w:val="auto"/>
          <w:sz w:val="32"/>
          <w:szCs w:val="32"/>
          <w:highlight w:val="none"/>
        </w:rPr>
        <w:t>公开招标</w:t>
      </w:r>
    </w:p>
    <w:p w14:paraId="70C1B92C">
      <w:pPr>
        <w:spacing w:line="360" w:lineRule="auto"/>
        <w:rPr>
          <w:rFonts w:ascii="仿宋" w:hAnsi="仿宋" w:eastAsia="仿宋" w:cs="仿宋"/>
          <w:b/>
          <w:color w:val="auto"/>
          <w:sz w:val="32"/>
          <w:szCs w:val="32"/>
          <w:highlight w:val="none"/>
        </w:rPr>
      </w:pPr>
    </w:p>
    <w:p w14:paraId="4D69BAD3">
      <w:pPr>
        <w:spacing w:line="360" w:lineRule="auto"/>
        <w:rPr>
          <w:rFonts w:ascii="仿宋" w:hAnsi="仿宋" w:eastAsia="仿宋" w:cs="仿宋"/>
          <w:b/>
          <w:color w:val="auto"/>
          <w:sz w:val="32"/>
          <w:szCs w:val="32"/>
          <w:highlight w:val="none"/>
        </w:rPr>
      </w:pPr>
    </w:p>
    <w:p w14:paraId="27391204">
      <w:pPr>
        <w:spacing w:line="360" w:lineRule="auto"/>
        <w:rPr>
          <w:rFonts w:ascii="仿宋" w:hAnsi="仿宋" w:eastAsia="仿宋" w:cs="仿宋"/>
          <w:b/>
          <w:color w:val="auto"/>
          <w:sz w:val="32"/>
          <w:szCs w:val="32"/>
          <w:highlight w:val="none"/>
        </w:rPr>
      </w:pPr>
    </w:p>
    <w:p w14:paraId="6E15C986">
      <w:pPr>
        <w:spacing w:line="360" w:lineRule="auto"/>
        <w:rPr>
          <w:rFonts w:ascii="仿宋" w:hAnsi="仿宋" w:eastAsia="仿宋" w:cs="仿宋"/>
          <w:b/>
          <w:color w:val="auto"/>
          <w:sz w:val="32"/>
          <w:szCs w:val="32"/>
          <w:highlight w:val="none"/>
        </w:rPr>
      </w:pPr>
    </w:p>
    <w:p w14:paraId="350C5D84">
      <w:pPr>
        <w:spacing w:before="156" w:beforeLines="50" w:line="360" w:lineRule="auto"/>
        <w:ind w:firstLine="161" w:firstLineChars="50"/>
        <w:jc w:val="center"/>
        <w:rPr>
          <w:rFonts w:ascii="仿宋" w:hAnsi="仿宋" w:eastAsia="仿宋" w:cs="仿宋"/>
          <w:b/>
          <w:bCs/>
          <w:color w:val="auto"/>
          <w:kern w:val="0"/>
          <w:sz w:val="32"/>
          <w:szCs w:val="32"/>
          <w:highlight w:val="none"/>
        </w:rPr>
      </w:pPr>
      <w:r>
        <w:rPr>
          <w:rFonts w:hint="eastAsia" w:ascii="仿宋" w:hAnsi="仿宋" w:eastAsia="仿宋" w:cs="仿宋"/>
          <w:b/>
          <w:color w:val="auto"/>
          <w:sz w:val="32"/>
          <w:szCs w:val="32"/>
          <w:highlight w:val="none"/>
        </w:rPr>
        <w:t>代理机构：山东富尔工程咨询管理有限公司</w:t>
      </w:r>
    </w:p>
    <w:p w14:paraId="35C3217A">
      <w:pPr>
        <w:jc w:val="cente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lang w:val="en-US" w:eastAsia="zh-CN"/>
        </w:rPr>
        <w:t>2026</w:t>
      </w:r>
      <w:r>
        <w:rPr>
          <w:rFonts w:hint="eastAsia" w:ascii="仿宋" w:hAnsi="仿宋" w:eastAsia="仿宋" w:cs="仿宋"/>
          <w:b/>
          <w:color w:val="auto"/>
          <w:sz w:val="32"/>
          <w:szCs w:val="32"/>
          <w:highlight w:val="none"/>
        </w:rPr>
        <w:t>年</w:t>
      </w:r>
      <w:r>
        <w:rPr>
          <w:rFonts w:hint="eastAsia" w:ascii="仿宋" w:hAnsi="仿宋" w:eastAsia="仿宋" w:cs="仿宋"/>
          <w:b/>
          <w:color w:val="auto"/>
          <w:sz w:val="32"/>
          <w:szCs w:val="32"/>
          <w:highlight w:val="none"/>
          <w:lang w:val="en-US" w:eastAsia="zh-CN"/>
        </w:rPr>
        <w:t>09</w:t>
      </w:r>
      <w:r>
        <w:rPr>
          <w:rFonts w:hint="eastAsia" w:ascii="仿宋" w:hAnsi="仿宋" w:eastAsia="仿宋" w:cs="仿宋"/>
          <w:b/>
          <w:color w:val="auto"/>
          <w:sz w:val="32"/>
          <w:szCs w:val="32"/>
          <w:highlight w:val="none"/>
        </w:rPr>
        <w:t>月</w:t>
      </w:r>
      <w:r>
        <w:rPr>
          <w:rFonts w:hint="eastAsia" w:ascii="仿宋" w:hAnsi="仿宋" w:eastAsia="仿宋" w:cs="仿宋"/>
          <w:b/>
          <w:color w:val="auto"/>
          <w:sz w:val="32"/>
          <w:szCs w:val="32"/>
          <w:highlight w:val="none"/>
          <w:lang w:val="en-US" w:eastAsia="zh-CN"/>
        </w:rPr>
        <w:t>10</w:t>
      </w:r>
      <w:r>
        <w:rPr>
          <w:rFonts w:hint="eastAsia" w:ascii="仿宋" w:hAnsi="仿宋" w:eastAsia="仿宋" w:cs="仿宋"/>
          <w:b/>
          <w:color w:val="auto"/>
          <w:sz w:val="32"/>
          <w:szCs w:val="32"/>
          <w:highlight w:val="none"/>
        </w:rPr>
        <w:t>日</w:t>
      </w:r>
    </w:p>
    <w:p w14:paraId="16FC4497">
      <w:pPr>
        <w:jc w:val="center"/>
        <w:rPr>
          <w:rFonts w:hint="eastAsia" w:ascii="仿宋" w:hAnsi="仿宋" w:eastAsia="仿宋" w:cs="仿宋"/>
          <w:color w:val="auto"/>
          <w:sz w:val="36"/>
          <w:szCs w:val="36"/>
          <w:highlight w:val="none"/>
        </w:rPr>
        <w:sectPr>
          <w:headerReference r:id="rId5" w:type="first"/>
          <w:footerReference r:id="rId8" w:type="first"/>
          <w:headerReference r:id="rId3" w:type="default"/>
          <w:footerReference r:id="rId6" w:type="default"/>
          <w:headerReference r:id="rId4" w:type="even"/>
          <w:footerReference r:id="rId7" w:type="even"/>
          <w:pgSz w:w="11906" w:h="16838"/>
          <w:pgMar w:top="1440" w:right="1800" w:bottom="1440" w:left="1800" w:header="567" w:footer="992" w:gutter="0"/>
          <w:pgBorders>
            <w:top w:val="none" w:sz="0" w:space="0"/>
            <w:left w:val="none" w:sz="0" w:space="0"/>
            <w:bottom w:val="none" w:sz="0" w:space="0"/>
            <w:right w:val="none" w:sz="0" w:space="0"/>
          </w:pgBorders>
          <w:cols w:space="720" w:num="1"/>
          <w:titlePg/>
          <w:docGrid w:type="lines" w:linePitch="312" w:charSpace="0"/>
        </w:sectPr>
      </w:pPr>
    </w:p>
    <w:bookmarkEnd w:id="0"/>
    <w:p w14:paraId="1BD52930">
      <w:pPr>
        <w:jc w:val="center"/>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t>目</w:t>
      </w:r>
      <w:r>
        <w:rPr>
          <w:rFonts w:hint="eastAsia" w:ascii="仿宋" w:hAnsi="仿宋" w:eastAsia="仿宋" w:cs="仿宋"/>
          <w:b/>
          <w:bCs/>
          <w:sz w:val="36"/>
          <w:szCs w:val="36"/>
          <w:highlight w:val="none"/>
          <w:lang w:val="en-US" w:eastAsia="zh-CN"/>
        </w:rPr>
        <w:t xml:space="preserve">  </w:t>
      </w:r>
      <w:r>
        <w:rPr>
          <w:rFonts w:hint="eastAsia" w:ascii="仿宋" w:hAnsi="仿宋" w:eastAsia="仿宋" w:cs="仿宋"/>
          <w:b/>
          <w:bCs/>
          <w:sz w:val="36"/>
          <w:szCs w:val="36"/>
          <w:highlight w:val="none"/>
        </w:rPr>
        <w:t>录</w:t>
      </w:r>
    </w:p>
    <w:p w14:paraId="1294314D">
      <w:pPr>
        <w:jc w:val="center"/>
        <w:rPr>
          <w:rFonts w:hint="eastAsia" w:ascii="仿宋" w:hAnsi="仿宋" w:eastAsia="仿宋" w:cs="仿宋"/>
          <w:b/>
          <w:bCs/>
          <w:sz w:val="36"/>
          <w:szCs w:val="36"/>
          <w:highlight w:val="none"/>
        </w:rPr>
      </w:pPr>
    </w:p>
    <w:p w14:paraId="33A8DE5B">
      <w:pPr>
        <w:pStyle w:val="30"/>
        <w:tabs>
          <w:tab w:val="right" w:leader="dot" w:pos="8306"/>
          <w:tab w:val="clear" w:pos="8985"/>
        </w:tabs>
        <w:spacing w:line="360" w:lineRule="auto"/>
        <w:rPr>
          <w:rFonts w:hint="eastAsia" w:ascii="仿宋" w:hAnsi="仿宋" w:eastAsia="仿宋" w:cs="仿宋"/>
          <w:b w:val="0"/>
          <w:bCs w:val="0"/>
          <w:sz w:val="28"/>
          <w:szCs w:val="28"/>
          <w:highlight w:val="none"/>
        </w:rPr>
      </w:pPr>
      <w:r>
        <w:rPr>
          <w:rFonts w:hint="eastAsia" w:ascii="仿宋" w:hAnsi="仿宋" w:eastAsia="仿宋" w:cs="仿宋"/>
          <w:b w:val="0"/>
          <w:bCs w:val="0"/>
          <w:sz w:val="22"/>
          <w:szCs w:val="22"/>
          <w:highlight w:val="none"/>
        </w:rPr>
        <w:fldChar w:fldCharType="begin"/>
      </w:r>
      <w:r>
        <w:rPr>
          <w:rFonts w:hint="eastAsia" w:ascii="仿宋" w:hAnsi="仿宋" w:eastAsia="仿宋" w:cs="仿宋"/>
          <w:b w:val="0"/>
          <w:bCs w:val="0"/>
          <w:sz w:val="22"/>
          <w:szCs w:val="22"/>
          <w:highlight w:val="none"/>
        </w:rPr>
        <w:instrText xml:space="preserve">TOC \o "1-1" \h \u </w:instrText>
      </w:r>
      <w:r>
        <w:rPr>
          <w:rFonts w:hint="eastAsia" w:ascii="仿宋" w:hAnsi="仿宋" w:eastAsia="仿宋" w:cs="仿宋"/>
          <w:b w:val="0"/>
          <w:bCs w:val="0"/>
          <w:sz w:val="22"/>
          <w:szCs w:val="22"/>
          <w:highlight w:val="none"/>
        </w:rPr>
        <w:fldChar w:fldCharType="separate"/>
      </w:r>
      <w:r>
        <w:rPr>
          <w:rFonts w:hint="eastAsia" w:ascii="仿宋" w:hAnsi="仿宋" w:eastAsia="仿宋" w:cs="仿宋"/>
          <w:b w:val="0"/>
          <w:bCs w:val="0"/>
          <w:sz w:val="28"/>
          <w:szCs w:val="22"/>
          <w:highlight w:val="none"/>
        </w:rPr>
        <w:fldChar w:fldCharType="begin"/>
      </w:r>
      <w:r>
        <w:rPr>
          <w:rFonts w:hint="eastAsia" w:ascii="仿宋" w:hAnsi="仿宋" w:eastAsia="仿宋" w:cs="仿宋"/>
          <w:b w:val="0"/>
          <w:bCs w:val="0"/>
          <w:sz w:val="28"/>
          <w:szCs w:val="22"/>
          <w:highlight w:val="none"/>
        </w:rPr>
        <w:instrText xml:space="preserve"> HYPERLINK \l _Toc1540 </w:instrText>
      </w:r>
      <w:r>
        <w:rPr>
          <w:rFonts w:hint="eastAsia" w:ascii="仿宋" w:hAnsi="仿宋" w:eastAsia="仿宋" w:cs="仿宋"/>
          <w:b w:val="0"/>
          <w:bCs w:val="0"/>
          <w:sz w:val="28"/>
          <w:szCs w:val="22"/>
          <w:highlight w:val="none"/>
        </w:rPr>
        <w:fldChar w:fldCharType="separate"/>
      </w:r>
      <w:r>
        <w:rPr>
          <w:rFonts w:hint="eastAsia" w:ascii="仿宋" w:hAnsi="仿宋" w:eastAsia="仿宋" w:cs="仿宋"/>
          <w:b w:val="0"/>
          <w:bCs w:val="0"/>
          <w:sz w:val="28"/>
          <w:szCs w:val="28"/>
          <w:highlight w:val="none"/>
        </w:rPr>
        <w:t>第一部分  招标公告</w:t>
      </w:r>
      <w:r>
        <w:rPr>
          <w:rFonts w:hint="eastAsia" w:ascii="仿宋" w:hAnsi="仿宋" w:eastAsia="仿宋" w:cs="仿宋"/>
          <w:b w:val="0"/>
          <w:bCs w:val="0"/>
          <w:sz w:val="28"/>
          <w:szCs w:val="28"/>
          <w:highlight w:val="none"/>
        </w:rPr>
        <w:tab/>
      </w:r>
      <w:r>
        <w:rPr>
          <w:rFonts w:hint="eastAsia" w:ascii="仿宋" w:hAnsi="仿宋" w:eastAsia="仿宋" w:cs="仿宋"/>
          <w:b w:val="0"/>
          <w:bCs w:val="0"/>
          <w:sz w:val="28"/>
          <w:szCs w:val="28"/>
          <w:highlight w:val="none"/>
        </w:rPr>
        <w:fldChar w:fldCharType="begin"/>
      </w:r>
      <w:r>
        <w:rPr>
          <w:rFonts w:hint="eastAsia" w:ascii="仿宋" w:hAnsi="仿宋" w:eastAsia="仿宋" w:cs="仿宋"/>
          <w:b w:val="0"/>
          <w:bCs w:val="0"/>
          <w:sz w:val="28"/>
          <w:szCs w:val="28"/>
          <w:highlight w:val="none"/>
        </w:rPr>
        <w:instrText xml:space="preserve"> PAGEREF _Toc1540 \h </w:instrText>
      </w:r>
      <w:r>
        <w:rPr>
          <w:rFonts w:hint="eastAsia" w:ascii="仿宋" w:hAnsi="仿宋" w:eastAsia="仿宋" w:cs="仿宋"/>
          <w:b w:val="0"/>
          <w:bCs w:val="0"/>
          <w:sz w:val="28"/>
          <w:szCs w:val="28"/>
          <w:highlight w:val="none"/>
        </w:rPr>
        <w:fldChar w:fldCharType="separate"/>
      </w:r>
      <w:r>
        <w:rPr>
          <w:rFonts w:hint="eastAsia" w:ascii="仿宋" w:hAnsi="仿宋" w:eastAsia="仿宋" w:cs="仿宋"/>
          <w:b w:val="0"/>
          <w:bCs w:val="0"/>
          <w:sz w:val="28"/>
          <w:szCs w:val="28"/>
          <w:highlight w:val="none"/>
        </w:rPr>
        <w:t>2</w:t>
      </w:r>
      <w:r>
        <w:rPr>
          <w:rFonts w:hint="eastAsia" w:ascii="仿宋" w:hAnsi="仿宋" w:eastAsia="仿宋" w:cs="仿宋"/>
          <w:b w:val="0"/>
          <w:bCs w:val="0"/>
          <w:sz w:val="28"/>
          <w:szCs w:val="28"/>
          <w:highlight w:val="none"/>
        </w:rPr>
        <w:fldChar w:fldCharType="end"/>
      </w:r>
      <w:r>
        <w:rPr>
          <w:rFonts w:hint="eastAsia" w:ascii="仿宋" w:hAnsi="仿宋" w:eastAsia="仿宋" w:cs="仿宋"/>
          <w:b w:val="0"/>
          <w:bCs w:val="0"/>
          <w:sz w:val="28"/>
          <w:szCs w:val="22"/>
          <w:highlight w:val="none"/>
        </w:rPr>
        <w:fldChar w:fldCharType="end"/>
      </w:r>
    </w:p>
    <w:p w14:paraId="70BF73DF">
      <w:pPr>
        <w:pStyle w:val="30"/>
        <w:tabs>
          <w:tab w:val="right" w:leader="dot" w:pos="8306"/>
          <w:tab w:val="clear" w:pos="8985"/>
        </w:tabs>
        <w:spacing w:line="360" w:lineRule="auto"/>
        <w:rPr>
          <w:rFonts w:hint="eastAsia" w:ascii="仿宋" w:hAnsi="仿宋" w:eastAsia="仿宋" w:cs="仿宋"/>
          <w:b w:val="0"/>
          <w:bCs w:val="0"/>
          <w:sz w:val="28"/>
          <w:szCs w:val="28"/>
          <w:highlight w:val="none"/>
        </w:rPr>
      </w:pPr>
      <w:r>
        <w:rPr>
          <w:rFonts w:hint="eastAsia" w:ascii="仿宋" w:hAnsi="仿宋" w:eastAsia="仿宋" w:cs="仿宋"/>
          <w:b w:val="0"/>
          <w:bCs w:val="0"/>
          <w:sz w:val="28"/>
          <w:szCs w:val="22"/>
          <w:highlight w:val="none"/>
        </w:rPr>
        <w:fldChar w:fldCharType="begin"/>
      </w:r>
      <w:r>
        <w:rPr>
          <w:rFonts w:hint="eastAsia" w:ascii="仿宋" w:hAnsi="仿宋" w:eastAsia="仿宋" w:cs="仿宋"/>
          <w:b w:val="0"/>
          <w:bCs w:val="0"/>
          <w:sz w:val="28"/>
          <w:szCs w:val="22"/>
          <w:highlight w:val="none"/>
        </w:rPr>
        <w:instrText xml:space="preserve"> HYPERLINK \l _Toc2691 </w:instrText>
      </w:r>
      <w:r>
        <w:rPr>
          <w:rFonts w:hint="eastAsia" w:ascii="仿宋" w:hAnsi="仿宋" w:eastAsia="仿宋" w:cs="仿宋"/>
          <w:b w:val="0"/>
          <w:bCs w:val="0"/>
          <w:sz w:val="28"/>
          <w:szCs w:val="22"/>
          <w:highlight w:val="none"/>
        </w:rPr>
        <w:fldChar w:fldCharType="separate"/>
      </w:r>
      <w:r>
        <w:rPr>
          <w:rFonts w:hint="eastAsia" w:ascii="仿宋" w:hAnsi="仿宋" w:eastAsia="仿宋" w:cs="仿宋"/>
          <w:b w:val="0"/>
          <w:bCs w:val="0"/>
          <w:sz w:val="28"/>
          <w:szCs w:val="28"/>
          <w:highlight w:val="none"/>
          <w:lang w:eastAsia="zh-CN"/>
        </w:rPr>
        <w:t>第二部分</w:t>
      </w:r>
      <w:r>
        <w:rPr>
          <w:rFonts w:hint="eastAsia" w:ascii="仿宋" w:hAnsi="仿宋" w:eastAsia="仿宋" w:cs="仿宋"/>
          <w:b w:val="0"/>
          <w:bCs w:val="0"/>
          <w:sz w:val="28"/>
          <w:szCs w:val="28"/>
          <w:highlight w:val="none"/>
          <w:lang w:val="en-US" w:eastAsia="zh-CN"/>
        </w:rPr>
        <w:t xml:space="preserve"> </w:t>
      </w:r>
      <w:r>
        <w:rPr>
          <w:rFonts w:hint="eastAsia" w:ascii="仿宋" w:hAnsi="仿宋" w:eastAsia="仿宋" w:cs="仿宋"/>
          <w:b w:val="0"/>
          <w:bCs w:val="0"/>
          <w:sz w:val="28"/>
          <w:szCs w:val="28"/>
          <w:highlight w:val="none"/>
        </w:rPr>
        <w:t xml:space="preserve"> 投标须知</w:t>
      </w:r>
      <w:r>
        <w:rPr>
          <w:rFonts w:hint="eastAsia" w:ascii="仿宋" w:hAnsi="仿宋" w:eastAsia="仿宋" w:cs="仿宋"/>
          <w:b w:val="0"/>
          <w:bCs w:val="0"/>
          <w:sz w:val="28"/>
          <w:szCs w:val="28"/>
          <w:highlight w:val="none"/>
        </w:rPr>
        <w:tab/>
      </w:r>
      <w:r>
        <w:rPr>
          <w:rFonts w:hint="eastAsia" w:ascii="仿宋" w:hAnsi="仿宋" w:eastAsia="仿宋" w:cs="仿宋"/>
          <w:b w:val="0"/>
          <w:bCs w:val="0"/>
          <w:sz w:val="28"/>
          <w:szCs w:val="28"/>
          <w:highlight w:val="none"/>
        </w:rPr>
        <w:fldChar w:fldCharType="begin"/>
      </w:r>
      <w:r>
        <w:rPr>
          <w:rFonts w:hint="eastAsia" w:ascii="仿宋" w:hAnsi="仿宋" w:eastAsia="仿宋" w:cs="仿宋"/>
          <w:b w:val="0"/>
          <w:bCs w:val="0"/>
          <w:sz w:val="28"/>
          <w:szCs w:val="28"/>
          <w:highlight w:val="none"/>
        </w:rPr>
        <w:instrText xml:space="preserve"> PAGEREF _Toc2691 \h </w:instrText>
      </w:r>
      <w:r>
        <w:rPr>
          <w:rFonts w:hint="eastAsia" w:ascii="仿宋" w:hAnsi="仿宋" w:eastAsia="仿宋" w:cs="仿宋"/>
          <w:b w:val="0"/>
          <w:bCs w:val="0"/>
          <w:sz w:val="28"/>
          <w:szCs w:val="28"/>
          <w:highlight w:val="none"/>
        </w:rPr>
        <w:fldChar w:fldCharType="separate"/>
      </w:r>
      <w:r>
        <w:rPr>
          <w:rFonts w:hint="eastAsia" w:ascii="仿宋" w:hAnsi="仿宋" w:eastAsia="仿宋" w:cs="仿宋"/>
          <w:b w:val="0"/>
          <w:bCs w:val="0"/>
          <w:sz w:val="28"/>
          <w:szCs w:val="28"/>
          <w:highlight w:val="none"/>
        </w:rPr>
        <w:t>5</w:t>
      </w:r>
      <w:r>
        <w:rPr>
          <w:rFonts w:hint="eastAsia" w:ascii="仿宋" w:hAnsi="仿宋" w:eastAsia="仿宋" w:cs="仿宋"/>
          <w:b w:val="0"/>
          <w:bCs w:val="0"/>
          <w:sz w:val="28"/>
          <w:szCs w:val="28"/>
          <w:highlight w:val="none"/>
        </w:rPr>
        <w:fldChar w:fldCharType="end"/>
      </w:r>
      <w:r>
        <w:rPr>
          <w:rFonts w:hint="eastAsia" w:ascii="仿宋" w:hAnsi="仿宋" w:eastAsia="仿宋" w:cs="仿宋"/>
          <w:b w:val="0"/>
          <w:bCs w:val="0"/>
          <w:sz w:val="28"/>
          <w:szCs w:val="22"/>
          <w:highlight w:val="none"/>
        </w:rPr>
        <w:fldChar w:fldCharType="end"/>
      </w:r>
    </w:p>
    <w:p w14:paraId="78674DB4">
      <w:pPr>
        <w:pStyle w:val="30"/>
        <w:tabs>
          <w:tab w:val="right" w:leader="dot" w:pos="8306"/>
          <w:tab w:val="clear" w:pos="8985"/>
        </w:tabs>
        <w:spacing w:line="360" w:lineRule="auto"/>
        <w:rPr>
          <w:rFonts w:hint="eastAsia" w:ascii="仿宋" w:hAnsi="仿宋" w:eastAsia="仿宋" w:cs="仿宋"/>
          <w:b w:val="0"/>
          <w:bCs w:val="0"/>
          <w:sz w:val="28"/>
          <w:szCs w:val="28"/>
          <w:highlight w:val="none"/>
        </w:rPr>
      </w:pPr>
      <w:r>
        <w:rPr>
          <w:rFonts w:hint="eastAsia" w:ascii="仿宋" w:hAnsi="仿宋" w:eastAsia="仿宋" w:cs="仿宋"/>
          <w:b w:val="0"/>
          <w:bCs w:val="0"/>
          <w:sz w:val="28"/>
          <w:szCs w:val="22"/>
          <w:highlight w:val="none"/>
        </w:rPr>
        <w:fldChar w:fldCharType="begin"/>
      </w:r>
      <w:r>
        <w:rPr>
          <w:rFonts w:hint="eastAsia" w:ascii="仿宋" w:hAnsi="仿宋" w:eastAsia="仿宋" w:cs="仿宋"/>
          <w:b w:val="0"/>
          <w:bCs w:val="0"/>
          <w:sz w:val="28"/>
          <w:szCs w:val="22"/>
          <w:highlight w:val="none"/>
        </w:rPr>
        <w:instrText xml:space="preserve"> HYPERLINK \l _Toc10256 </w:instrText>
      </w:r>
      <w:r>
        <w:rPr>
          <w:rFonts w:hint="eastAsia" w:ascii="仿宋" w:hAnsi="仿宋" w:eastAsia="仿宋" w:cs="仿宋"/>
          <w:b w:val="0"/>
          <w:bCs w:val="0"/>
          <w:sz w:val="28"/>
          <w:szCs w:val="22"/>
          <w:highlight w:val="none"/>
        </w:rPr>
        <w:fldChar w:fldCharType="separate"/>
      </w:r>
      <w:r>
        <w:rPr>
          <w:rFonts w:hint="eastAsia" w:ascii="仿宋" w:hAnsi="仿宋" w:eastAsia="仿宋" w:cs="仿宋"/>
          <w:b w:val="0"/>
          <w:bCs w:val="0"/>
          <w:sz w:val="28"/>
          <w:szCs w:val="28"/>
          <w:highlight w:val="none"/>
          <w:lang w:val="en-US" w:eastAsia="zh-CN"/>
        </w:rPr>
        <w:t>第三部分</w:t>
      </w:r>
      <w:r>
        <w:rPr>
          <w:rFonts w:hint="eastAsia" w:ascii="仿宋" w:hAnsi="仿宋" w:eastAsia="仿宋" w:cs="仿宋"/>
          <w:b w:val="0"/>
          <w:bCs w:val="0"/>
          <w:sz w:val="28"/>
          <w:szCs w:val="28"/>
          <w:highlight w:val="none"/>
        </w:rPr>
        <w:t xml:space="preserve"> </w:t>
      </w:r>
      <w:r>
        <w:rPr>
          <w:rFonts w:hint="eastAsia" w:ascii="仿宋" w:hAnsi="仿宋" w:eastAsia="仿宋" w:cs="仿宋"/>
          <w:b w:val="0"/>
          <w:bCs w:val="0"/>
          <w:sz w:val="28"/>
          <w:szCs w:val="28"/>
          <w:highlight w:val="none"/>
          <w:lang w:val="en-US" w:eastAsia="zh-CN"/>
        </w:rPr>
        <w:t xml:space="preserve"> </w:t>
      </w:r>
      <w:r>
        <w:rPr>
          <w:rFonts w:hint="eastAsia" w:ascii="仿宋" w:hAnsi="仿宋" w:eastAsia="仿宋" w:cs="仿宋"/>
          <w:b w:val="0"/>
          <w:bCs w:val="0"/>
          <w:sz w:val="28"/>
          <w:szCs w:val="28"/>
          <w:highlight w:val="none"/>
          <w:lang w:eastAsia="zh-CN"/>
        </w:rPr>
        <w:t>招标</w:t>
      </w:r>
      <w:r>
        <w:rPr>
          <w:rFonts w:hint="eastAsia" w:ascii="仿宋" w:hAnsi="仿宋" w:eastAsia="仿宋" w:cs="仿宋"/>
          <w:b w:val="0"/>
          <w:bCs w:val="0"/>
          <w:sz w:val="28"/>
          <w:szCs w:val="28"/>
          <w:highlight w:val="none"/>
        </w:rPr>
        <w:t>内容与要求</w:t>
      </w:r>
      <w:r>
        <w:rPr>
          <w:rFonts w:hint="eastAsia" w:ascii="仿宋" w:hAnsi="仿宋" w:eastAsia="仿宋" w:cs="仿宋"/>
          <w:b w:val="0"/>
          <w:bCs w:val="0"/>
          <w:sz w:val="28"/>
          <w:szCs w:val="28"/>
          <w:highlight w:val="none"/>
        </w:rPr>
        <w:tab/>
      </w:r>
      <w:r>
        <w:rPr>
          <w:rFonts w:hint="eastAsia" w:ascii="仿宋" w:hAnsi="仿宋" w:eastAsia="仿宋" w:cs="仿宋"/>
          <w:b w:val="0"/>
          <w:bCs w:val="0"/>
          <w:sz w:val="28"/>
          <w:szCs w:val="28"/>
          <w:highlight w:val="none"/>
        </w:rPr>
        <w:fldChar w:fldCharType="begin"/>
      </w:r>
      <w:r>
        <w:rPr>
          <w:rFonts w:hint="eastAsia" w:ascii="仿宋" w:hAnsi="仿宋" w:eastAsia="仿宋" w:cs="仿宋"/>
          <w:b w:val="0"/>
          <w:bCs w:val="0"/>
          <w:sz w:val="28"/>
          <w:szCs w:val="28"/>
          <w:highlight w:val="none"/>
        </w:rPr>
        <w:instrText xml:space="preserve"> PAGEREF _Toc10256 \h </w:instrText>
      </w:r>
      <w:r>
        <w:rPr>
          <w:rFonts w:hint="eastAsia" w:ascii="仿宋" w:hAnsi="仿宋" w:eastAsia="仿宋" w:cs="仿宋"/>
          <w:b w:val="0"/>
          <w:bCs w:val="0"/>
          <w:sz w:val="28"/>
          <w:szCs w:val="28"/>
          <w:highlight w:val="none"/>
        </w:rPr>
        <w:fldChar w:fldCharType="separate"/>
      </w:r>
      <w:r>
        <w:rPr>
          <w:rFonts w:hint="eastAsia" w:ascii="仿宋" w:hAnsi="仿宋" w:eastAsia="仿宋" w:cs="仿宋"/>
          <w:b w:val="0"/>
          <w:bCs w:val="0"/>
          <w:sz w:val="28"/>
          <w:szCs w:val="28"/>
          <w:highlight w:val="none"/>
        </w:rPr>
        <w:t>32</w:t>
      </w:r>
      <w:r>
        <w:rPr>
          <w:rFonts w:hint="eastAsia" w:ascii="仿宋" w:hAnsi="仿宋" w:eastAsia="仿宋" w:cs="仿宋"/>
          <w:b w:val="0"/>
          <w:bCs w:val="0"/>
          <w:sz w:val="28"/>
          <w:szCs w:val="28"/>
          <w:highlight w:val="none"/>
        </w:rPr>
        <w:fldChar w:fldCharType="end"/>
      </w:r>
      <w:r>
        <w:rPr>
          <w:rFonts w:hint="eastAsia" w:ascii="仿宋" w:hAnsi="仿宋" w:eastAsia="仿宋" w:cs="仿宋"/>
          <w:b w:val="0"/>
          <w:bCs w:val="0"/>
          <w:sz w:val="28"/>
          <w:szCs w:val="22"/>
          <w:highlight w:val="none"/>
        </w:rPr>
        <w:fldChar w:fldCharType="end"/>
      </w:r>
    </w:p>
    <w:p w14:paraId="7EB8425D">
      <w:pPr>
        <w:pStyle w:val="30"/>
        <w:tabs>
          <w:tab w:val="right" w:leader="dot" w:pos="8306"/>
          <w:tab w:val="clear" w:pos="8985"/>
        </w:tabs>
        <w:spacing w:line="360" w:lineRule="auto"/>
        <w:rPr>
          <w:rFonts w:hint="eastAsia" w:ascii="仿宋" w:hAnsi="仿宋" w:eastAsia="仿宋" w:cs="仿宋"/>
          <w:b w:val="0"/>
          <w:bCs w:val="0"/>
          <w:sz w:val="28"/>
          <w:szCs w:val="28"/>
          <w:highlight w:val="none"/>
        </w:rPr>
      </w:pPr>
      <w:r>
        <w:rPr>
          <w:rFonts w:hint="eastAsia" w:ascii="仿宋" w:hAnsi="仿宋" w:eastAsia="仿宋" w:cs="仿宋"/>
          <w:b w:val="0"/>
          <w:bCs w:val="0"/>
          <w:sz w:val="28"/>
          <w:szCs w:val="22"/>
          <w:highlight w:val="none"/>
        </w:rPr>
        <w:fldChar w:fldCharType="begin"/>
      </w:r>
      <w:r>
        <w:rPr>
          <w:rFonts w:hint="eastAsia" w:ascii="仿宋" w:hAnsi="仿宋" w:eastAsia="仿宋" w:cs="仿宋"/>
          <w:b w:val="0"/>
          <w:bCs w:val="0"/>
          <w:sz w:val="28"/>
          <w:szCs w:val="22"/>
          <w:highlight w:val="none"/>
        </w:rPr>
        <w:instrText xml:space="preserve"> HYPERLINK \l _Toc16250 </w:instrText>
      </w:r>
      <w:r>
        <w:rPr>
          <w:rFonts w:hint="eastAsia" w:ascii="仿宋" w:hAnsi="仿宋" w:eastAsia="仿宋" w:cs="仿宋"/>
          <w:b w:val="0"/>
          <w:bCs w:val="0"/>
          <w:sz w:val="28"/>
          <w:szCs w:val="22"/>
          <w:highlight w:val="none"/>
        </w:rPr>
        <w:fldChar w:fldCharType="separate"/>
      </w:r>
      <w:r>
        <w:rPr>
          <w:rFonts w:hint="eastAsia" w:ascii="仿宋" w:hAnsi="仿宋" w:eastAsia="仿宋" w:cs="仿宋"/>
          <w:b w:val="0"/>
          <w:bCs w:val="0"/>
          <w:sz w:val="28"/>
          <w:szCs w:val="28"/>
          <w:highlight w:val="none"/>
        </w:rPr>
        <w:t>第四部分  评标原则、程序与方法</w:t>
      </w:r>
      <w:r>
        <w:rPr>
          <w:rFonts w:hint="eastAsia" w:ascii="仿宋" w:hAnsi="仿宋" w:eastAsia="仿宋" w:cs="仿宋"/>
          <w:b w:val="0"/>
          <w:bCs w:val="0"/>
          <w:sz w:val="28"/>
          <w:szCs w:val="28"/>
          <w:highlight w:val="none"/>
        </w:rPr>
        <w:tab/>
      </w:r>
      <w:r>
        <w:rPr>
          <w:rFonts w:hint="eastAsia" w:ascii="仿宋" w:hAnsi="仿宋" w:eastAsia="仿宋" w:cs="仿宋"/>
          <w:b w:val="0"/>
          <w:bCs w:val="0"/>
          <w:sz w:val="28"/>
          <w:szCs w:val="28"/>
          <w:highlight w:val="none"/>
        </w:rPr>
        <w:fldChar w:fldCharType="begin"/>
      </w:r>
      <w:r>
        <w:rPr>
          <w:rFonts w:hint="eastAsia" w:ascii="仿宋" w:hAnsi="仿宋" w:eastAsia="仿宋" w:cs="仿宋"/>
          <w:b w:val="0"/>
          <w:bCs w:val="0"/>
          <w:sz w:val="28"/>
          <w:szCs w:val="28"/>
          <w:highlight w:val="none"/>
        </w:rPr>
        <w:instrText xml:space="preserve"> PAGEREF _Toc16250 \h </w:instrText>
      </w:r>
      <w:r>
        <w:rPr>
          <w:rFonts w:hint="eastAsia" w:ascii="仿宋" w:hAnsi="仿宋" w:eastAsia="仿宋" w:cs="仿宋"/>
          <w:b w:val="0"/>
          <w:bCs w:val="0"/>
          <w:sz w:val="28"/>
          <w:szCs w:val="28"/>
          <w:highlight w:val="none"/>
        </w:rPr>
        <w:fldChar w:fldCharType="separate"/>
      </w:r>
      <w:r>
        <w:rPr>
          <w:rFonts w:hint="eastAsia" w:ascii="仿宋" w:hAnsi="仿宋" w:eastAsia="仿宋" w:cs="仿宋"/>
          <w:b w:val="0"/>
          <w:bCs w:val="0"/>
          <w:sz w:val="28"/>
          <w:szCs w:val="28"/>
          <w:highlight w:val="none"/>
        </w:rPr>
        <w:t>34</w:t>
      </w:r>
      <w:r>
        <w:rPr>
          <w:rFonts w:hint="eastAsia" w:ascii="仿宋" w:hAnsi="仿宋" w:eastAsia="仿宋" w:cs="仿宋"/>
          <w:b w:val="0"/>
          <w:bCs w:val="0"/>
          <w:sz w:val="28"/>
          <w:szCs w:val="28"/>
          <w:highlight w:val="none"/>
        </w:rPr>
        <w:fldChar w:fldCharType="end"/>
      </w:r>
      <w:r>
        <w:rPr>
          <w:rFonts w:hint="eastAsia" w:ascii="仿宋" w:hAnsi="仿宋" w:eastAsia="仿宋" w:cs="仿宋"/>
          <w:b w:val="0"/>
          <w:bCs w:val="0"/>
          <w:sz w:val="28"/>
          <w:szCs w:val="22"/>
          <w:highlight w:val="none"/>
        </w:rPr>
        <w:fldChar w:fldCharType="end"/>
      </w:r>
    </w:p>
    <w:p w14:paraId="1AA2D914">
      <w:pPr>
        <w:pStyle w:val="30"/>
        <w:tabs>
          <w:tab w:val="right" w:leader="dot" w:pos="8306"/>
          <w:tab w:val="clear" w:pos="8985"/>
        </w:tabs>
        <w:spacing w:line="360" w:lineRule="auto"/>
        <w:rPr>
          <w:rFonts w:hint="eastAsia" w:ascii="仿宋" w:hAnsi="仿宋" w:eastAsia="仿宋" w:cs="仿宋"/>
          <w:b w:val="0"/>
          <w:bCs w:val="0"/>
          <w:sz w:val="28"/>
          <w:szCs w:val="28"/>
          <w:highlight w:val="none"/>
        </w:rPr>
      </w:pPr>
      <w:r>
        <w:rPr>
          <w:rFonts w:hint="eastAsia" w:ascii="仿宋" w:hAnsi="仿宋" w:eastAsia="仿宋" w:cs="仿宋"/>
          <w:b w:val="0"/>
          <w:bCs w:val="0"/>
          <w:sz w:val="28"/>
          <w:szCs w:val="22"/>
          <w:highlight w:val="none"/>
        </w:rPr>
        <w:fldChar w:fldCharType="begin"/>
      </w:r>
      <w:r>
        <w:rPr>
          <w:rFonts w:hint="eastAsia" w:ascii="仿宋" w:hAnsi="仿宋" w:eastAsia="仿宋" w:cs="仿宋"/>
          <w:b w:val="0"/>
          <w:bCs w:val="0"/>
          <w:sz w:val="28"/>
          <w:szCs w:val="22"/>
          <w:highlight w:val="none"/>
        </w:rPr>
        <w:instrText xml:space="preserve"> HYPERLINK \l _Toc5498 </w:instrText>
      </w:r>
      <w:r>
        <w:rPr>
          <w:rFonts w:hint="eastAsia" w:ascii="仿宋" w:hAnsi="仿宋" w:eastAsia="仿宋" w:cs="仿宋"/>
          <w:b w:val="0"/>
          <w:bCs w:val="0"/>
          <w:sz w:val="28"/>
          <w:szCs w:val="22"/>
          <w:highlight w:val="none"/>
        </w:rPr>
        <w:fldChar w:fldCharType="separate"/>
      </w:r>
      <w:r>
        <w:rPr>
          <w:rFonts w:hint="eastAsia" w:ascii="仿宋" w:hAnsi="仿宋" w:eastAsia="仿宋" w:cs="仿宋"/>
          <w:b w:val="0"/>
          <w:bCs w:val="0"/>
          <w:sz w:val="28"/>
          <w:szCs w:val="28"/>
          <w:highlight w:val="none"/>
        </w:rPr>
        <w:t>第五部分  投标文件（格式）</w:t>
      </w:r>
      <w:r>
        <w:rPr>
          <w:rFonts w:hint="eastAsia" w:ascii="仿宋" w:hAnsi="仿宋" w:eastAsia="仿宋" w:cs="仿宋"/>
          <w:b w:val="0"/>
          <w:bCs w:val="0"/>
          <w:sz w:val="28"/>
          <w:szCs w:val="28"/>
          <w:highlight w:val="none"/>
        </w:rPr>
        <w:tab/>
      </w:r>
      <w:r>
        <w:rPr>
          <w:rFonts w:hint="eastAsia" w:ascii="仿宋" w:hAnsi="仿宋" w:eastAsia="仿宋" w:cs="仿宋"/>
          <w:b w:val="0"/>
          <w:bCs w:val="0"/>
          <w:sz w:val="28"/>
          <w:szCs w:val="28"/>
          <w:highlight w:val="none"/>
        </w:rPr>
        <w:fldChar w:fldCharType="begin"/>
      </w:r>
      <w:r>
        <w:rPr>
          <w:rFonts w:hint="eastAsia" w:ascii="仿宋" w:hAnsi="仿宋" w:eastAsia="仿宋" w:cs="仿宋"/>
          <w:b w:val="0"/>
          <w:bCs w:val="0"/>
          <w:sz w:val="28"/>
          <w:szCs w:val="28"/>
          <w:highlight w:val="none"/>
        </w:rPr>
        <w:instrText xml:space="preserve"> PAGEREF _Toc5498 \h </w:instrText>
      </w:r>
      <w:r>
        <w:rPr>
          <w:rFonts w:hint="eastAsia" w:ascii="仿宋" w:hAnsi="仿宋" w:eastAsia="仿宋" w:cs="仿宋"/>
          <w:b w:val="0"/>
          <w:bCs w:val="0"/>
          <w:sz w:val="28"/>
          <w:szCs w:val="28"/>
          <w:highlight w:val="none"/>
        </w:rPr>
        <w:fldChar w:fldCharType="separate"/>
      </w:r>
      <w:r>
        <w:rPr>
          <w:rFonts w:hint="eastAsia" w:ascii="仿宋" w:hAnsi="仿宋" w:eastAsia="仿宋" w:cs="仿宋"/>
          <w:b w:val="0"/>
          <w:bCs w:val="0"/>
          <w:sz w:val="28"/>
          <w:szCs w:val="28"/>
          <w:highlight w:val="none"/>
        </w:rPr>
        <w:t>39</w:t>
      </w:r>
      <w:r>
        <w:rPr>
          <w:rFonts w:hint="eastAsia" w:ascii="仿宋" w:hAnsi="仿宋" w:eastAsia="仿宋" w:cs="仿宋"/>
          <w:b w:val="0"/>
          <w:bCs w:val="0"/>
          <w:sz w:val="28"/>
          <w:szCs w:val="28"/>
          <w:highlight w:val="none"/>
        </w:rPr>
        <w:fldChar w:fldCharType="end"/>
      </w:r>
      <w:r>
        <w:rPr>
          <w:rFonts w:hint="eastAsia" w:ascii="仿宋" w:hAnsi="仿宋" w:eastAsia="仿宋" w:cs="仿宋"/>
          <w:b w:val="0"/>
          <w:bCs w:val="0"/>
          <w:sz w:val="28"/>
          <w:szCs w:val="22"/>
          <w:highlight w:val="none"/>
        </w:rPr>
        <w:fldChar w:fldCharType="end"/>
      </w:r>
    </w:p>
    <w:p w14:paraId="038538F6">
      <w:pPr>
        <w:pStyle w:val="30"/>
        <w:tabs>
          <w:tab w:val="right" w:leader="dot" w:pos="8306"/>
          <w:tab w:val="clear" w:pos="8985"/>
        </w:tabs>
        <w:spacing w:line="360" w:lineRule="auto"/>
        <w:rPr>
          <w:rFonts w:hint="default"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2"/>
          <w:highlight w:val="none"/>
        </w:rPr>
        <w:fldChar w:fldCharType="begin"/>
      </w:r>
      <w:r>
        <w:rPr>
          <w:rFonts w:hint="eastAsia" w:ascii="仿宋" w:hAnsi="仿宋" w:eastAsia="仿宋" w:cs="仿宋"/>
          <w:b w:val="0"/>
          <w:bCs w:val="0"/>
          <w:sz w:val="28"/>
          <w:szCs w:val="22"/>
          <w:highlight w:val="none"/>
        </w:rPr>
        <w:instrText xml:space="preserve"> HYPERLINK \l _Toc13194 </w:instrText>
      </w:r>
      <w:r>
        <w:rPr>
          <w:rFonts w:hint="eastAsia" w:ascii="仿宋" w:hAnsi="仿宋" w:eastAsia="仿宋" w:cs="仿宋"/>
          <w:b w:val="0"/>
          <w:bCs w:val="0"/>
          <w:sz w:val="28"/>
          <w:szCs w:val="22"/>
          <w:highlight w:val="none"/>
        </w:rPr>
        <w:fldChar w:fldCharType="separate"/>
      </w:r>
      <w:r>
        <w:rPr>
          <w:rFonts w:hint="eastAsia" w:ascii="仿宋" w:hAnsi="仿宋" w:eastAsia="仿宋" w:cs="仿宋"/>
          <w:b w:val="0"/>
          <w:bCs w:val="0"/>
          <w:sz w:val="28"/>
          <w:szCs w:val="28"/>
          <w:highlight w:val="none"/>
        </w:rPr>
        <w:t>第六部分  合同</w:t>
      </w:r>
      <w:r>
        <w:rPr>
          <w:rFonts w:hint="eastAsia" w:ascii="仿宋" w:hAnsi="仿宋" w:eastAsia="仿宋" w:cs="仿宋"/>
          <w:b w:val="0"/>
          <w:bCs w:val="0"/>
          <w:sz w:val="28"/>
          <w:szCs w:val="28"/>
          <w:highlight w:val="none"/>
          <w:lang w:eastAsia="zh-CN"/>
        </w:rPr>
        <w:t>（</w:t>
      </w:r>
      <w:r>
        <w:rPr>
          <w:rFonts w:hint="eastAsia" w:ascii="仿宋" w:hAnsi="仿宋" w:eastAsia="仿宋" w:cs="仿宋"/>
          <w:b w:val="0"/>
          <w:bCs w:val="0"/>
          <w:sz w:val="28"/>
          <w:szCs w:val="28"/>
          <w:highlight w:val="none"/>
          <w:lang w:val="en-US" w:eastAsia="zh-CN"/>
        </w:rPr>
        <w:t>范本</w:t>
      </w:r>
      <w:r>
        <w:rPr>
          <w:rFonts w:hint="eastAsia" w:ascii="仿宋" w:hAnsi="仿宋" w:eastAsia="仿宋" w:cs="仿宋"/>
          <w:b w:val="0"/>
          <w:bCs w:val="0"/>
          <w:sz w:val="28"/>
          <w:szCs w:val="28"/>
          <w:highlight w:val="none"/>
          <w:lang w:eastAsia="zh-CN"/>
        </w:rPr>
        <w:t>）</w:t>
      </w:r>
      <w:r>
        <w:rPr>
          <w:rFonts w:hint="eastAsia" w:ascii="仿宋" w:hAnsi="仿宋" w:eastAsia="仿宋" w:cs="仿宋"/>
          <w:b w:val="0"/>
          <w:bCs w:val="0"/>
          <w:sz w:val="28"/>
          <w:szCs w:val="28"/>
          <w:highlight w:val="none"/>
        </w:rPr>
        <w:tab/>
      </w:r>
      <w:r>
        <w:rPr>
          <w:rFonts w:hint="eastAsia" w:ascii="仿宋" w:hAnsi="仿宋" w:eastAsia="仿宋" w:cs="仿宋"/>
          <w:b w:val="0"/>
          <w:bCs w:val="0"/>
          <w:sz w:val="28"/>
          <w:szCs w:val="22"/>
          <w:highlight w:val="none"/>
        </w:rPr>
        <w:fldChar w:fldCharType="end"/>
      </w:r>
      <w:r>
        <w:rPr>
          <w:rFonts w:hint="eastAsia" w:ascii="仿宋" w:hAnsi="仿宋" w:eastAsia="仿宋" w:cs="仿宋"/>
          <w:b w:val="0"/>
          <w:bCs w:val="0"/>
          <w:sz w:val="28"/>
          <w:szCs w:val="22"/>
          <w:highlight w:val="none"/>
          <w:lang w:val="en-US" w:eastAsia="zh-CN"/>
        </w:rPr>
        <w:t>60</w:t>
      </w:r>
    </w:p>
    <w:p w14:paraId="33A57225">
      <w:pPr>
        <w:spacing w:line="360" w:lineRule="auto"/>
        <w:jc w:val="distribute"/>
        <w:rPr>
          <w:rFonts w:hint="eastAsia" w:ascii="仿宋" w:hAnsi="仿宋" w:eastAsia="仿宋" w:cs="仿宋"/>
          <w:b w:val="0"/>
          <w:bCs w:val="0"/>
          <w:szCs w:val="24"/>
          <w:highlight w:val="none"/>
        </w:rPr>
        <w:sectPr>
          <w:headerReference r:id="rId10" w:type="first"/>
          <w:footerReference r:id="rId12" w:type="first"/>
          <w:headerReference r:id="rId9" w:type="default"/>
          <w:footerReference r:id="rId11" w:type="default"/>
          <w:pgSz w:w="11906" w:h="16838"/>
          <w:pgMar w:top="1440" w:right="1800" w:bottom="1440" w:left="1800" w:header="851" w:footer="992" w:gutter="0"/>
          <w:pgBorders>
            <w:top w:val="none" w:sz="0" w:space="0"/>
            <w:left w:val="none" w:sz="0" w:space="0"/>
            <w:bottom w:val="none" w:sz="0" w:space="0"/>
            <w:right w:val="none" w:sz="0" w:space="0"/>
          </w:pgBorders>
          <w:pgNumType w:start="1"/>
          <w:cols w:space="720" w:num="1"/>
          <w:titlePg/>
          <w:docGrid w:linePitch="319" w:charSpace="0"/>
        </w:sectPr>
      </w:pPr>
      <w:r>
        <w:rPr>
          <w:rFonts w:hint="eastAsia" w:ascii="仿宋" w:hAnsi="仿宋" w:eastAsia="仿宋" w:cs="仿宋"/>
          <w:b w:val="0"/>
          <w:bCs w:val="0"/>
          <w:sz w:val="20"/>
          <w:szCs w:val="22"/>
          <w:highlight w:val="none"/>
        </w:rPr>
        <w:fldChar w:fldCharType="end"/>
      </w:r>
    </w:p>
    <w:p w14:paraId="0BA1AF84">
      <w:pPr>
        <w:pStyle w:val="3"/>
        <w:bidi w:val="0"/>
        <w:rPr>
          <w:rFonts w:hint="eastAsia"/>
          <w:highlight w:val="none"/>
        </w:rPr>
      </w:pPr>
      <w:bookmarkStart w:id="1" w:name="_Toc1540"/>
      <w:r>
        <w:rPr>
          <w:rFonts w:hint="eastAsia"/>
          <w:highlight w:val="none"/>
        </w:rPr>
        <w:t>第一部分  招标公告</w:t>
      </w:r>
      <w:bookmarkEnd w:id="1"/>
    </w:p>
    <w:p w14:paraId="583842DF">
      <w:pPr>
        <w:keepNext w:val="0"/>
        <w:keepLines w:val="0"/>
        <w:pageBreakBefore w:val="0"/>
        <w:shd w:val="clear" w:color="auto" w:fill="auto"/>
        <w:kinsoku/>
        <w:wordWrap/>
        <w:overflowPunct/>
        <w:topLinePunct w:val="0"/>
        <w:autoSpaceDE/>
        <w:autoSpaceDN/>
        <w:bidi w:val="0"/>
        <w:snapToGrid/>
        <w:spacing w:line="410" w:lineRule="exact"/>
        <w:contextualSpacing/>
        <w:jc w:val="center"/>
        <w:textAlignment w:val="auto"/>
        <w:rPr>
          <w:rFonts w:hint="default" w:ascii="仿宋" w:hAnsi="仿宋" w:eastAsia="仿宋" w:cs="仿宋"/>
          <w:b/>
          <w:bCs/>
          <w:spacing w:val="8"/>
          <w:sz w:val="28"/>
          <w:szCs w:val="28"/>
          <w:highlight w:val="none"/>
          <w:lang w:val="en-US" w:eastAsia="zh-CN"/>
        </w:rPr>
      </w:pPr>
      <w:bookmarkStart w:id="2" w:name="OLE_LINK7"/>
      <w:r>
        <w:rPr>
          <w:rFonts w:hint="eastAsia" w:ascii="仿宋" w:hAnsi="仿宋" w:eastAsia="仿宋" w:cs="仿宋"/>
          <w:b/>
          <w:bCs/>
          <w:spacing w:val="8"/>
          <w:sz w:val="28"/>
          <w:szCs w:val="28"/>
          <w:highlight w:val="none"/>
          <w:lang w:eastAsia="zh-CN"/>
        </w:rPr>
        <w:t>选定车辆定点加油服务单位（</w:t>
      </w:r>
      <w:r>
        <w:rPr>
          <w:rFonts w:hint="eastAsia" w:ascii="仿宋" w:hAnsi="仿宋" w:eastAsia="仿宋" w:cs="仿宋"/>
          <w:b/>
          <w:bCs/>
          <w:spacing w:val="8"/>
          <w:sz w:val="28"/>
          <w:szCs w:val="28"/>
          <w:highlight w:val="none"/>
          <w:lang w:val="en-US" w:eastAsia="zh-CN"/>
        </w:rPr>
        <w:t>第4轮</w:t>
      </w:r>
      <w:r>
        <w:rPr>
          <w:rFonts w:hint="eastAsia" w:ascii="仿宋" w:hAnsi="仿宋" w:eastAsia="仿宋" w:cs="仿宋"/>
          <w:b/>
          <w:bCs/>
          <w:spacing w:val="8"/>
          <w:sz w:val="28"/>
          <w:szCs w:val="28"/>
          <w:highlight w:val="none"/>
          <w:lang w:eastAsia="zh-CN"/>
        </w:rPr>
        <w:t>）</w:t>
      </w:r>
      <w:r>
        <w:rPr>
          <w:rFonts w:hint="eastAsia" w:ascii="仿宋" w:hAnsi="仿宋" w:eastAsia="仿宋" w:cs="仿宋"/>
          <w:b/>
          <w:bCs/>
          <w:spacing w:val="8"/>
          <w:sz w:val="28"/>
          <w:szCs w:val="28"/>
          <w:highlight w:val="none"/>
          <w:lang w:val="en-US" w:eastAsia="zh-CN"/>
        </w:rPr>
        <w:t>招标公告</w:t>
      </w:r>
    </w:p>
    <w:p w14:paraId="516D1E1C">
      <w:pPr>
        <w:keepNext w:val="0"/>
        <w:keepLines w:val="0"/>
        <w:pageBreakBefore w:val="0"/>
        <w:shd w:val="clear" w:color="auto" w:fill="auto"/>
        <w:kinsoku/>
        <w:wordWrap/>
        <w:overflowPunct/>
        <w:topLinePunct w:val="0"/>
        <w:autoSpaceDE/>
        <w:autoSpaceDN/>
        <w:bidi w:val="0"/>
        <w:snapToGrid/>
        <w:spacing w:line="410" w:lineRule="exact"/>
        <w:contextualSpacing/>
        <w:jc w:val="center"/>
        <w:textAlignment w:val="auto"/>
        <w:rPr>
          <w:rFonts w:hint="eastAsia" w:ascii="仿宋" w:hAnsi="仿宋" w:eastAsia="仿宋" w:cs="仿宋"/>
          <w:spacing w:val="8"/>
          <w:sz w:val="24"/>
          <w:szCs w:val="24"/>
          <w:highlight w:val="none"/>
          <w:lang w:eastAsia="zh-CN"/>
        </w:rPr>
      </w:pPr>
      <w:r>
        <w:rPr>
          <w:rFonts w:hint="eastAsia" w:ascii="仿宋" w:hAnsi="仿宋" w:eastAsia="仿宋" w:cs="仿宋"/>
          <w:b/>
          <w:bCs/>
          <w:spacing w:val="8"/>
          <w:sz w:val="28"/>
          <w:szCs w:val="28"/>
          <w:highlight w:val="none"/>
          <w:lang w:eastAsia="zh-CN"/>
        </w:rPr>
        <w:t>（</w:t>
      </w:r>
      <w:r>
        <w:rPr>
          <w:rFonts w:hint="eastAsia" w:ascii="仿宋" w:hAnsi="仿宋" w:eastAsia="仿宋" w:cs="仿宋"/>
          <w:b/>
          <w:bCs/>
          <w:spacing w:val="8"/>
          <w:sz w:val="28"/>
          <w:szCs w:val="28"/>
          <w:highlight w:val="none"/>
          <w:lang w:val="en-US" w:eastAsia="zh-CN"/>
        </w:rPr>
        <w:t>招标编号：WHJTCZ2026-0007</w:t>
      </w:r>
      <w:r>
        <w:rPr>
          <w:rFonts w:hint="eastAsia" w:ascii="仿宋" w:hAnsi="仿宋" w:eastAsia="仿宋" w:cs="仿宋"/>
          <w:b/>
          <w:bCs/>
          <w:spacing w:val="8"/>
          <w:sz w:val="28"/>
          <w:szCs w:val="28"/>
          <w:highlight w:val="none"/>
          <w:lang w:eastAsia="zh-CN"/>
        </w:rPr>
        <w:t>）</w:t>
      </w:r>
    </w:p>
    <w:p w14:paraId="22B0744C">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z w:val="24"/>
          <w:szCs w:val="24"/>
          <w:highlight w:val="none"/>
        </w:rPr>
      </w:pPr>
      <w:r>
        <w:rPr>
          <w:rFonts w:hint="eastAsia" w:ascii="仿宋" w:hAnsi="仿宋" w:eastAsia="仿宋" w:cs="仿宋"/>
          <w:spacing w:val="8"/>
          <w:sz w:val="24"/>
          <w:szCs w:val="24"/>
          <w:highlight w:val="none"/>
        </w:rPr>
        <w:t>山东富尔工程咨询管理有限公司</w:t>
      </w:r>
      <w:bookmarkStart w:id="21" w:name="_GoBack"/>
      <w:bookmarkEnd w:id="21"/>
      <w:r>
        <w:rPr>
          <w:rFonts w:hint="eastAsia" w:ascii="仿宋" w:hAnsi="仿宋" w:eastAsia="仿宋" w:cs="仿宋"/>
          <w:spacing w:val="8"/>
          <w:sz w:val="24"/>
          <w:szCs w:val="24"/>
          <w:highlight w:val="none"/>
        </w:rPr>
        <w:t>接受</w:t>
      </w:r>
      <w:r>
        <w:rPr>
          <w:rFonts w:hint="eastAsia" w:ascii="仿宋" w:hAnsi="仿宋" w:eastAsia="仿宋" w:cs="仿宋"/>
          <w:spacing w:val="8"/>
          <w:sz w:val="24"/>
          <w:szCs w:val="24"/>
          <w:highlight w:val="none"/>
          <w:lang w:eastAsia="zh-CN"/>
        </w:rPr>
        <w:t>威海交通场站管理有限公司</w:t>
      </w:r>
      <w:r>
        <w:rPr>
          <w:rFonts w:hint="eastAsia" w:ascii="仿宋" w:hAnsi="仿宋" w:eastAsia="仿宋" w:cs="仿宋"/>
          <w:spacing w:val="8"/>
          <w:sz w:val="24"/>
          <w:szCs w:val="24"/>
          <w:highlight w:val="none"/>
        </w:rPr>
        <w:t>委托，对</w:t>
      </w:r>
      <w:r>
        <w:rPr>
          <w:rFonts w:hint="eastAsia" w:ascii="仿宋" w:hAnsi="仿宋" w:eastAsia="仿宋" w:cs="仿宋"/>
          <w:spacing w:val="8"/>
          <w:sz w:val="24"/>
          <w:szCs w:val="24"/>
          <w:highlight w:val="none"/>
          <w:lang w:val="en-US" w:eastAsia="zh-CN"/>
        </w:rPr>
        <w:t>选定车辆定点加油服务单位</w:t>
      </w:r>
      <w:r>
        <w:rPr>
          <w:rFonts w:hint="eastAsia" w:ascii="仿宋" w:hAnsi="仿宋" w:eastAsia="仿宋" w:cs="仿宋"/>
          <w:spacing w:val="8"/>
          <w:sz w:val="24"/>
          <w:szCs w:val="24"/>
          <w:highlight w:val="none"/>
        </w:rPr>
        <w:t>以公开招标方式确定中标单位。</w:t>
      </w:r>
    </w:p>
    <w:p w14:paraId="6AC83CDF">
      <w:pPr>
        <w:keepNext w:val="0"/>
        <w:keepLines w:val="0"/>
        <w:pageBreakBefore w:val="0"/>
        <w:kinsoku/>
        <w:wordWrap/>
        <w:overflowPunct/>
        <w:topLinePunct w:val="0"/>
        <w:autoSpaceDE/>
        <w:autoSpaceDN/>
        <w:bidi w:val="0"/>
        <w:snapToGrid/>
        <w:spacing w:line="410" w:lineRule="exact"/>
        <w:ind w:firstLine="482" w:firstLineChars="200"/>
        <w:contextualSpacing/>
        <w:textAlignment w:val="auto"/>
        <w:rPr>
          <w:rFonts w:hint="eastAsia" w:ascii="仿宋" w:hAnsi="仿宋" w:eastAsia="仿宋" w:cs="仿宋"/>
          <w:b/>
          <w:bCs/>
          <w:sz w:val="24"/>
          <w:szCs w:val="24"/>
          <w:highlight w:val="none"/>
          <w:lang w:eastAsia="zh-CN"/>
        </w:rPr>
      </w:pPr>
      <w:bookmarkStart w:id="3" w:name="_Toc136939785"/>
      <w:r>
        <w:rPr>
          <w:rFonts w:hint="eastAsia" w:ascii="仿宋" w:hAnsi="仿宋" w:eastAsia="仿宋" w:cs="仿宋"/>
          <w:b/>
          <w:bCs/>
          <w:sz w:val="24"/>
          <w:szCs w:val="24"/>
          <w:highlight w:val="none"/>
          <w:lang w:val="en-US" w:eastAsia="zh-CN"/>
        </w:rPr>
        <w:t>一、</w:t>
      </w:r>
      <w:r>
        <w:rPr>
          <w:rFonts w:hint="eastAsia" w:ascii="仿宋" w:hAnsi="仿宋" w:eastAsia="仿宋" w:cs="仿宋"/>
          <w:b/>
          <w:bCs/>
          <w:sz w:val="24"/>
          <w:szCs w:val="24"/>
          <w:highlight w:val="none"/>
        </w:rPr>
        <w:t>项目名称：</w:t>
      </w:r>
      <w:r>
        <w:rPr>
          <w:rFonts w:hint="eastAsia" w:ascii="仿宋" w:hAnsi="仿宋" w:eastAsia="仿宋" w:cs="仿宋"/>
          <w:b w:val="0"/>
          <w:bCs w:val="0"/>
          <w:sz w:val="24"/>
          <w:szCs w:val="24"/>
          <w:highlight w:val="none"/>
          <w:lang w:eastAsia="zh-CN"/>
        </w:rPr>
        <w:t>选定车辆定点加油服务单位</w:t>
      </w:r>
    </w:p>
    <w:p w14:paraId="08F33763">
      <w:pPr>
        <w:keepNext w:val="0"/>
        <w:keepLines w:val="0"/>
        <w:pageBreakBefore w:val="0"/>
        <w:kinsoku/>
        <w:wordWrap/>
        <w:overflowPunct/>
        <w:topLinePunct w:val="0"/>
        <w:autoSpaceDE/>
        <w:autoSpaceDN/>
        <w:bidi w:val="0"/>
        <w:snapToGrid/>
        <w:spacing w:line="410" w:lineRule="exact"/>
        <w:ind w:firstLine="482" w:firstLineChars="200"/>
        <w:contextualSpacing/>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二</w:t>
      </w:r>
      <w:r>
        <w:rPr>
          <w:rFonts w:hint="eastAsia" w:ascii="仿宋" w:hAnsi="仿宋" w:eastAsia="仿宋" w:cs="仿宋"/>
          <w:b/>
          <w:bCs/>
          <w:sz w:val="24"/>
          <w:szCs w:val="24"/>
          <w:highlight w:val="none"/>
        </w:rPr>
        <w:t>、项目概况</w:t>
      </w:r>
      <w:bookmarkEnd w:id="3"/>
      <w:bookmarkStart w:id="4" w:name="OLE_LINK3"/>
    </w:p>
    <w:bookmarkEnd w:id="4"/>
    <w:p w14:paraId="3C29D455">
      <w:pPr>
        <w:pStyle w:val="2"/>
        <w:keepNext w:val="0"/>
        <w:keepLines w:val="0"/>
        <w:pageBreakBefore w:val="0"/>
        <w:kinsoku/>
        <w:wordWrap/>
        <w:overflowPunct/>
        <w:topLinePunct w:val="0"/>
        <w:autoSpaceDE/>
        <w:autoSpaceDN/>
        <w:bidi w:val="0"/>
        <w:snapToGrid/>
        <w:spacing w:after="0" w:line="410" w:lineRule="exact"/>
        <w:ind w:firstLine="480" w:firstLineChars="200"/>
        <w:jc w:val="left"/>
        <w:textAlignment w:val="auto"/>
        <w:rPr>
          <w:rFonts w:hint="eastAsia" w:ascii="仿宋" w:hAnsi="仿宋" w:eastAsia="仿宋"/>
          <w:color w:val="000000"/>
          <w:sz w:val="24"/>
          <w:highlight w:val="none"/>
        </w:rPr>
      </w:pPr>
      <w:bookmarkStart w:id="5" w:name="OLE_LINK2"/>
      <w:r>
        <w:rPr>
          <w:rFonts w:hint="eastAsia" w:ascii="仿宋" w:hAnsi="仿宋" w:eastAsia="仿宋"/>
          <w:color w:val="000000"/>
          <w:sz w:val="24"/>
          <w:highlight w:val="none"/>
        </w:rPr>
        <w:t>1.项目名称：</w:t>
      </w:r>
      <w:bookmarkEnd w:id="5"/>
      <w:r>
        <w:rPr>
          <w:rFonts w:hint="eastAsia" w:ascii="仿宋" w:hAnsi="仿宋" w:eastAsia="仿宋"/>
          <w:color w:val="000000"/>
          <w:sz w:val="24"/>
          <w:highlight w:val="none"/>
          <w:lang w:val="en-US" w:eastAsia="zh-CN"/>
        </w:rPr>
        <w:t>选定车辆定点加油服务单位</w:t>
      </w:r>
    </w:p>
    <w:p w14:paraId="29C8AE6B">
      <w:pPr>
        <w:pStyle w:val="2"/>
        <w:keepNext w:val="0"/>
        <w:keepLines w:val="0"/>
        <w:pageBreakBefore w:val="0"/>
        <w:kinsoku/>
        <w:wordWrap/>
        <w:overflowPunct/>
        <w:topLinePunct w:val="0"/>
        <w:autoSpaceDE/>
        <w:autoSpaceDN/>
        <w:bidi w:val="0"/>
        <w:snapToGrid/>
        <w:spacing w:after="0" w:line="410" w:lineRule="exact"/>
        <w:ind w:firstLine="480" w:firstLineChars="200"/>
        <w:jc w:val="left"/>
        <w:textAlignment w:val="auto"/>
        <w:rPr>
          <w:rFonts w:hint="eastAsia" w:ascii="仿宋" w:hAnsi="仿宋" w:eastAsia="仿宋" w:cs="仿宋"/>
          <w:spacing w:val="8"/>
          <w:kern w:val="2"/>
          <w:sz w:val="24"/>
          <w:szCs w:val="24"/>
          <w:highlight w:val="none"/>
          <w:lang w:val="en-US" w:eastAsia="zh-CN" w:bidi="ar-SA"/>
        </w:rPr>
      </w:pPr>
      <w:r>
        <w:rPr>
          <w:rFonts w:hint="eastAsia" w:ascii="仿宋" w:hAnsi="仿宋" w:eastAsia="仿宋"/>
          <w:color w:val="000000"/>
          <w:sz w:val="24"/>
          <w:highlight w:val="none"/>
          <w:lang w:val="en-US" w:eastAsia="zh-CN"/>
        </w:rPr>
        <w:t>2</w:t>
      </w:r>
      <w:r>
        <w:rPr>
          <w:rFonts w:hint="eastAsia" w:ascii="仿宋" w:hAnsi="仿宋" w:eastAsia="仿宋"/>
          <w:color w:val="000000"/>
          <w:sz w:val="24"/>
          <w:highlight w:val="none"/>
        </w:rPr>
        <w:t>.</w:t>
      </w:r>
      <w:r>
        <w:rPr>
          <w:rFonts w:hint="eastAsia" w:ascii="仿宋" w:hAnsi="仿宋" w:eastAsia="仿宋" w:cs="仿宋"/>
          <w:spacing w:val="8"/>
          <w:kern w:val="2"/>
          <w:sz w:val="24"/>
          <w:szCs w:val="24"/>
          <w:highlight w:val="none"/>
          <w:lang w:val="en-US" w:eastAsia="zh-CN" w:bidi="ar-SA"/>
        </w:rPr>
        <w:t>项目概况：选定车辆定点加油服务单位。该项目本轮采购一个标包，具体内容详见下表。</w:t>
      </w:r>
    </w:p>
    <w:tbl>
      <w:tblPr>
        <w:tblStyle w:val="42"/>
        <w:tblW w:w="863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0"/>
        <w:gridCol w:w="3853"/>
        <w:gridCol w:w="1916"/>
        <w:gridCol w:w="1868"/>
      </w:tblGrid>
      <w:tr w14:paraId="1F6D1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1000" w:type="dxa"/>
            <w:noWrap w:val="0"/>
            <w:vAlign w:val="center"/>
          </w:tcPr>
          <w:p w14:paraId="60B36149">
            <w:pPr>
              <w:pStyle w:val="2"/>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标包号</w:t>
            </w:r>
          </w:p>
        </w:tc>
        <w:tc>
          <w:tcPr>
            <w:tcW w:w="3853" w:type="dxa"/>
            <w:noWrap w:val="0"/>
            <w:vAlign w:val="center"/>
          </w:tcPr>
          <w:p w14:paraId="4E514D11">
            <w:pPr>
              <w:pStyle w:val="2"/>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highlight w:val="none"/>
                <w:lang w:val="en-US" w:eastAsia="zh-CN"/>
              </w:rPr>
            </w:pPr>
            <w:r>
              <w:rPr>
                <w:rFonts w:hint="eastAsia" w:ascii="仿宋" w:hAnsi="仿宋" w:eastAsia="仿宋" w:cs="仿宋"/>
                <w:spacing w:val="8"/>
                <w:kern w:val="2"/>
                <w:sz w:val="21"/>
                <w:szCs w:val="21"/>
                <w:highlight w:val="none"/>
                <w:vertAlign w:val="baseline"/>
                <w:lang w:val="en-US" w:eastAsia="zh-CN" w:bidi="ar-SA"/>
              </w:rPr>
              <w:t>标包名称</w:t>
            </w:r>
          </w:p>
        </w:tc>
        <w:tc>
          <w:tcPr>
            <w:tcW w:w="1916" w:type="dxa"/>
            <w:noWrap w:val="0"/>
            <w:vAlign w:val="center"/>
          </w:tcPr>
          <w:p w14:paraId="61B68CAA">
            <w:pPr>
              <w:pStyle w:val="2"/>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预算金额</w:t>
            </w:r>
          </w:p>
        </w:tc>
        <w:tc>
          <w:tcPr>
            <w:tcW w:w="1868" w:type="dxa"/>
            <w:noWrap w:val="0"/>
            <w:vAlign w:val="center"/>
          </w:tcPr>
          <w:p w14:paraId="37D3195F">
            <w:pPr>
              <w:pStyle w:val="2"/>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选定家数</w:t>
            </w:r>
          </w:p>
        </w:tc>
      </w:tr>
      <w:tr w14:paraId="4E6BA1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1000" w:type="dxa"/>
            <w:noWrap w:val="0"/>
            <w:vAlign w:val="center"/>
          </w:tcPr>
          <w:p w14:paraId="21AA4184">
            <w:pPr>
              <w:pStyle w:val="2"/>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标包二</w:t>
            </w:r>
          </w:p>
        </w:tc>
        <w:tc>
          <w:tcPr>
            <w:tcW w:w="3853" w:type="dxa"/>
            <w:noWrap w:val="0"/>
            <w:vAlign w:val="center"/>
          </w:tcPr>
          <w:p w14:paraId="07A3E9B2">
            <w:pPr>
              <w:pStyle w:val="2"/>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选定全国范围定点加油服务单位</w:t>
            </w:r>
          </w:p>
        </w:tc>
        <w:tc>
          <w:tcPr>
            <w:tcW w:w="1916" w:type="dxa"/>
            <w:noWrap w:val="0"/>
            <w:vAlign w:val="center"/>
          </w:tcPr>
          <w:p w14:paraId="596CB44D">
            <w:pPr>
              <w:pStyle w:val="2"/>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70万元</w:t>
            </w:r>
          </w:p>
        </w:tc>
        <w:tc>
          <w:tcPr>
            <w:tcW w:w="1868" w:type="dxa"/>
            <w:noWrap w:val="0"/>
            <w:vAlign w:val="center"/>
          </w:tcPr>
          <w:p w14:paraId="5E7D77AC">
            <w:pPr>
              <w:pStyle w:val="2"/>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1家</w:t>
            </w:r>
          </w:p>
        </w:tc>
      </w:tr>
    </w:tbl>
    <w:p w14:paraId="30D1E94B">
      <w:pPr>
        <w:pStyle w:val="2"/>
        <w:keepNext w:val="0"/>
        <w:keepLines w:val="0"/>
        <w:pageBreakBefore w:val="0"/>
        <w:kinsoku/>
        <w:wordWrap/>
        <w:overflowPunct/>
        <w:topLinePunct w:val="0"/>
        <w:autoSpaceDE/>
        <w:autoSpaceDN/>
        <w:bidi w:val="0"/>
        <w:snapToGrid/>
        <w:spacing w:after="0" w:line="410" w:lineRule="exact"/>
        <w:ind w:firstLine="514" w:firstLineChars="200"/>
        <w:jc w:val="left"/>
        <w:textAlignment w:val="auto"/>
        <w:rPr>
          <w:rFonts w:hint="default" w:ascii="仿宋" w:hAnsi="仿宋" w:eastAsia="仿宋" w:cs="仿宋"/>
          <w:b/>
          <w:bCs/>
          <w:spacing w:val="8"/>
          <w:kern w:val="2"/>
          <w:sz w:val="24"/>
          <w:szCs w:val="24"/>
          <w:highlight w:val="none"/>
          <w:lang w:val="en-US" w:eastAsia="zh-CN" w:bidi="ar-SA"/>
        </w:rPr>
      </w:pPr>
      <w:r>
        <w:rPr>
          <w:rFonts w:hint="eastAsia" w:ascii="仿宋" w:hAnsi="仿宋" w:eastAsia="仿宋" w:cs="仿宋"/>
          <w:b/>
          <w:bCs/>
          <w:spacing w:val="8"/>
          <w:kern w:val="2"/>
          <w:sz w:val="24"/>
          <w:szCs w:val="24"/>
          <w:highlight w:val="none"/>
          <w:lang w:val="en-US" w:eastAsia="zh-CN" w:bidi="ar-SA"/>
        </w:rPr>
        <w:t>注：预算金额只作为投标参考使用，实际金额由招标人与定点加油服务商根据实际使用量据实结算，实际金额多于或少于预算金额均不视为违约。</w:t>
      </w:r>
    </w:p>
    <w:p w14:paraId="5CB9B11A">
      <w:pPr>
        <w:pStyle w:val="2"/>
        <w:keepNext w:val="0"/>
        <w:keepLines w:val="0"/>
        <w:pageBreakBefore w:val="0"/>
        <w:kinsoku/>
        <w:wordWrap/>
        <w:overflowPunct/>
        <w:topLinePunct w:val="0"/>
        <w:autoSpaceDE/>
        <w:autoSpaceDN/>
        <w:bidi w:val="0"/>
        <w:snapToGrid/>
        <w:spacing w:after="0" w:line="410" w:lineRule="exact"/>
        <w:ind w:firstLine="512" w:firstLineChars="200"/>
        <w:jc w:val="left"/>
        <w:textAlignment w:val="auto"/>
        <w:rPr>
          <w:rFonts w:hint="eastAsia" w:ascii="仿宋" w:hAnsi="仿宋" w:eastAsia="仿宋" w:cs="仿宋"/>
          <w:spacing w:val="8"/>
          <w:kern w:val="2"/>
          <w:sz w:val="24"/>
          <w:szCs w:val="24"/>
          <w:highlight w:val="none"/>
          <w:lang w:val="en-US" w:eastAsia="zh-CN" w:bidi="ar-SA"/>
        </w:rPr>
      </w:pPr>
      <w:r>
        <w:rPr>
          <w:rFonts w:hint="eastAsia" w:ascii="仿宋" w:hAnsi="仿宋" w:eastAsia="仿宋" w:cs="仿宋"/>
          <w:spacing w:val="8"/>
          <w:kern w:val="2"/>
          <w:sz w:val="24"/>
          <w:szCs w:val="24"/>
          <w:highlight w:val="none"/>
          <w:lang w:val="en-US" w:eastAsia="zh-CN" w:bidi="ar-SA"/>
        </w:rPr>
        <w:t>3.服务期：自合同签订之日起一年,合同期满双方无异议后可以续签，但最长不超过三年。</w:t>
      </w:r>
    </w:p>
    <w:p w14:paraId="7F01C51F">
      <w:pPr>
        <w:pStyle w:val="2"/>
        <w:keepNext w:val="0"/>
        <w:keepLines w:val="0"/>
        <w:pageBreakBefore w:val="0"/>
        <w:kinsoku/>
        <w:wordWrap/>
        <w:overflowPunct/>
        <w:topLinePunct w:val="0"/>
        <w:autoSpaceDE/>
        <w:autoSpaceDN/>
        <w:bidi w:val="0"/>
        <w:snapToGrid/>
        <w:spacing w:after="0" w:line="410" w:lineRule="exact"/>
        <w:ind w:firstLine="482" w:firstLineChars="200"/>
        <w:jc w:val="left"/>
        <w:textAlignment w:val="auto"/>
        <w:rPr>
          <w:rFonts w:hint="eastAsia" w:ascii="仿宋" w:hAnsi="仿宋" w:eastAsia="仿宋" w:cs="Times New Roman"/>
          <w:color w:val="000000"/>
          <w:sz w:val="24"/>
          <w:highlight w:val="none"/>
          <w:lang w:val="en-US" w:eastAsia="zh-CN"/>
        </w:rPr>
      </w:pPr>
      <w:r>
        <w:rPr>
          <w:rFonts w:hint="eastAsia" w:ascii="仿宋" w:hAnsi="仿宋" w:eastAsia="仿宋" w:cs="仿宋"/>
          <w:b/>
          <w:bCs/>
          <w:sz w:val="24"/>
          <w:szCs w:val="24"/>
          <w:highlight w:val="none"/>
        </w:rPr>
        <w:t>三、投标人的资格要求</w:t>
      </w:r>
    </w:p>
    <w:p w14:paraId="7AA86705">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val="en-US" w:eastAsia="zh-CN"/>
        </w:rPr>
      </w:pPr>
      <w:r>
        <w:rPr>
          <w:rFonts w:hint="eastAsia" w:ascii="仿宋" w:hAnsi="仿宋" w:eastAsia="仿宋" w:cs="仿宋"/>
          <w:spacing w:val="8"/>
          <w:sz w:val="24"/>
          <w:szCs w:val="24"/>
          <w:highlight w:val="none"/>
          <w:lang w:val="en-US" w:eastAsia="zh-CN"/>
        </w:rPr>
        <w:t>1.具有独立承担民事责任能力（分支机构参加投标的须提供总公司的授权）；</w:t>
      </w:r>
    </w:p>
    <w:p w14:paraId="5F3C37D8">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val="en-US" w:eastAsia="zh-CN"/>
        </w:rPr>
      </w:pPr>
      <w:r>
        <w:rPr>
          <w:rFonts w:hint="eastAsia" w:ascii="仿宋" w:hAnsi="仿宋" w:eastAsia="仿宋" w:cs="仿宋"/>
          <w:spacing w:val="8"/>
          <w:sz w:val="24"/>
          <w:szCs w:val="24"/>
          <w:highlight w:val="none"/>
          <w:lang w:val="en-US" w:eastAsia="zh-CN"/>
        </w:rPr>
        <w:t>2.具有有效的《成品油零售经营批准证书》和《中华人民共和国危险化学品经营许可证》；</w:t>
      </w:r>
    </w:p>
    <w:p w14:paraId="16267741">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val="en-US" w:eastAsia="zh-CN"/>
        </w:rPr>
      </w:pPr>
      <w:r>
        <w:rPr>
          <w:rFonts w:hint="eastAsia" w:ascii="仿宋" w:hAnsi="仿宋" w:eastAsia="仿宋" w:cs="仿宋"/>
          <w:spacing w:val="8"/>
          <w:sz w:val="24"/>
          <w:szCs w:val="24"/>
          <w:highlight w:val="none"/>
          <w:lang w:val="en-US" w:eastAsia="zh-CN"/>
        </w:rPr>
        <w:t>3.具有良好的商业信誉和健全的财务会计制度及履约能力；</w:t>
      </w:r>
    </w:p>
    <w:p w14:paraId="3664F002">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val="en-US" w:eastAsia="zh-CN"/>
        </w:rPr>
      </w:pPr>
      <w:r>
        <w:rPr>
          <w:rFonts w:hint="eastAsia" w:ascii="仿宋" w:hAnsi="仿宋" w:eastAsia="仿宋" w:cs="仿宋"/>
          <w:spacing w:val="8"/>
          <w:sz w:val="24"/>
          <w:szCs w:val="24"/>
          <w:highlight w:val="none"/>
          <w:lang w:val="en-US" w:eastAsia="zh-CN"/>
        </w:rPr>
        <w:t>4.具有履行合同所必需的设备和专业技术能力；</w:t>
      </w:r>
    </w:p>
    <w:p w14:paraId="3856AC75">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val="en-US" w:eastAsia="zh-CN"/>
        </w:rPr>
      </w:pPr>
      <w:r>
        <w:rPr>
          <w:rFonts w:hint="eastAsia" w:ascii="仿宋" w:hAnsi="仿宋" w:eastAsia="仿宋" w:cs="仿宋"/>
          <w:spacing w:val="8"/>
          <w:sz w:val="24"/>
          <w:szCs w:val="24"/>
          <w:highlight w:val="none"/>
          <w:lang w:val="en-US" w:eastAsia="zh-CN"/>
        </w:rPr>
        <w:t>5.具有依法缴纳税收和社会保障资金的记录；</w:t>
      </w:r>
    </w:p>
    <w:p w14:paraId="43C70588">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val="en-US" w:eastAsia="zh-CN"/>
        </w:rPr>
      </w:pPr>
      <w:r>
        <w:rPr>
          <w:rFonts w:hint="eastAsia" w:ascii="仿宋" w:hAnsi="仿宋" w:eastAsia="仿宋" w:cs="仿宋"/>
          <w:spacing w:val="8"/>
          <w:sz w:val="24"/>
          <w:szCs w:val="24"/>
          <w:highlight w:val="none"/>
          <w:lang w:val="en-US" w:eastAsia="zh-CN"/>
        </w:rPr>
        <w:t>6.参加本次招标活动前三年内，在经营活动中没有重大违法记录；</w:t>
      </w:r>
    </w:p>
    <w:p w14:paraId="2BE94E41">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lang w:val="en-US" w:eastAsia="zh-CN"/>
        </w:rPr>
        <w:t>7.投标人及其法</w:t>
      </w:r>
      <w:r>
        <w:rPr>
          <w:rFonts w:hint="eastAsia" w:ascii="仿宋" w:hAnsi="仿宋" w:eastAsia="仿宋" w:cs="仿宋"/>
          <w:spacing w:val="8"/>
          <w:sz w:val="24"/>
          <w:szCs w:val="24"/>
          <w:highlight w:val="none"/>
        </w:rPr>
        <w:t>定代表人</w:t>
      </w:r>
      <w:r>
        <w:rPr>
          <w:rFonts w:hint="eastAsia" w:ascii="仿宋" w:hAnsi="仿宋" w:eastAsia="仿宋" w:cs="仿宋"/>
          <w:spacing w:val="8"/>
          <w:sz w:val="24"/>
          <w:szCs w:val="24"/>
          <w:highlight w:val="none"/>
          <w:lang w:eastAsia="zh-CN"/>
        </w:rPr>
        <w:t>（</w:t>
      </w:r>
      <w:r>
        <w:rPr>
          <w:rFonts w:hint="eastAsia" w:ascii="仿宋" w:hAnsi="仿宋" w:eastAsia="仿宋" w:cs="仿宋"/>
          <w:spacing w:val="8"/>
          <w:sz w:val="24"/>
          <w:szCs w:val="24"/>
          <w:highlight w:val="none"/>
          <w:lang w:val="en-US" w:eastAsia="zh-CN"/>
        </w:rPr>
        <w:t>负责人</w:t>
      </w:r>
      <w:r>
        <w:rPr>
          <w:rFonts w:hint="eastAsia" w:ascii="仿宋" w:hAnsi="仿宋" w:eastAsia="仿宋" w:cs="仿宋"/>
          <w:spacing w:val="8"/>
          <w:sz w:val="24"/>
          <w:szCs w:val="24"/>
          <w:highlight w:val="none"/>
          <w:lang w:eastAsia="zh-CN"/>
        </w:rPr>
        <w:t>）</w:t>
      </w:r>
      <w:r>
        <w:rPr>
          <w:rFonts w:hint="eastAsia" w:ascii="仿宋" w:hAnsi="仿宋" w:eastAsia="仿宋" w:cs="仿宋"/>
          <w:spacing w:val="8"/>
          <w:sz w:val="24"/>
          <w:szCs w:val="24"/>
          <w:highlight w:val="none"/>
        </w:rPr>
        <w:t>、委托代理人未被最高法院（查询网址为：http://zxgk.court.gov.cn/shixin/）列入失信被执行人；</w:t>
      </w:r>
    </w:p>
    <w:p w14:paraId="46B3FCBC">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lang w:val="en-US" w:eastAsia="zh-CN"/>
        </w:rPr>
        <w:t>8.</w:t>
      </w:r>
      <w:r>
        <w:rPr>
          <w:rFonts w:hint="eastAsia" w:ascii="仿宋" w:hAnsi="仿宋" w:eastAsia="仿宋" w:cs="仿宋"/>
          <w:spacing w:val="8"/>
          <w:sz w:val="24"/>
          <w:szCs w:val="24"/>
          <w:highlight w:val="none"/>
        </w:rPr>
        <w:t>投标人近一年在“信用中国”或“信用中国（山东）”无严重失信记录；</w:t>
      </w:r>
    </w:p>
    <w:p w14:paraId="67DF40A0">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lang w:val="en-US" w:eastAsia="zh-CN"/>
        </w:rPr>
        <w:t>9.</w:t>
      </w:r>
      <w:r>
        <w:rPr>
          <w:rFonts w:hint="eastAsia" w:ascii="仿宋" w:hAnsi="仿宋" w:eastAsia="仿宋" w:cs="仿宋"/>
          <w:spacing w:val="8"/>
          <w:sz w:val="24"/>
          <w:szCs w:val="24"/>
          <w:highlight w:val="none"/>
        </w:rPr>
        <w:t>本项目不接受联合体投标。</w:t>
      </w:r>
    </w:p>
    <w:p w14:paraId="299908BE">
      <w:pPr>
        <w:keepNext w:val="0"/>
        <w:keepLines w:val="0"/>
        <w:pageBreakBefore w:val="0"/>
        <w:kinsoku/>
        <w:wordWrap/>
        <w:overflowPunct/>
        <w:topLinePunct w:val="0"/>
        <w:autoSpaceDE/>
        <w:autoSpaceDN/>
        <w:bidi w:val="0"/>
        <w:snapToGrid/>
        <w:spacing w:line="410" w:lineRule="exact"/>
        <w:ind w:firstLine="482" w:firstLineChars="200"/>
        <w:contextualSpacing/>
        <w:textAlignment w:val="auto"/>
        <w:rPr>
          <w:rFonts w:ascii="仿宋" w:hAnsi="仿宋" w:eastAsia="仿宋" w:cs="仿宋"/>
          <w:b/>
          <w:bCs/>
          <w:sz w:val="24"/>
          <w:szCs w:val="24"/>
          <w:highlight w:val="none"/>
        </w:rPr>
      </w:pPr>
      <w:r>
        <w:rPr>
          <w:rFonts w:hint="eastAsia" w:ascii="仿宋" w:hAnsi="仿宋" w:eastAsia="仿宋" w:cs="仿宋"/>
          <w:b/>
          <w:bCs/>
          <w:sz w:val="24"/>
          <w:szCs w:val="24"/>
          <w:highlight w:val="none"/>
        </w:rPr>
        <w:t>四、获取文件时间及地点</w:t>
      </w:r>
    </w:p>
    <w:p w14:paraId="31DD1D04">
      <w:pPr>
        <w:keepNext w:val="0"/>
        <w:keepLines w:val="0"/>
        <w:pageBreakBefore w:val="0"/>
        <w:widowControl/>
        <w:shd w:val="clear" w:color="auto" w:fill="auto"/>
        <w:kinsoku/>
        <w:wordWrap/>
        <w:overflowPunct/>
        <w:topLinePunct w:val="0"/>
        <w:autoSpaceDE/>
        <w:autoSpaceDN/>
        <w:bidi w:val="0"/>
        <w:snapToGrid/>
        <w:spacing w:line="410" w:lineRule="exact"/>
        <w:ind w:firstLine="539"/>
        <w:contextualSpacing/>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1.时间：</w:t>
      </w:r>
      <w:r>
        <w:rPr>
          <w:rFonts w:hint="eastAsia" w:ascii="仿宋" w:hAnsi="仿宋" w:eastAsia="仿宋" w:cs="仿宋"/>
          <w:spacing w:val="8"/>
          <w:sz w:val="24"/>
          <w:szCs w:val="24"/>
          <w:highlight w:val="none"/>
          <w:lang w:val="en-US" w:eastAsia="zh-CN"/>
        </w:rPr>
        <w:t>2026</w:t>
      </w:r>
      <w:r>
        <w:rPr>
          <w:rFonts w:hint="eastAsia" w:ascii="仿宋" w:hAnsi="仿宋" w:eastAsia="仿宋" w:cs="仿宋"/>
          <w:spacing w:val="8"/>
          <w:sz w:val="24"/>
          <w:szCs w:val="24"/>
          <w:highlight w:val="none"/>
        </w:rPr>
        <w:t>年</w:t>
      </w:r>
      <w:r>
        <w:rPr>
          <w:rFonts w:hint="eastAsia" w:ascii="仿宋" w:hAnsi="仿宋" w:eastAsia="仿宋" w:cs="仿宋"/>
          <w:spacing w:val="8"/>
          <w:sz w:val="24"/>
          <w:szCs w:val="24"/>
          <w:highlight w:val="none"/>
          <w:lang w:val="en-US" w:eastAsia="zh-CN"/>
        </w:rPr>
        <w:t>09</w:t>
      </w:r>
      <w:r>
        <w:rPr>
          <w:rFonts w:hint="eastAsia" w:ascii="仿宋" w:hAnsi="仿宋" w:eastAsia="仿宋" w:cs="仿宋"/>
          <w:spacing w:val="8"/>
          <w:sz w:val="24"/>
          <w:szCs w:val="24"/>
          <w:highlight w:val="none"/>
        </w:rPr>
        <w:t>月</w:t>
      </w:r>
      <w:r>
        <w:rPr>
          <w:rFonts w:hint="eastAsia" w:ascii="仿宋" w:hAnsi="仿宋" w:eastAsia="仿宋" w:cs="仿宋"/>
          <w:spacing w:val="8"/>
          <w:sz w:val="24"/>
          <w:szCs w:val="24"/>
          <w:highlight w:val="none"/>
          <w:lang w:val="en-US" w:eastAsia="zh-CN"/>
        </w:rPr>
        <w:t>10</w:t>
      </w:r>
      <w:r>
        <w:rPr>
          <w:rFonts w:hint="eastAsia" w:ascii="仿宋" w:hAnsi="仿宋" w:eastAsia="仿宋" w:cs="仿宋"/>
          <w:spacing w:val="8"/>
          <w:sz w:val="24"/>
          <w:szCs w:val="24"/>
          <w:highlight w:val="none"/>
        </w:rPr>
        <w:t>日</w:t>
      </w:r>
      <w:r>
        <w:rPr>
          <w:rFonts w:hint="eastAsia" w:ascii="仿宋" w:hAnsi="仿宋" w:eastAsia="仿宋" w:cs="仿宋"/>
          <w:spacing w:val="8"/>
          <w:sz w:val="24"/>
          <w:szCs w:val="24"/>
          <w:highlight w:val="none"/>
          <w:lang w:val="en-US" w:eastAsia="zh-CN"/>
        </w:rPr>
        <w:t>18</w:t>
      </w:r>
      <w:r>
        <w:rPr>
          <w:rFonts w:hint="eastAsia" w:ascii="仿宋" w:hAnsi="仿宋" w:eastAsia="仿宋" w:cs="仿宋"/>
          <w:spacing w:val="8"/>
          <w:sz w:val="24"/>
          <w:szCs w:val="24"/>
          <w:highlight w:val="none"/>
        </w:rPr>
        <w:t>时</w:t>
      </w:r>
      <w:r>
        <w:rPr>
          <w:rFonts w:hint="eastAsia" w:ascii="仿宋" w:hAnsi="仿宋" w:eastAsia="仿宋" w:cs="仿宋"/>
          <w:spacing w:val="8"/>
          <w:sz w:val="24"/>
          <w:szCs w:val="24"/>
          <w:highlight w:val="none"/>
          <w:lang w:val="en-US" w:eastAsia="zh-CN"/>
        </w:rPr>
        <w:t>00</w:t>
      </w:r>
      <w:r>
        <w:rPr>
          <w:rFonts w:hint="eastAsia" w:ascii="仿宋" w:hAnsi="仿宋" w:eastAsia="仿宋" w:cs="仿宋"/>
          <w:spacing w:val="8"/>
          <w:sz w:val="24"/>
          <w:szCs w:val="24"/>
          <w:highlight w:val="none"/>
        </w:rPr>
        <w:t>分至</w:t>
      </w:r>
      <w:r>
        <w:rPr>
          <w:rFonts w:hint="eastAsia" w:ascii="仿宋" w:hAnsi="仿宋" w:eastAsia="仿宋" w:cs="仿宋"/>
          <w:spacing w:val="8"/>
          <w:sz w:val="24"/>
          <w:szCs w:val="24"/>
          <w:highlight w:val="none"/>
          <w:lang w:val="en-US" w:eastAsia="zh-CN"/>
        </w:rPr>
        <w:t>2026</w:t>
      </w:r>
      <w:r>
        <w:rPr>
          <w:rFonts w:hint="eastAsia" w:ascii="仿宋" w:hAnsi="仿宋" w:eastAsia="仿宋" w:cs="仿宋"/>
          <w:spacing w:val="8"/>
          <w:sz w:val="24"/>
          <w:szCs w:val="24"/>
          <w:highlight w:val="none"/>
        </w:rPr>
        <w:t>年</w:t>
      </w:r>
      <w:r>
        <w:rPr>
          <w:rFonts w:hint="eastAsia" w:ascii="仿宋" w:hAnsi="仿宋" w:eastAsia="仿宋" w:cs="仿宋"/>
          <w:spacing w:val="8"/>
          <w:sz w:val="24"/>
          <w:szCs w:val="24"/>
          <w:highlight w:val="none"/>
          <w:lang w:val="en-US" w:eastAsia="zh-CN"/>
        </w:rPr>
        <w:t>09</w:t>
      </w:r>
      <w:r>
        <w:rPr>
          <w:rFonts w:hint="eastAsia" w:ascii="仿宋" w:hAnsi="仿宋" w:eastAsia="仿宋" w:cs="仿宋"/>
          <w:spacing w:val="8"/>
          <w:sz w:val="24"/>
          <w:szCs w:val="24"/>
          <w:highlight w:val="none"/>
        </w:rPr>
        <w:t>月</w:t>
      </w:r>
      <w:r>
        <w:rPr>
          <w:rFonts w:hint="eastAsia" w:ascii="仿宋" w:hAnsi="仿宋" w:eastAsia="仿宋" w:cs="仿宋"/>
          <w:spacing w:val="8"/>
          <w:sz w:val="24"/>
          <w:szCs w:val="24"/>
          <w:highlight w:val="none"/>
          <w:lang w:val="en-US" w:eastAsia="zh-CN"/>
        </w:rPr>
        <w:t>17</w:t>
      </w:r>
      <w:r>
        <w:rPr>
          <w:rFonts w:hint="eastAsia" w:ascii="仿宋" w:hAnsi="仿宋" w:eastAsia="仿宋" w:cs="仿宋"/>
          <w:spacing w:val="8"/>
          <w:sz w:val="24"/>
          <w:szCs w:val="24"/>
          <w:highlight w:val="none"/>
        </w:rPr>
        <w:t>日</w:t>
      </w:r>
      <w:r>
        <w:rPr>
          <w:rFonts w:hint="eastAsia" w:ascii="仿宋" w:hAnsi="仿宋" w:eastAsia="仿宋" w:cs="仿宋"/>
          <w:spacing w:val="8"/>
          <w:sz w:val="24"/>
          <w:szCs w:val="24"/>
          <w:highlight w:val="none"/>
          <w:lang w:val="en-US" w:eastAsia="zh-CN"/>
        </w:rPr>
        <w:t>18</w:t>
      </w:r>
      <w:r>
        <w:rPr>
          <w:rFonts w:hint="eastAsia" w:ascii="仿宋" w:hAnsi="仿宋" w:eastAsia="仿宋" w:cs="仿宋"/>
          <w:spacing w:val="8"/>
          <w:sz w:val="24"/>
          <w:szCs w:val="24"/>
          <w:highlight w:val="none"/>
        </w:rPr>
        <w:t>时</w:t>
      </w:r>
      <w:r>
        <w:rPr>
          <w:rFonts w:hint="eastAsia" w:ascii="仿宋" w:hAnsi="仿宋" w:eastAsia="仿宋" w:cs="仿宋"/>
          <w:spacing w:val="8"/>
          <w:sz w:val="24"/>
          <w:szCs w:val="24"/>
          <w:highlight w:val="none"/>
          <w:lang w:val="en-US" w:eastAsia="zh-CN"/>
        </w:rPr>
        <w:t>00</w:t>
      </w:r>
      <w:r>
        <w:rPr>
          <w:rFonts w:hint="eastAsia" w:ascii="仿宋" w:hAnsi="仿宋" w:eastAsia="仿宋" w:cs="仿宋"/>
          <w:spacing w:val="8"/>
          <w:sz w:val="24"/>
          <w:szCs w:val="24"/>
          <w:highlight w:val="none"/>
        </w:rPr>
        <w:t>分（北京时间）</w:t>
      </w:r>
    </w:p>
    <w:p w14:paraId="5ABD8553">
      <w:pPr>
        <w:keepNext w:val="0"/>
        <w:keepLines w:val="0"/>
        <w:pageBreakBefore w:val="0"/>
        <w:widowControl/>
        <w:shd w:val="clear" w:color="auto" w:fill="auto"/>
        <w:kinsoku/>
        <w:wordWrap/>
        <w:overflowPunct/>
        <w:topLinePunct w:val="0"/>
        <w:autoSpaceDE/>
        <w:autoSpaceDN/>
        <w:bidi w:val="0"/>
        <w:snapToGrid/>
        <w:spacing w:line="410" w:lineRule="exact"/>
        <w:ind w:firstLine="539"/>
        <w:contextualSpacing/>
        <w:textAlignment w:val="auto"/>
        <w:rPr>
          <w:rFonts w:hint="eastAsia" w:ascii="仿宋" w:hAnsi="仿宋" w:eastAsia="仿宋" w:cs="仿宋"/>
          <w:spacing w:val="8"/>
          <w:sz w:val="24"/>
          <w:szCs w:val="24"/>
          <w:highlight w:val="none"/>
          <w:lang w:eastAsia="zh-CN"/>
        </w:rPr>
      </w:pPr>
      <w:r>
        <w:rPr>
          <w:rFonts w:hint="eastAsia" w:ascii="仿宋" w:hAnsi="仿宋" w:eastAsia="仿宋" w:cs="仿宋"/>
          <w:spacing w:val="8"/>
          <w:sz w:val="24"/>
          <w:szCs w:val="24"/>
          <w:highlight w:val="none"/>
        </w:rPr>
        <w:t>2.地点：登录“威海市公共资源交易网”首页右侧“交易服务一网通办系统-（新版）一网通办系统”进行“平台切换”，点击“国企采购”进入国企阳光采购平台获取文件(网址：http://ggzyjy.weihai.cn/)</w:t>
      </w:r>
      <w:r>
        <w:rPr>
          <w:rFonts w:hint="eastAsia" w:ascii="仿宋" w:hAnsi="仿宋" w:eastAsia="仿宋" w:cs="仿宋"/>
          <w:spacing w:val="8"/>
          <w:sz w:val="24"/>
          <w:szCs w:val="24"/>
          <w:highlight w:val="none"/>
          <w:lang w:eastAsia="zh-CN"/>
        </w:rPr>
        <w:t>。</w:t>
      </w:r>
    </w:p>
    <w:p w14:paraId="49B6CCA1">
      <w:pPr>
        <w:keepNext w:val="0"/>
        <w:keepLines w:val="0"/>
        <w:pageBreakBefore w:val="0"/>
        <w:widowControl/>
        <w:shd w:val="clear" w:color="auto" w:fill="auto"/>
        <w:kinsoku/>
        <w:wordWrap/>
        <w:overflowPunct/>
        <w:topLinePunct w:val="0"/>
        <w:autoSpaceDE/>
        <w:autoSpaceDN/>
        <w:bidi w:val="0"/>
        <w:snapToGrid/>
        <w:spacing w:line="410" w:lineRule="exact"/>
        <w:ind w:firstLine="539"/>
        <w:contextualSpacing/>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rPr>
        <w:t>逾期无法从国企阳光采购平台中获取文件，未在规定时间内从系统中获取招标文件的投标人将无法提交电子投标文件。</w:t>
      </w:r>
    </w:p>
    <w:p w14:paraId="2BBEB823">
      <w:pPr>
        <w:keepNext w:val="0"/>
        <w:keepLines w:val="0"/>
        <w:pageBreakBefore w:val="0"/>
        <w:widowControl/>
        <w:shd w:val="clear" w:color="auto" w:fill="auto"/>
        <w:kinsoku/>
        <w:wordWrap/>
        <w:overflowPunct/>
        <w:topLinePunct w:val="0"/>
        <w:autoSpaceDE/>
        <w:autoSpaceDN/>
        <w:bidi w:val="0"/>
        <w:snapToGrid/>
        <w:spacing w:line="410" w:lineRule="exact"/>
        <w:ind w:firstLine="539"/>
        <w:contextualSpacing/>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rPr>
        <w:t>交易服务一网通办系统技术支持电话：4009980000（受理问题：系统登录、CA锁绑定、平台切换），一网通办技术支持QQ群：1143439694；CA锁办理咨询电话：0631-5172975；国企采购技术支持电话：17863029936，国企技术支持QQ群（投标人）：1046971257。</w:t>
      </w:r>
    </w:p>
    <w:p w14:paraId="4F5912FB">
      <w:pPr>
        <w:keepNext w:val="0"/>
        <w:keepLines w:val="0"/>
        <w:pageBreakBefore w:val="0"/>
        <w:widowControl/>
        <w:shd w:val="clear" w:color="auto" w:fill="auto"/>
        <w:kinsoku/>
        <w:wordWrap/>
        <w:overflowPunct/>
        <w:topLinePunct w:val="0"/>
        <w:autoSpaceDE/>
        <w:autoSpaceDN/>
        <w:bidi w:val="0"/>
        <w:snapToGrid/>
        <w:spacing w:line="410" w:lineRule="exact"/>
        <w:ind w:firstLine="539"/>
        <w:contextualSpacing/>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注：未注册用户请先免费注册。在“威海市公共资源交易网”右侧“交易服务一网通办系统-（新版）一网通办系统”按钮登录端口注册登记，并办理“安全证书（CA）”和“电子签章”进行获取文件。“安全证书（CA）”和“电子签章”办理请按照“威海市公共资源交易网”右侧“CA办理”中“CA证书办理介绍”进行办理。</w:t>
      </w:r>
    </w:p>
    <w:p w14:paraId="0318E8AC">
      <w:pPr>
        <w:keepNext w:val="0"/>
        <w:keepLines w:val="0"/>
        <w:pageBreakBefore w:val="0"/>
        <w:kinsoku/>
        <w:wordWrap/>
        <w:overflowPunct/>
        <w:topLinePunct w:val="0"/>
        <w:autoSpaceDE/>
        <w:autoSpaceDN/>
        <w:bidi w:val="0"/>
        <w:snapToGrid/>
        <w:spacing w:line="410" w:lineRule="exact"/>
        <w:ind w:firstLine="482" w:firstLineChars="200"/>
        <w:contextualSpacing/>
        <w:textAlignment w:val="auto"/>
        <w:rPr>
          <w:rFonts w:ascii="仿宋" w:hAnsi="仿宋" w:eastAsia="仿宋" w:cs="仿宋"/>
          <w:sz w:val="24"/>
          <w:szCs w:val="24"/>
          <w:highlight w:val="none"/>
        </w:rPr>
      </w:pPr>
      <w:r>
        <w:rPr>
          <w:rFonts w:hint="eastAsia" w:ascii="仿宋" w:hAnsi="仿宋" w:eastAsia="仿宋" w:cs="仿宋"/>
          <w:b/>
          <w:bCs/>
          <w:sz w:val="24"/>
          <w:szCs w:val="24"/>
          <w:highlight w:val="none"/>
        </w:rPr>
        <w:t>五、投标文件提交</w:t>
      </w:r>
    </w:p>
    <w:p w14:paraId="50F1B967">
      <w:pPr>
        <w:keepNext w:val="0"/>
        <w:keepLines w:val="0"/>
        <w:pageBreakBefore w:val="0"/>
        <w:widowControl/>
        <w:kinsoku/>
        <w:wordWrap/>
        <w:overflowPunct/>
        <w:topLinePunct w:val="0"/>
        <w:autoSpaceDE/>
        <w:autoSpaceDN/>
        <w:bidi w:val="0"/>
        <w:adjustRightInd w:val="0"/>
        <w:snapToGrid/>
        <w:spacing w:line="410" w:lineRule="exact"/>
        <w:ind w:firstLine="512" w:firstLineChars="200"/>
        <w:contextualSpacing/>
        <w:jc w:val="left"/>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1.提交投标文件时间：</w:t>
      </w:r>
      <w:r>
        <w:rPr>
          <w:rFonts w:hint="eastAsia" w:ascii="仿宋" w:hAnsi="仿宋" w:eastAsia="仿宋" w:cs="仿宋"/>
          <w:spacing w:val="8"/>
          <w:sz w:val="24"/>
          <w:szCs w:val="24"/>
          <w:highlight w:val="none"/>
          <w:lang w:val="en-US" w:eastAsia="zh-CN"/>
        </w:rPr>
        <w:t>2026</w:t>
      </w:r>
      <w:r>
        <w:rPr>
          <w:rFonts w:hint="eastAsia" w:ascii="仿宋" w:hAnsi="仿宋" w:eastAsia="仿宋" w:cs="仿宋"/>
          <w:spacing w:val="8"/>
          <w:sz w:val="24"/>
          <w:szCs w:val="24"/>
          <w:highlight w:val="none"/>
        </w:rPr>
        <w:t>年</w:t>
      </w:r>
      <w:r>
        <w:rPr>
          <w:rFonts w:hint="eastAsia" w:ascii="仿宋" w:hAnsi="仿宋" w:eastAsia="仿宋" w:cs="仿宋"/>
          <w:spacing w:val="8"/>
          <w:sz w:val="24"/>
          <w:szCs w:val="24"/>
          <w:highlight w:val="none"/>
          <w:lang w:val="en-US" w:eastAsia="zh-CN"/>
        </w:rPr>
        <w:t>09</w:t>
      </w:r>
      <w:r>
        <w:rPr>
          <w:rFonts w:hint="eastAsia" w:ascii="仿宋" w:hAnsi="仿宋" w:eastAsia="仿宋" w:cs="仿宋"/>
          <w:spacing w:val="8"/>
          <w:sz w:val="24"/>
          <w:szCs w:val="24"/>
          <w:highlight w:val="none"/>
        </w:rPr>
        <w:t>月</w:t>
      </w:r>
      <w:r>
        <w:rPr>
          <w:rFonts w:hint="eastAsia" w:ascii="仿宋" w:hAnsi="仿宋" w:eastAsia="仿宋" w:cs="仿宋"/>
          <w:spacing w:val="8"/>
          <w:sz w:val="24"/>
          <w:szCs w:val="24"/>
          <w:highlight w:val="none"/>
          <w:lang w:val="en-US" w:eastAsia="zh-CN"/>
        </w:rPr>
        <w:t>10</w:t>
      </w:r>
      <w:r>
        <w:rPr>
          <w:rFonts w:hint="eastAsia" w:ascii="仿宋" w:hAnsi="仿宋" w:eastAsia="仿宋" w:cs="仿宋"/>
          <w:spacing w:val="8"/>
          <w:sz w:val="24"/>
          <w:szCs w:val="24"/>
          <w:highlight w:val="none"/>
        </w:rPr>
        <w:t>日</w:t>
      </w:r>
      <w:r>
        <w:rPr>
          <w:rFonts w:hint="eastAsia" w:ascii="仿宋" w:hAnsi="仿宋" w:eastAsia="仿宋" w:cs="仿宋"/>
          <w:spacing w:val="8"/>
          <w:sz w:val="24"/>
          <w:szCs w:val="24"/>
          <w:highlight w:val="none"/>
          <w:lang w:val="en-US" w:eastAsia="zh-CN"/>
        </w:rPr>
        <w:t>19</w:t>
      </w:r>
      <w:r>
        <w:rPr>
          <w:rFonts w:hint="eastAsia" w:ascii="仿宋" w:hAnsi="仿宋" w:eastAsia="仿宋" w:cs="仿宋"/>
          <w:spacing w:val="8"/>
          <w:sz w:val="24"/>
          <w:szCs w:val="24"/>
          <w:highlight w:val="none"/>
        </w:rPr>
        <w:t>:</w:t>
      </w:r>
      <w:r>
        <w:rPr>
          <w:rFonts w:hint="eastAsia" w:ascii="仿宋" w:hAnsi="仿宋" w:eastAsia="仿宋" w:cs="仿宋"/>
          <w:spacing w:val="8"/>
          <w:sz w:val="24"/>
          <w:szCs w:val="24"/>
          <w:highlight w:val="none"/>
          <w:lang w:val="en-US" w:eastAsia="zh-CN"/>
        </w:rPr>
        <w:t>00</w:t>
      </w:r>
      <w:r>
        <w:rPr>
          <w:rFonts w:hint="eastAsia" w:ascii="仿宋" w:hAnsi="仿宋" w:eastAsia="仿宋" w:cs="仿宋"/>
          <w:spacing w:val="8"/>
          <w:sz w:val="24"/>
          <w:szCs w:val="24"/>
          <w:highlight w:val="none"/>
        </w:rPr>
        <w:t>:00至</w:t>
      </w:r>
      <w:r>
        <w:rPr>
          <w:rFonts w:hint="eastAsia" w:ascii="仿宋" w:hAnsi="仿宋" w:eastAsia="仿宋" w:cs="仿宋"/>
          <w:spacing w:val="8"/>
          <w:sz w:val="24"/>
          <w:szCs w:val="24"/>
          <w:highlight w:val="none"/>
          <w:lang w:val="en-US" w:eastAsia="zh-CN"/>
        </w:rPr>
        <w:t>2026</w:t>
      </w:r>
      <w:r>
        <w:rPr>
          <w:rFonts w:hint="eastAsia" w:ascii="仿宋" w:hAnsi="仿宋" w:eastAsia="仿宋" w:cs="仿宋"/>
          <w:spacing w:val="8"/>
          <w:sz w:val="24"/>
          <w:szCs w:val="24"/>
          <w:highlight w:val="none"/>
        </w:rPr>
        <w:t>年</w:t>
      </w:r>
      <w:r>
        <w:rPr>
          <w:rFonts w:hint="eastAsia" w:ascii="仿宋" w:hAnsi="仿宋" w:eastAsia="仿宋" w:cs="仿宋"/>
          <w:spacing w:val="8"/>
          <w:sz w:val="24"/>
          <w:szCs w:val="24"/>
          <w:highlight w:val="none"/>
          <w:lang w:val="en-US" w:eastAsia="zh-CN"/>
        </w:rPr>
        <w:t>09</w:t>
      </w:r>
      <w:r>
        <w:rPr>
          <w:rFonts w:hint="eastAsia" w:ascii="仿宋" w:hAnsi="仿宋" w:eastAsia="仿宋" w:cs="仿宋"/>
          <w:spacing w:val="8"/>
          <w:sz w:val="24"/>
          <w:szCs w:val="24"/>
          <w:highlight w:val="none"/>
        </w:rPr>
        <w:t>月</w:t>
      </w:r>
      <w:r>
        <w:rPr>
          <w:rFonts w:hint="eastAsia" w:ascii="仿宋" w:hAnsi="仿宋" w:eastAsia="仿宋" w:cs="仿宋"/>
          <w:spacing w:val="8"/>
          <w:sz w:val="24"/>
          <w:szCs w:val="24"/>
          <w:highlight w:val="none"/>
          <w:lang w:val="en-US" w:eastAsia="zh-CN"/>
        </w:rPr>
        <w:t>21</w:t>
      </w:r>
      <w:r>
        <w:rPr>
          <w:rFonts w:hint="eastAsia" w:ascii="仿宋" w:hAnsi="仿宋" w:eastAsia="仿宋" w:cs="仿宋"/>
          <w:spacing w:val="8"/>
          <w:sz w:val="24"/>
          <w:szCs w:val="24"/>
          <w:highlight w:val="none"/>
        </w:rPr>
        <w:t>日</w:t>
      </w:r>
      <w:r>
        <w:rPr>
          <w:rFonts w:hint="eastAsia" w:ascii="仿宋" w:hAnsi="仿宋" w:eastAsia="仿宋" w:cs="仿宋"/>
          <w:spacing w:val="8"/>
          <w:sz w:val="24"/>
          <w:szCs w:val="24"/>
          <w:highlight w:val="none"/>
          <w:lang w:val="en-US" w:eastAsia="zh-CN"/>
        </w:rPr>
        <w:t>14</w:t>
      </w:r>
      <w:r>
        <w:rPr>
          <w:rFonts w:hint="eastAsia" w:ascii="仿宋" w:hAnsi="仿宋" w:eastAsia="仿宋" w:cs="仿宋"/>
          <w:spacing w:val="8"/>
          <w:sz w:val="24"/>
          <w:szCs w:val="24"/>
          <w:highlight w:val="none"/>
        </w:rPr>
        <w:t>:</w:t>
      </w:r>
      <w:r>
        <w:rPr>
          <w:rFonts w:hint="eastAsia" w:ascii="仿宋" w:hAnsi="仿宋" w:eastAsia="仿宋" w:cs="仿宋"/>
          <w:spacing w:val="8"/>
          <w:sz w:val="24"/>
          <w:szCs w:val="24"/>
          <w:highlight w:val="none"/>
          <w:lang w:val="en-US" w:eastAsia="zh-CN"/>
        </w:rPr>
        <w:t>00</w:t>
      </w:r>
      <w:r>
        <w:rPr>
          <w:rFonts w:hint="eastAsia" w:ascii="仿宋" w:hAnsi="仿宋" w:eastAsia="仿宋" w:cs="仿宋"/>
          <w:spacing w:val="8"/>
          <w:sz w:val="24"/>
          <w:szCs w:val="24"/>
          <w:highlight w:val="none"/>
        </w:rPr>
        <w:t>:00</w:t>
      </w:r>
    </w:p>
    <w:p w14:paraId="096A5C82">
      <w:pPr>
        <w:keepNext w:val="0"/>
        <w:keepLines w:val="0"/>
        <w:pageBreakBefore w:val="0"/>
        <w:widowControl/>
        <w:kinsoku/>
        <w:wordWrap/>
        <w:overflowPunct/>
        <w:topLinePunct w:val="0"/>
        <w:autoSpaceDE/>
        <w:autoSpaceDN/>
        <w:bidi w:val="0"/>
        <w:adjustRightInd w:val="0"/>
        <w:snapToGrid/>
        <w:spacing w:line="410" w:lineRule="exact"/>
        <w:ind w:firstLine="512" w:firstLineChars="200"/>
        <w:contextualSpacing/>
        <w:jc w:val="left"/>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2.地点：</w:t>
      </w:r>
      <w:r>
        <w:rPr>
          <w:rFonts w:hint="eastAsia" w:ascii="仿宋" w:hAnsi="仿宋" w:eastAsia="仿宋" w:cs="仿宋"/>
          <w:spacing w:val="8"/>
          <w:kern w:val="0"/>
          <w:sz w:val="24"/>
          <w:szCs w:val="24"/>
          <w:highlight w:val="none"/>
        </w:rPr>
        <w:t>登录“威海市公共资源交易网”首页右侧“交易服务一网通办系统-（新版）一网通办系统”进行“平台切换”点击“国企采购”进入国企阳光采购平台进行提交。已在国企阳光采购平台获取文件的投标人在规定时间内提交电子投标文件。</w:t>
      </w:r>
    </w:p>
    <w:p w14:paraId="7AD81F2F">
      <w:pPr>
        <w:keepNext w:val="0"/>
        <w:keepLines w:val="0"/>
        <w:pageBreakBefore w:val="0"/>
        <w:kinsoku/>
        <w:wordWrap/>
        <w:overflowPunct/>
        <w:topLinePunct w:val="0"/>
        <w:autoSpaceDE/>
        <w:autoSpaceDN/>
        <w:bidi w:val="0"/>
        <w:snapToGrid/>
        <w:spacing w:line="410" w:lineRule="exact"/>
        <w:ind w:firstLine="482" w:firstLineChars="200"/>
        <w:contextualSpacing/>
        <w:textAlignment w:val="auto"/>
        <w:rPr>
          <w:rFonts w:ascii="仿宋" w:hAnsi="仿宋" w:eastAsia="仿宋" w:cs="仿宋"/>
          <w:b/>
          <w:bCs/>
          <w:sz w:val="24"/>
          <w:szCs w:val="24"/>
          <w:highlight w:val="none"/>
        </w:rPr>
      </w:pPr>
      <w:r>
        <w:rPr>
          <w:rFonts w:hint="eastAsia" w:ascii="仿宋" w:hAnsi="仿宋" w:eastAsia="仿宋" w:cs="仿宋"/>
          <w:b/>
          <w:bCs/>
          <w:sz w:val="24"/>
          <w:szCs w:val="24"/>
          <w:highlight w:val="none"/>
        </w:rPr>
        <w:t>六、开启</w:t>
      </w:r>
    </w:p>
    <w:p w14:paraId="144134F2">
      <w:pPr>
        <w:keepNext w:val="0"/>
        <w:keepLines w:val="0"/>
        <w:pageBreakBefore w:val="0"/>
        <w:widowControl/>
        <w:kinsoku/>
        <w:wordWrap/>
        <w:overflowPunct/>
        <w:topLinePunct w:val="0"/>
        <w:autoSpaceDE/>
        <w:autoSpaceDN/>
        <w:bidi w:val="0"/>
        <w:adjustRightInd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rPr>
        <w:t>1.时间：</w:t>
      </w:r>
      <w:r>
        <w:rPr>
          <w:rFonts w:hint="eastAsia" w:ascii="仿宋" w:hAnsi="仿宋" w:eastAsia="仿宋" w:cs="仿宋"/>
          <w:spacing w:val="8"/>
          <w:sz w:val="24"/>
          <w:szCs w:val="24"/>
          <w:highlight w:val="none"/>
          <w:lang w:val="en-US" w:eastAsia="zh-CN"/>
        </w:rPr>
        <w:t>2026</w:t>
      </w:r>
      <w:r>
        <w:rPr>
          <w:rFonts w:hint="eastAsia" w:ascii="仿宋" w:hAnsi="仿宋" w:eastAsia="仿宋" w:cs="仿宋"/>
          <w:spacing w:val="8"/>
          <w:sz w:val="24"/>
          <w:szCs w:val="24"/>
          <w:highlight w:val="none"/>
        </w:rPr>
        <w:t>年</w:t>
      </w:r>
      <w:r>
        <w:rPr>
          <w:rFonts w:hint="eastAsia" w:ascii="仿宋" w:hAnsi="仿宋" w:eastAsia="仿宋" w:cs="仿宋"/>
          <w:spacing w:val="8"/>
          <w:sz w:val="24"/>
          <w:szCs w:val="24"/>
          <w:highlight w:val="none"/>
          <w:lang w:val="en-US" w:eastAsia="zh-CN"/>
        </w:rPr>
        <w:t>09</w:t>
      </w:r>
      <w:r>
        <w:rPr>
          <w:rFonts w:hint="eastAsia" w:ascii="仿宋" w:hAnsi="仿宋" w:eastAsia="仿宋" w:cs="仿宋"/>
          <w:spacing w:val="8"/>
          <w:sz w:val="24"/>
          <w:szCs w:val="24"/>
          <w:highlight w:val="none"/>
        </w:rPr>
        <w:t>月</w:t>
      </w:r>
      <w:r>
        <w:rPr>
          <w:rFonts w:hint="eastAsia" w:ascii="仿宋" w:hAnsi="仿宋" w:eastAsia="仿宋" w:cs="仿宋"/>
          <w:spacing w:val="8"/>
          <w:sz w:val="24"/>
          <w:szCs w:val="24"/>
          <w:highlight w:val="none"/>
          <w:lang w:val="en-US" w:eastAsia="zh-CN"/>
        </w:rPr>
        <w:t>21</w:t>
      </w:r>
      <w:r>
        <w:rPr>
          <w:rFonts w:hint="eastAsia" w:ascii="仿宋" w:hAnsi="仿宋" w:eastAsia="仿宋" w:cs="仿宋"/>
          <w:spacing w:val="8"/>
          <w:sz w:val="24"/>
          <w:szCs w:val="24"/>
          <w:highlight w:val="none"/>
        </w:rPr>
        <w:t>日</w:t>
      </w:r>
      <w:r>
        <w:rPr>
          <w:rFonts w:hint="eastAsia" w:ascii="仿宋" w:hAnsi="仿宋" w:eastAsia="仿宋" w:cs="仿宋"/>
          <w:spacing w:val="8"/>
          <w:sz w:val="24"/>
          <w:szCs w:val="24"/>
          <w:highlight w:val="none"/>
          <w:lang w:val="en-US" w:eastAsia="zh-CN"/>
        </w:rPr>
        <w:t>14</w:t>
      </w:r>
      <w:r>
        <w:rPr>
          <w:rFonts w:hint="eastAsia" w:ascii="仿宋" w:hAnsi="仿宋" w:eastAsia="仿宋" w:cs="仿宋"/>
          <w:spacing w:val="8"/>
          <w:sz w:val="24"/>
          <w:szCs w:val="24"/>
          <w:highlight w:val="none"/>
        </w:rPr>
        <w:t>:</w:t>
      </w:r>
      <w:r>
        <w:rPr>
          <w:rFonts w:hint="eastAsia" w:ascii="仿宋" w:hAnsi="仿宋" w:eastAsia="仿宋" w:cs="仿宋"/>
          <w:spacing w:val="8"/>
          <w:sz w:val="24"/>
          <w:szCs w:val="24"/>
          <w:highlight w:val="none"/>
          <w:lang w:val="en-US" w:eastAsia="zh-CN"/>
        </w:rPr>
        <w:t>00</w:t>
      </w:r>
      <w:r>
        <w:rPr>
          <w:rFonts w:hint="eastAsia" w:ascii="仿宋" w:hAnsi="仿宋" w:eastAsia="仿宋" w:cs="仿宋"/>
          <w:spacing w:val="8"/>
          <w:sz w:val="24"/>
          <w:szCs w:val="24"/>
          <w:highlight w:val="none"/>
        </w:rPr>
        <w:t>:00（北京时间）</w:t>
      </w:r>
    </w:p>
    <w:p w14:paraId="07C64B06">
      <w:pPr>
        <w:keepNext w:val="0"/>
        <w:keepLines w:val="0"/>
        <w:pageBreakBefore w:val="0"/>
        <w:widowControl/>
        <w:kinsoku/>
        <w:wordWrap/>
        <w:overflowPunct/>
        <w:topLinePunct w:val="0"/>
        <w:autoSpaceDE/>
        <w:autoSpaceDN/>
        <w:bidi w:val="0"/>
        <w:adjustRightInd w:val="0"/>
        <w:snapToGrid/>
        <w:spacing w:line="410" w:lineRule="exact"/>
        <w:ind w:firstLine="512" w:firstLineChars="200"/>
        <w:contextualSpacing/>
        <w:jc w:val="left"/>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2.地点：威海市公共资源交易中心交易</w:t>
      </w:r>
      <w:r>
        <w:rPr>
          <w:rFonts w:hint="eastAsia" w:ascii="仿宋" w:hAnsi="仿宋" w:eastAsia="仿宋" w:cs="仿宋"/>
          <w:spacing w:val="8"/>
          <w:sz w:val="24"/>
          <w:szCs w:val="24"/>
          <w:highlight w:val="none"/>
          <w:lang w:val="en-US" w:eastAsia="zh-CN"/>
        </w:rPr>
        <w:t>七</w:t>
      </w:r>
      <w:r>
        <w:rPr>
          <w:rFonts w:hint="eastAsia" w:ascii="仿宋" w:hAnsi="仿宋" w:eastAsia="仿宋" w:cs="仿宋"/>
          <w:spacing w:val="8"/>
          <w:sz w:val="24"/>
          <w:szCs w:val="24"/>
          <w:highlight w:val="none"/>
        </w:rPr>
        <w:t>厅（</w:t>
      </w:r>
      <w:r>
        <w:rPr>
          <w:rFonts w:hint="eastAsia" w:ascii="仿宋" w:hAnsi="仿宋" w:eastAsia="仿宋" w:cs="仿宋"/>
          <w:spacing w:val="8"/>
          <w:sz w:val="24"/>
          <w:szCs w:val="24"/>
          <w:highlight w:val="none"/>
          <w:lang w:eastAsia="zh-CN"/>
        </w:rPr>
        <w:t>威海市环翠区塔山中路</w:t>
      </w:r>
      <w:r>
        <w:rPr>
          <w:rFonts w:hint="eastAsia" w:ascii="仿宋" w:hAnsi="仿宋" w:eastAsia="仿宋" w:cs="仿宋"/>
          <w:spacing w:val="8"/>
          <w:sz w:val="24"/>
          <w:szCs w:val="24"/>
          <w:highlight w:val="none"/>
          <w:lang w:eastAsia="zh-CN"/>
        </w:rPr>
        <w:t>317号</w:t>
      </w:r>
      <w:r>
        <w:rPr>
          <w:rFonts w:hint="eastAsia" w:ascii="仿宋" w:hAnsi="仿宋" w:eastAsia="仿宋" w:cs="仿宋"/>
          <w:spacing w:val="8"/>
          <w:sz w:val="24"/>
          <w:szCs w:val="24"/>
          <w:highlight w:val="none"/>
        </w:rPr>
        <w:t>)</w:t>
      </w:r>
      <w:r>
        <w:rPr>
          <w:rFonts w:hint="eastAsia" w:ascii="仿宋" w:hAnsi="仿宋" w:eastAsia="仿宋" w:cs="仿宋"/>
          <w:spacing w:val="8"/>
          <w:sz w:val="24"/>
          <w:szCs w:val="24"/>
          <w:highlight w:val="none"/>
          <w:lang w:val="en-US" w:eastAsia="zh-CN"/>
        </w:rPr>
        <w:t xml:space="preserve"> </w:t>
      </w:r>
    </w:p>
    <w:p w14:paraId="0DF7D836">
      <w:pPr>
        <w:keepNext w:val="0"/>
        <w:keepLines w:val="0"/>
        <w:pageBreakBefore w:val="0"/>
        <w:kinsoku/>
        <w:wordWrap/>
        <w:overflowPunct/>
        <w:topLinePunct w:val="0"/>
        <w:autoSpaceDE/>
        <w:autoSpaceDN/>
        <w:bidi w:val="0"/>
        <w:snapToGrid/>
        <w:spacing w:line="410" w:lineRule="exact"/>
        <w:ind w:firstLine="482" w:firstLineChars="200"/>
        <w:contextualSpacing/>
        <w:textAlignment w:val="auto"/>
        <w:rPr>
          <w:rFonts w:ascii="仿宋" w:hAnsi="仿宋" w:eastAsia="仿宋" w:cs="仿宋"/>
          <w:sz w:val="24"/>
          <w:szCs w:val="24"/>
          <w:highlight w:val="none"/>
        </w:rPr>
      </w:pPr>
      <w:r>
        <w:rPr>
          <w:rFonts w:hint="eastAsia" w:ascii="仿宋" w:hAnsi="仿宋" w:eastAsia="仿宋" w:cs="仿宋"/>
          <w:b/>
          <w:bCs/>
          <w:sz w:val="24"/>
          <w:szCs w:val="24"/>
          <w:highlight w:val="none"/>
        </w:rPr>
        <w:t>七、其他补充事宜</w:t>
      </w:r>
    </w:p>
    <w:p w14:paraId="2D7CCF70">
      <w:pPr>
        <w:keepNext w:val="0"/>
        <w:keepLines w:val="0"/>
        <w:pageBreakBefore w:val="0"/>
        <w:widowControl/>
        <w:shd w:val="clear" w:color="auto" w:fill="auto"/>
        <w:kinsoku/>
        <w:wordWrap/>
        <w:overflowPunct/>
        <w:topLinePunct w:val="0"/>
        <w:autoSpaceDE/>
        <w:autoSpaceDN/>
        <w:bidi w:val="0"/>
        <w:snapToGrid/>
        <w:spacing w:line="410" w:lineRule="exact"/>
        <w:ind w:firstLine="556"/>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rPr>
        <w:t>1.本项目实行全流程电子化，提交投标文件截止时间前，随时关注威海市公共资源交易网（变更公告栏）内变更提醒。</w:t>
      </w:r>
    </w:p>
    <w:p w14:paraId="2A225E9A">
      <w:pPr>
        <w:keepNext w:val="0"/>
        <w:keepLines w:val="0"/>
        <w:pageBreakBefore w:val="0"/>
        <w:widowControl/>
        <w:shd w:val="clear" w:color="auto" w:fill="auto"/>
        <w:kinsoku/>
        <w:wordWrap/>
        <w:overflowPunct/>
        <w:topLinePunct w:val="0"/>
        <w:autoSpaceDE/>
        <w:autoSpaceDN/>
        <w:bidi w:val="0"/>
        <w:snapToGrid/>
        <w:spacing w:line="410" w:lineRule="exact"/>
        <w:ind w:firstLine="556"/>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rPr>
        <w:t>2.投标人自行准备电脑，提前在个人电脑上进行测试确保音频、视频功能、CA签章功能可正常使用。远程开标，投标人不需到现场参加开标活动；投标人提前熟悉交易系统（新版威海市国有企业阳光采购服务平台供应商用户手册网址：  https://ggzyjy.weihai.cn/bszn/005005/20260109/eb4ba418-4b35-4f05-aa69-44fd7d8a7ffb.html），通过交易系统线上参加开标活动，不熟悉系统操作产生的风险由投标人承担。</w:t>
      </w:r>
    </w:p>
    <w:p w14:paraId="6ADFD53A">
      <w:pPr>
        <w:keepNext w:val="0"/>
        <w:keepLines w:val="0"/>
        <w:pageBreakBefore w:val="0"/>
        <w:kinsoku/>
        <w:wordWrap/>
        <w:overflowPunct/>
        <w:topLinePunct w:val="0"/>
        <w:autoSpaceDE/>
        <w:autoSpaceDN/>
        <w:bidi w:val="0"/>
        <w:snapToGrid/>
        <w:spacing w:line="410" w:lineRule="exact"/>
        <w:ind w:firstLine="482" w:firstLineChars="200"/>
        <w:contextualSpacing/>
        <w:textAlignment w:val="auto"/>
        <w:rPr>
          <w:rFonts w:ascii="仿宋" w:hAnsi="仿宋" w:eastAsia="仿宋" w:cs="仿宋"/>
          <w:b/>
          <w:bCs/>
          <w:sz w:val="24"/>
          <w:szCs w:val="24"/>
          <w:highlight w:val="none"/>
        </w:rPr>
      </w:pPr>
      <w:r>
        <w:rPr>
          <w:rFonts w:hint="eastAsia" w:ascii="仿宋" w:hAnsi="仿宋" w:eastAsia="仿宋" w:cs="仿宋"/>
          <w:b/>
          <w:bCs/>
          <w:sz w:val="24"/>
          <w:szCs w:val="24"/>
          <w:highlight w:val="none"/>
        </w:rPr>
        <w:t>八、对本次招标提出询问，请按以下方式联系。</w:t>
      </w:r>
    </w:p>
    <w:p w14:paraId="6D700A0C">
      <w:pPr>
        <w:keepNext w:val="0"/>
        <w:keepLines w:val="0"/>
        <w:pageBreakBefore w:val="0"/>
        <w:widowControl/>
        <w:shd w:val="clear" w:color="auto" w:fill="auto"/>
        <w:kinsoku/>
        <w:wordWrap/>
        <w:overflowPunct/>
        <w:topLinePunct w:val="0"/>
        <w:autoSpaceDE/>
        <w:autoSpaceDN/>
        <w:bidi w:val="0"/>
        <w:snapToGrid/>
        <w:spacing w:line="410" w:lineRule="exact"/>
        <w:ind w:firstLine="512" w:firstLineChars="200"/>
        <w:contextualSpacing/>
        <w:jc w:val="left"/>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1.</w:t>
      </w:r>
      <w:r>
        <w:rPr>
          <w:rFonts w:hint="eastAsia" w:ascii="仿宋" w:hAnsi="仿宋" w:eastAsia="仿宋" w:cs="仿宋"/>
          <w:spacing w:val="8"/>
          <w:sz w:val="24"/>
          <w:szCs w:val="24"/>
          <w:highlight w:val="none"/>
          <w:lang w:eastAsia="zh-CN"/>
        </w:rPr>
        <w:t>招标人</w:t>
      </w:r>
      <w:r>
        <w:rPr>
          <w:rFonts w:hint="eastAsia" w:ascii="仿宋" w:hAnsi="仿宋" w:eastAsia="仿宋" w:cs="仿宋"/>
          <w:spacing w:val="8"/>
          <w:sz w:val="24"/>
          <w:szCs w:val="24"/>
          <w:highlight w:val="none"/>
        </w:rPr>
        <w:t>信息</w:t>
      </w:r>
    </w:p>
    <w:p w14:paraId="5FD6E63C">
      <w:pPr>
        <w:keepNext w:val="0"/>
        <w:keepLines w:val="0"/>
        <w:pageBreakBefore w:val="0"/>
        <w:widowControl/>
        <w:shd w:val="clear" w:color="auto" w:fill="auto"/>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eastAsia="zh-CN"/>
        </w:rPr>
      </w:pPr>
      <w:r>
        <w:rPr>
          <w:rFonts w:hint="eastAsia" w:ascii="仿宋" w:hAnsi="仿宋" w:eastAsia="仿宋" w:cs="仿宋"/>
          <w:spacing w:val="8"/>
          <w:sz w:val="24"/>
          <w:szCs w:val="24"/>
          <w:highlight w:val="none"/>
        </w:rPr>
        <w:t>名    称：</w:t>
      </w:r>
      <w:r>
        <w:rPr>
          <w:rFonts w:hint="eastAsia" w:ascii="仿宋" w:hAnsi="仿宋" w:eastAsia="仿宋" w:cs="仿宋"/>
          <w:spacing w:val="8"/>
          <w:sz w:val="24"/>
          <w:szCs w:val="24"/>
          <w:highlight w:val="none"/>
          <w:lang w:eastAsia="zh-CN"/>
        </w:rPr>
        <w:t>威海交通场站管理有限公司</w:t>
      </w:r>
    </w:p>
    <w:p w14:paraId="52F09B2C">
      <w:pPr>
        <w:keepNext w:val="0"/>
        <w:keepLines w:val="0"/>
        <w:pageBreakBefore w:val="0"/>
        <w:widowControl/>
        <w:shd w:val="clear" w:color="auto" w:fill="auto"/>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eastAsia="zh-CN"/>
        </w:rPr>
      </w:pPr>
      <w:r>
        <w:rPr>
          <w:rFonts w:hint="eastAsia" w:ascii="仿宋" w:hAnsi="仿宋" w:eastAsia="仿宋" w:cs="仿宋"/>
          <w:spacing w:val="8"/>
          <w:sz w:val="24"/>
          <w:szCs w:val="24"/>
          <w:highlight w:val="none"/>
        </w:rPr>
        <w:t>地    址：</w:t>
      </w:r>
      <w:r>
        <w:rPr>
          <w:rFonts w:hint="eastAsia" w:ascii="仿宋" w:hAnsi="仿宋" w:eastAsia="仿宋" w:cs="仿宋"/>
          <w:spacing w:val="8"/>
          <w:sz w:val="24"/>
          <w:szCs w:val="24"/>
          <w:highlight w:val="none"/>
          <w:lang w:eastAsia="zh-CN"/>
        </w:rPr>
        <w:t>威海市疏站路6号威海站客运楼5楼办公室</w:t>
      </w:r>
    </w:p>
    <w:p w14:paraId="64FDF93B">
      <w:pPr>
        <w:keepNext w:val="0"/>
        <w:keepLines w:val="0"/>
        <w:pageBreakBefore w:val="0"/>
        <w:widowControl/>
        <w:shd w:val="clear" w:color="auto" w:fill="auto"/>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eastAsia="zh-CN"/>
        </w:rPr>
      </w:pPr>
      <w:r>
        <w:rPr>
          <w:rFonts w:hint="eastAsia" w:ascii="仿宋" w:hAnsi="仿宋" w:eastAsia="仿宋" w:cs="仿宋"/>
          <w:spacing w:val="8"/>
          <w:sz w:val="24"/>
          <w:szCs w:val="24"/>
          <w:highlight w:val="none"/>
        </w:rPr>
        <w:t>联 系 人：</w:t>
      </w:r>
      <w:r>
        <w:rPr>
          <w:rFonts w:hint="eastAsia" w:ascii="仿宋" w:hAnsi="仿宋" w:eastAsia="仿宋" w:cs="仿宋"/>
          <w:spacing w:val="8"/>
          <w:sz w:val="24"/>
          <w:szCs w:val="24"/>
          <w:highlight w:val="none"/>
          <w:lang w:eastAsia="zh-CN"/>
        </w:rPr>
        <w:t>曲一鸣</w:t>
      </w:r>
    </w:p>
    <w:p w14:paraId="1DB8285A">
      <w:pPr>
        <w:keepNext w:val="0"/>
        <w:keepLines w:val="0"/>
        <w:pageBreakBefore w:val="0"/>
        <w:widowControl/>
        <w:shd w:val="clear" w:color="auto" w:fill="auto"/>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eastAsia="zh-CN"/>
        </w:rPr>
      </w:pPr>
      <w:r>
        <w:rPr>
          <w:rFonts w:hint="eastAsia" w:ascii="仿宋" w:hAnsi="仿宋" w:eastAsia="仿宋" w:cs="仿宋"/>
          <w:spacing w:val="8"/>
          <w:sz w:val="24"/>
          <w:szCs w:val="24"/>
          <w:highlight w:val="none"/>
        </w:rPr>
        <w:t>联系方式：</w:t>
      </w:r>
      <w:r>
        <w:rPr>
          <w:rFonts w:hint="eastAsia" w:ascii="仿宋" w:hAnsi="仿宋" w:eastAsia="仿宋" w:cs="仿宋"/>
          <w:spacing w:val="8"/>
          <w:sz w:val="24"/>
          <w:szCs w:val="24"/>
          <w:highlight w:val="none"/>
          <w:lang w:eastAsia="zh-CN"/>
        </w:rPr>
        <w:t>0631-5890096</w:t>
      </w:r>
    </w:p>
    <w:p w14:paraId="57688398">
      <w:pPr>
        <w:keepNext w:val="0"/>
        <w:keepLines w:val="0"/>
        <w:pageBreakBefore w:val="0"/>
        <w:widowControl/>
        <w:shd w:val="clear" w:color="auto" w:fill="auto"/>
        <w:kinsoku/>
        <w:wordWrap/>
        <w:overflowPunct/>
        <w:topLinePunct w:val="0"/>
        <w:autoSpaceDE/>
        <w:autoSpaceDN/>
        <w:bidi w:val="0"/>
        <w:snapToGrid/>
        <w:spacing w:line="410" w:lineRule="exact"/>
        <w:ind w:firstLine="512" w:firstLineChars="200"/>
        <w:contextualSpacing/>
        <w:jc w:val="left"/>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2.</w:t>
      </w:r>
      <w:r>
        <w:rPr>
          <w:rFonts w:hint="eastAsia" w:ascii="仿宋" w:hAnsi="仿宋" w:eastAsia="仿宋" w:cs="仿宋"/>
          <w:spacing w:val="8"/>
          <w:sz w:val="24"/>
          <w:szCs w:val="24"/>
          <w:highlight w:val="none"/>
          <w:lang w:eastAsia="zh-CN"/>
        </w:rPr>
        <w:t>招标代理</w:t>
      </w:r>
      <w:r>
        <w:rPr>
          <w:rFonts w:hint="eastAsia" w:ascii="仿宋" w:hAnsi="仿宋" w:eastAsia="仿宋" w:cs="仿宋"/>
          <w:spacing w:val="8"/>
          <w:sz w:val="24"/>
          <w:szCs w:val="24"/>
          <w:highlight w:val="none"/>
        </w:rPr>
        <w:t>机构信息</w:t>
      </w:r>
    </w:p>
    <w:p w14:paraId="072B61A2">
      <w:pPr>
        <w:keepNext w:val="0"/>
        <w:keepLines w:val="0"/>
        <w:pageBreakBefore w:val="0"/>
        <w:widowControl/>
        <w:kinsoku/>
        <w:wordWrap/>
        <w:overflowPunct/>
        <w:topLinePunct w:val="0"/>
        <w:autoSpaceDE/>
        <w:autoSpaceDN/>
        <w:bidi w:val="0"/>
        <w:adjustRightInd w:val="0"/>
        <w:snapToGrid/>
        <w:spacing w:line="410" w:lineRule="exact"/>
        <w:ind w:firstLine="512" w:firstLineChars="200"/>
        <w:contextualSpacing/>
        <w:jc w:val="left"/>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名    称：山东富尔工程咨询管理有限公司</w:t>
      </w:r>
    </w:p>
    <w:p w14:paraId="79F9509A">
      <w:pPr>
        <w:keepNext w:val="0"/>
        <w:keepLines w:val="0"/>
        <w:pageBreakBefore w:val="0"/>
        <w:widowControl/>
        <w:kinsoku/>
        <w:wordWrap/>
        <w:overflowPunct/>
        <w:topLinePunct w:val="0"/>
        <w:autoSpaceDE/>
        <w:autoSpaceDN/>
        <w:bidi w:val="0"/>
        <w:adjustRightInd w:val="0"/>
        <w:snapToGrid/>
        <w:spacing w:line="410" w:lineRule="exact"/>
        <w:ind w:firstLine="512" w:firstLineChars="200"/>
        <w:contextualSpacing/>
        <w:jc w:val="left"/>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 xml:space="preserve">地    址：威海市古寨东路315号 </w:t>
      </w:r>
    </w:p>
    <w:p w14:paraId="5F269582">
      <w:pPr>
        <w:keepNext w:val="0"/>
        <w:keepLines w:val="0"/>
        <w:pageBreakBefore w:val="0"/>
        <w:widowControl/>
        <w:kinsoku/>
        <w:wordWrap/>
        <w:overflowPunct/>
        <w:topLinePunct w:val="0"/>
        <w:autoSpaceDE/>
        <w:autoSpaceDN/>
        <w:bidi w:val="0"/>
        <w:adjustRightInd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eastAsia="zh-CN"/>
        </w:rPr>
      </w:pPr>
      <w:r>
        <w:rPr>
          <w:rFonts w:hint="eastAsia" w:ascii="仿宋" w:hAnsi="仿宋" w:eastAsia="仿宋" w:cs="仿宋"/>
          <w:spacing w:val="8"/>
          <w:sz w:val="24"/>
          <w:szCs w:val="24"/>
          <w:highlight w:val="none"/>
        </w:rPr>
        <w:t>联 系 人：</w:t>
      </w:r>
      <w:r>
        <w:rPr>
          <w:rFonts w:hint="eastAsia" w:ascii="仿宋" w:hAnsi="仿宋" w:eastAsia="仿宋" w:cs="仿宋"/>
          <w:spacing w:val="8"/>
          <w:sz w:val="24"/>
          <w:szCs w:val="24"/>
          <w:highlight w:val="none"/>
          <w:lang w:eastAsia="zh-CN"/>
        </w:rPr>
        <w:t>李中元</w:t>
      </w:r>
    </w:p>
    <w:p w14:paraId="49B3C1B8">
      <w:pPr>
        <w:keepNext w:val="0"/>
        <w:keepLines w:val="0"/>
        <w:pageBreakBefore w:val="0"/>
        <w:widowControl/>
        <w:kinsoku/>
        <w:wordWrap/>
        <w:overflowPunct/>
        <w:topLinePunct w:val="0"/>
        <w:autoSpaceDE/>
        <w:autoSpaceDN/>
        <w:bidi w:val="0"/>
        <w:adjustRightInd w:val="0"/>
        <w:snapToGrid/>
        <w:spacing w:line="410" w:lineRule="exact"/>
        <w:ind w:firstLine="512" w:firstLineChars="200"/>
        <w:contextualSpacing/>
        <w:jc w:val="left"/>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联系电话：0631-5896358</w:t>
      </w:r>
    </w:p>
    <w:p w14:paraId="1781FE84">
      <w:pPr>
        <w:keepNext w:val="0"/>
        <w:keepLines w:val="0"/>
        <w:pageBreakBefore w:val="0"/>
        <w:widowControl/>
        <w:kinsoku/>
        <w:wordWrap/>
        <w:overflowPunct/>
        <w:topLinePunct w:val="0"/>
        <w:autoSpaceDE/>
        <w:autoSpaceDN/>
        <w:bidi w:val="0"/>
        <w:adjustRightInd w:val="0"/>
        <w:snapToGrid/>
        <w:spacing w:line="410" w:lineRule="exact"/>
        <w:ind w:firstLine="512" w:firstLineChars="200"/>
        <w:contextualSpacing/>
        <w:jc w:val="left"/>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电子邮箱：</w:t>
      </w:r>
      <w:r>
        <w:rPr>
          <w:rFonts w:hint="eastAsia" w:ascii="仿宋" w:hAnsi="仿宋" w:eastAsia="仿宋" w:cs="仿宋"/>
          <w:spacing w:val="8"/>
          <w:sz w:val="24"/>
          <w:szCs w:val="24"/>
          <w:highlight w:val="none"/>
        </w:rPr>
        <w:fldChar w:fldCharType="begin"/>
      </w:r>
      <w:r>
        <w:rPr>
          <w:rFonts w:hint="eastAsia" w:ascii="仿宋" w:hAnsi="仿宋" w:eastAsia="仿宋" w:cs="仿宋"/>
          <w:spacing w:val="8"/>
          <w:sz w:val="24"/>
          <w:szCs w:val="24"/>
          <w:highlight w:val="none"/>
        </w:rPr>
        <w:instrText xml:space="preserve"> HYPERLINK "mailto:sdfull@126.com" </w:instrText>
      </w:r>
      <w:r>
        <w:rPr>
          <w:rFonts w:hint="eastAsia" w:ascii="仿宋" w:hAnsi="仿宋" w:eastAsia="仿宋" w:cs="仿宋"/>
          <w:spacing w:val="8"/>
          <w:sz w:val="24"/>
          <w:szCs w:val="24"/>
          <w:highlight w:val="none"/>
        </w:rPr>
        <w:fldChar w:fldCharType="separate"/>
      </w:r>
      <w:r>
        <w:rPr>
          <w:rStyle w:val="52"/>
          <w:rFonts w:hint="eastAsia" w:ascii="仿宋" w:hAnsi="仿宋" w:eastAsia="仿宋" w:cs="仿宋"/>
          <w:color w:val="auto"/>
          <w:spacing w:val="8"/>
          <w:sz w:val="24"/>
          <w:szCs w:val="24"/>
          <w:highlight w:val="none"/>
          <w:lang w:eastAsia="zh-CN"/>
        </w:rPr>
        <w:t>sdfullzb@163.com</w:t>
      </w:r>
      <w:r>
        <w:rPr>
          <w:rFonts w:hint="eastAsia" w:ascii="仿宋" w:hAnsi="仿宋" w:eastAsia="仿宋" w:cs="仿宋"/>
          <w:spacing w:val="8"/>
          <w:sz w:val="24"/>
          <w:szCs w:val="24"/>
          <w:highlight w:val="none"/>
        </w:rPr>
        <w:fldChar w:fldCharType="end"/>
      </w:r>
    </w:p>
    <w:p w14:paraId="57D08EE1">
      <w:pPr>
        <w:keepNext w:val="0"/>
        <w:keepLines w:val="0"/>
        <w:pageBreakBefore w:val="0"/>
        <w:widowControl/>
        <w:kinsoku/>
        <w:wordWrap/>
        <w:overflowPunct/>
        <w:topLinePunct w:val="0"/>
        <w:autoSpaceDE/>
        <w:autoSpaceDN/>
        <w:bidi w:val="0"/>
        <w:adjustRightInd w:val="0"/>
        <w:snapToGrid/>
        <w:spacing w:line="410" w:lineRule="exact"/>
        <w:ind w:firstLine="482" w:firstLineChars="200"/>
        <w:contextualSpacing/>
        <w:jc w:val="left"/>
        <w:textAlignment w:val="auto"/>
        <w:rPr>
          <w:rFonts w:ascii="仿宋" w:hAnsi="仿宋" w:eastAsia="仿宋" w:cs="仿宋"/>
          <w:b/>
          <w:bCs/>
          <w:sz w:val="24"/>
          <w:szCs w:val="24"/>
          <w:highlight w:val="none"/>
        </w:rPr>
      </w:pPr>
      <w:r>
        <w:rPr>
          <w:rFonts w:hint="eastAsia" w:ascii="仿宋" w:hAnsi="仿宋" w:eastAsia="仿宋" w:cs="仿宋"/>
          <w:b/>
          <w:bCs/>
          <w:sz w:val="24"/>
          <w:szCs w:val="24"/>
          <w:highlight w:val="none"/>
        </w:rPr>
        <w:t>九、发布公告的媒介</w:t>
      </w:r>
    </w:p>
    <w:p w14:paraId="70DAA73E">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bookmarkStart w:id="6" w:name="_Toc39827536"/>
      <w:bookmarkStart w:id="7" w:name="_Toc39827471"/>
      <w:bookmarkStart w:id="8" w:name="_Toc38213886"/>
      <w:bookmarkStart w:id="9" w:name="_Toc39827101"/>
      <w:r>
        <w:rPr>
          <w:rFonts w:hint="eastAsia" w:ascii="仿宋" w:hAnsi="仿宋" w:eastAsia="仿宋" w:cs="仿宋"/>
          <w:spacing w:val="8"/>
          <w:sz w:val="24"/>
          <w:szCs w:val="24"/>
          <w:highlight w:val="none"/>
        </w:rPr>
        <w:t>本次公告在</w:t>
      </w:r>
      <w:r>
        <w:rPr>
          <w:rFonts w:hint="eastAsia" w:ascii="仿宋" w:hAnsi="仿宋" w:eastAsia="仿宋" w:cs="仿宋"/>
          <w:spacing w:val="8"/>
          <w:sz w:val="24"/>
          <w:szCs w:val="24"/>
          <w:highlight w:val="none"/>
          <w:lang w:eastAsia="zh-CN"/>
        </w:rPr>
        <w:t>中国招标投标公共服务平台（www.cebpubservice.com）、威海市公共资源交易网（http://ggzyjy.weihai.cn/）</w:t>
      </w:r>
      <w:r>
        <w:rPr>
          <w:rFonts w:hint="eastAsia" w:ascii="仿宋" w:hAnsi="仿宋" w:eastAsia="仿宋" w:cs="仿宋"/>
          <w:spacing w:val="8"/>
          <w:sz w:val="24"/>
          <w:szCs w:val="24"/>
          <w:highlight w:val="none"/>
        </w:rPr>
        <w:t>上发布。</w:t>
      </w:r>
      <w:bookmarkEnd w:id="6"/>
      <w:bookmarkEnd w:id="7"/>
      <w:bookmarkEnd w:id="8"/>
      <w:bookmarkEnd w:id="9"/>
    </w:p>
    <w:p w14:paraId="644A137D">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p>
    <w:p w14:paraId="6BA06C60">
      <w:pPr>
        <w:pStyle w:val="58"/>
        <w:rPr>
          <w:rFonts w:hint="eastAsia"/>
          <w:highlight w:val="none"/>
        </w:rPr>
      </w:pPr>
    </w:p>
    <w:p w14:paraId="3B37976D">
      <w:pPr>
        <w:keepNext w:val="0"/>
        <w:keepLines w:val="0"/>
        <w:pageBreakBefore w:val="0"/>
        <w:kinsoku/>
        <w:wordWrap/>
        <w:overflowPunct/>
        <w:topLinePunct w:val="0"/>
        <w:autoSpaceDE/>
        <w:autoSpaceDN/>
        <w:bidi w:val="0"/>
        <w:snapToGrid/>
        <w:spacing w:line="410" w:lineRule="exact"/>
        <w:ind w:firstLine="3720" w:firstLineChars="1550"/>
        <w:contextualSpacing/>
        <w:jc w:val="right"/>
        <w:textAlignment w:val="auto"/>
        <w:rPr>
          <w:rFonts w:ascii="仿宋" w:hAnsi="仿宋" w:eastAsia="仿宋" w:cs="仿宋"/>
          <w:sz w:val="24"/>
          <w:szCs w:val="24"/>
          <w:highlight w:val="none"/>
        </w:rPr>
      </w:pPr>
      <w:r>
        <w:rPr>
          <w:rFonts w:hint="eastAsia" w:ascii="仿宋" w:hAnsi="仿宋" w:eastAsia="仿宋" w:cs="仿宋"/>
          <w:sz w:val="24"/>
          <w:szCs w:val="24"/>
          <w:highlight w:val="none"/>
        </w:rPr>
        <w:t>发布人：</w:t>
      </w:r>
      <w:r>
        <w:rPr>
          <w:rFonts w:hint="eastAsia" w:ascii="仿宋" w:hAnsi="仿宋" w:eastAsia="仿宋" w:cs="仿宋"/>
          <w:spacing w:val="8"/>
          <w:sz w:val="24"/>
          <w:szCs w:val="24"/>
          <w:highlight w:val="none"/>
        </w:rPr>
        <w:t>山东富尔工程咨询管理有限公司</w:t>
      </w:r>
    </w:p>
    <w:p w14:paraId="26D9F5C1">
      <w:pPr>
        <w:keepNext w:val="0"/>
        <w:keepLines w:val="0"/>
        <w:pageBreakBefore w:val="0"/>
        <w:widowControl/>
        <w:kinsoku/>
        <w:wordWrap/>
        <w:overflowPunct/>
        <w:topLinePunct w:val="0"/>
        <w:autoSpaceDE/>
        <w:autoSpaceDN/>
        <w:bidi w:val="0"/>
        <w:adjustRightInd w:val="0"/>
        <w:snapToGrid/>
        <w:spacing w:line="410" w:lineRule="exact"/>
        <w:ind w:left="-240"/>
        <w:contextualSpacing/>
        <w:jc w:val="righ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发布时间：</w:t>
      </w:r>
      <w:r>
        <w:rPr>
          <w:rFonts w:hint="eastAsia" w:ascii="仿宋" w:hAnsi="仿宋" w:eastAsia="仿宋" w:cs="仿宋"/>
          <w:sz w:val="24"/>
          <w:szCs w:val="24"/>
          <w:highlight w:val="none"/>
          <w:lang w:val="en-US" w:eastAsia="zh-CN"/>
        </w:rPr>
        <w:t>2026年09</w:t>
      </w:r>
      <w:r>
        <w:rPr>
          <w:rFonts w:hint="eastAsia" w:ascii="仿宋" w:hAnsi="仿宋" w:eastAsia="仿宋" w:cs="仿宋"/>
          <w:sz w:val="24"/>
          <w:szCs w:val="24"/>
          <w:highlight w:val="none"/>
        </w:rPr>
        <w:t>月</w:t>
      </w:r>
      <w:r>
        <w:rPr>
          <w:rFonts w:hint="eastAsia" w:ascii="仿宋" w:hAnsi="仿宋" w:eastAsia="仿宋" w:cs="仿宋"/>
          <w:sz w:val="24"/>
          <w:szCs w:val="24"/>
          <w:highlight w:val="none"/>
          <w:lang w:val="en-US" w:eastAsia="zh-CN"/>
        </w:rPr>
        <w:t>10</w:t>
      </w:r>
      <w:r>
        <w:rPr>
          <w:rFonts w:hint="eastAsia" w:ascii="仿宋" w:hAnsi="仿宋" w:eastAsia="仿宋" w:cs="仿宋"/>
          <w:sz w:val="24"/>
          <w:szCs w:val="24"/>
          <w:highlight w:val="none"/>
        </w:rPr>
        <w:t>日</w:t>
      </w:r>
      <w:bookmarkEnd w:id="2"/>
    </w:p>
    <w:p w14:paraId="71026BE5">
      <w:pPr>
        <w:pStyle w:val="36"/>
        <w:rPr>
          <w:highlight w:val="none"/>
        </w:rPr>
      </w:pPr>
    </w:p>
    <w:p w14:paraId="4D77B73E">
      <w:pPr>
        <w:pStyle w:val="3"/>
        <w:bidi w:val="0"/>
        <w:rPr>
          <w:rFonts w:hint="eastAsia"/>
          <w:highlight w:val="none"/>
        </w:rPr>
      </w:pPr>
      <w:r>
        <w:rPr>
          <w:rFonts w:ascii="仿宋" w:hAnsi="仿宋" w:eastAsia="仿宋" w:cs="仿宋"/>
          <w:b w:val="0"/>
          <w:bCs/>
          <w:szCs w:val="24"/>
          <w:highlight w:val="none"/>
        </w:rPr>
        <w:br w:type="page"/>
      </w:r>
      <w:bookmarkStart w:id="10" w:name="_Toc2691"/>
      <w:r>
        <w:rPr>
          <w:rFonts w:hint="eastAsia"/>
          <w:highlight w:val="none"/>
          <w:lang w:eastAsia="zh-CN"/>
        </w:rPr>
        <w:t>第二部分</w:t>
      </w:r>
      <w:r>
        <w:rPr>
          <w:rFonts w:hint="eastAsia"/>
          <w:highlight w:val="none"/>
          <w:lang w:val="en-US" w:eastAsia="zh-CN"/>
        </w:rPr>
        <w:t xml:space="preserve"> </w:t>
      </w:r>
      <w:r>
        <w:rPr>
          <w:rFonts w:hint="eastAsia"/>
          <w:highlight w:val="none"/>
        </w:rPr>
        <w:t xml:space="preserve"> 投标须知</w:t>
      </w:r>
      <w:bookmarkEnd w:id="10"/>
    </w:p>
    <w:p w14:paraId="0D230CD3">
      <w:pPr>
        <w:jc w:val="center"/>
        <w:rPr>
          <w:rFonts w:ascii="仿宋" w:hAnsi="仿宋" w:eastAsia="仿宋" w:cs="仿宋"/>
          <w:sz w:val="24"/>
          <w:szCs w:val="24"/>
          <w:highlight w:val="none"/>
        </w:rPr>
      </w:pPr>
      <w:r>
        <w:rPr>
          <w:rFonts w:hint="eastAsia" w:ascii="仿宋" w:hAnsi="仿宋" w:eastAsia="仿宋" w:cs="仿宋"/>
          <w:b/>
          <w:bCs/>
          <w:sz w:val="30"/>
          <w:szCs w:val="30"/>
          <w:highlight w:val="none"/>
        </w:rPr>
        <w:t>投标须知前附表</w:t>
      </w:r>
    </w:p>
    <w:tbl>
      <w:tblPr>
        <w:tblStyle w:val="41"/>
        <w:tblW w:w="9467"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32"/>
        <w:gridCol w:w="1761"/>
        <w:gridCol w:w="6774"/>
      </w:tblGrid>
      <w:tr w14:paraId="2F61721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7" w:hRule="atLeast"/>
          <w:jc w:val="center"/>
        </w:trPr>
        <w:tc>
          <w:tcPr>
            <w:tcW w:w="932" w:type="dxa"/>
            <w:tcBorders>
              <w:top w:val="single" w:color="auto" w:sz="4" w:space="0"/>
              <w:bottom w:val="single" w:color="auto" w:sz="4" w:space="0"/>
              <w:right w:val="single" w:color="auto" w:sz="4" w:space="0"/>
            </w:tcBorders>
            <w:noWrap w:val="0"/>
            <w:vAlign w:val="center"/>
          </w:tcPr>
          <w:p w14:paraId="38E1C338">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序号</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4BD5AF0E">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项    目</w:t>
            </w:r>
          </w:p>
        </w:tc>
        <w:tc>
          <w:tcPr>
            <w:tcW w:w="6774" w:type="dxa"/>
            <w:tcBorders>
              <w:top w:val="single" w:color="auto" w:sz="4" w:space="0"/>
              <w:left w:val="single" w:color="auto" w:sz="4" w:space="0"/>
              <w:bottom w:val="single" w:color="auto" w:sz="4" w:space="0"/>
            </w:tcBorders>
            <w:noWrap w:val="0"/>
            <w:vAlign w:val="center"/>
          </w:tcPr>
          <w:p w14:paraId="0C0734B4">
            <w:pPr>
              <w:snapToGrid w:val="0"/>
              <w:spacing w:line="400" w:lineRule="exact"/>
              <w:ind w:left="57" w:firstLine="482" w:firstLineChars="201"/>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内           容</w:t>
            </w:r>
          </w:p>
        </w:tc>
      </w:tr>
      <w:tr w14:paraId="252CF20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7" w:hRule="atLeast"/>
          <w:jc w:val="center"/>
        </w:trPr>
        <w:tc>
          <w:tcPr>
            <w:tcW w:w="932" w:type="dxa"/>
            <w:tcBorders>
              <w:top w:val="single" w:color="auto" w:sz="4" w:space="0"/>
              <w:bottom w:val="single" w:color="auto" w:sz="4" w:space="0"/>
              <w:right w:val="single" w:color="auto" w:sz="4" w:space="0"/>
            </w:tcBorders>
            <w:noWrap w:val="0"/>
            <w:vAlign w:val="center"/>
          </w:tcPr>
          <w:p w14:paraId="4008ED2F">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1</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1F6358E2">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项目名称</w:t>
            </w:r>
          </w:p>
        </w:tc>
        <w:tc>
          <w:tcPr>
            <w:tcW w:w="6774" w:type="dxa"/>
            <w:tcBorders>
              <w:top w:val="single" w:color="auto" w:sz="4" w:space="0"/>
              <w:left w:val="single" w:color="auto" w:sz="4" w:space="0"/>
              <w:bottom w:val="single" w:color="auto" w:sz="4" w:space="0"/>
            </w:tcBorders>
            <w:noWrap w:val="0"/>
            <w:vAlign w:val="center"/>
          </w:tcPr>
          <w:p w14:paraId="4BD69BA2">
            <w:pPr>
              <w:snapToGrid w:val="0"/>
              <w:spacing w:line="400" w:lineRule="exact"/>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选定车辆定点加油服务单位</w:t>
            </w:r>
          </w:p>
        </w:tc>
      </w:tr>
      <w:tr w14:paraId="0645C24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3" w:hRule="atLeast"/>
          <w:jc w:val="center"/>
        </w:trPr>
        <w:tc>
          <w:tcPr>
            <w:tcW w:w="932" w:type="dxa"/>
            <w:tcBorders>
              <w:top w:val="single" w:color="auto" w:sz="4" w:space="0"/>
              <w:bottom w:val="single" w:color="auto" w:sz="4" w:space="0"/>
              <w:right w:val="single" w:color="auto" w:sz="4" w:space="0"/>
            </w:tcBorders>
            <w:noWrap w:val="0"/>
            <w:vAlign w:val="center"/>
          </w:tcPr>
          <w:p w14:paraId="0F89AC62">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54B08BBD">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招标</w:t>
            </w:r>
            <w:r>
              <w:rPr>
                <w:rFonts w:hint="eastAsia" w:ascii="仿宋" w:hAnsi="仿宋" w:eastAsia="仿宋" w:cs="仿宋"/>
                <w:sz w:val="24"/>
                <w:szCs w:val="24"/>
                <w:highlight w:val="none"/>
              </w:rPr>
              <w:t>编号</w:t>
            </w:r>
          </w:p>
        </w:tc>
        <w:tc>
          <w:tcPr>
            <w:tcW w:w="6774" w:type="dxa"/>
            <w:tcBorders>
              <w:top w:val="single" w:color="auto" w:sz="4" w:space="0"/>
              <w:left w:val="single" w:color="auto" w:sz="4" w:space="0"/>
              <w:bottom w:val="single" w:color="auto" w:sz="4" w:space="0"/>
            </w:tcBorders>
            <w:noWrap w:val="0"/>
            <w:vAlign w:val="center"/>
          </w:tcPr>
          <w:p w14:paraId="5E754ECF">
            <w:pPr>
              <w:snapToGrid w:val="0"/>
              <w:spacing w:line="400" w:lineRule="exact"/>
              <w:jc w:val="left"/>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eastAsia="zh-CN"/>
              </w:rPr>
              <w:t>WHJTCZ2026-0007</w:t>
            </w:r>
          </w:p>
        </w:tc>
      </w:tr>
      <w:tr w14:paraId="6A60462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89" w:hRule="atLeast"/>
          <w:jc w:val="center"/>
        </w:trPr>
        <w:tc>
          <w:tcPr>
            <w:tcW w:w="932" w:type="dxa"/>
            <w:tcBorders>
              <w:top w:val="single" w:color="auto" w:sz="4" w:space="0"/>
              <w:bottom w:val="single" w:color="auto" w:sz="4" w:space="0"/>
              <w:right w:val="single" w:color="auto" w:sz="4" w:space="0"/>
            </w:tcBorders>
            <w:noWrap w:val="0"/>
            <w:vAlign w:val="center"/>
          </w:tcPr>
          <w:p w14:paraId="17C61402">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3</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37A7D3B9">
            <w:pPr>
              <w:snapToGrid w:val="0"/>
              <w:spacing w:line="400" w:lineRule="exact"/>
              <w:jc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招标人</w:t>
            </w:r>
          </w:p>
        </w:tc>
        <w:tc>
          <w:tcPr>
            <w:tcW w:w="6774" w:type="dxa"/>
            <w:tcBorders>
              <w:top w:val="single" w:color="auto" w:sz="4" w:space="0"/>
              <w:left w:val="single" w:color="auto" w:sz="4" w:space="0"/>
              <w:bottom w:val="single" w:color="auto" w:sz="4" w:space="0"/>
            </w:tcBorders>
            <w:noWrap w:val="0"/>
            <w:vAlign w:val="bottom"/>
          </w:tcPr>
          <w:p w14:paraId="4CA6DC99">
            <w:pPr>
              <w:snapToGrid w:val="0"/>
              <w:spacing w:line="400" w:lineRule="exact"/>
              <w:jc w:val="left"/>
              <w:rPr>
                <w:rFonts w:hint="eastAsia" w:ascii="仿宋" w:hAnsi="仿宋" w:eastAsia="仿宋" w:cs="仿宋"/>
                <w:spacing w:val="8"/>
                <w:sz w:val="24"/>
                <w:szCs w:val="24"/>
                <w:highlight w:val="none"/>
                <w:lang w:eastAsia="zh-CN"/>
              </w:rPr>
            </w:pPr>
            <w:r>
              <w:rPr>
                <w:rFonts w:hint="eastAsia" w:ascii="仿宋" w:hAnsi="仿宋" w:eastAsia="仿宋" w:cs="仿宋"/>
                <w:sz w:val="24"/>
                <w:szCs w:val="24"/>
                <w:highlight w:val="none"/>
              </w:rPr>
              <w:t>名称：</w:t>
            </w:r>
            <w:r>
              <w:rPr>
                <w:rFonts w:hint="eastAsia" w:ascii="仿宋" w:hAnsi="仿宋" w:eastAsia="仿宋" w:cs="仿宋"/>
                <w:spacing w:val="8"/>
                <w:sz w:val="24"/>
                <w:szCs w:val="24"/>
                <w:highlight w:val="none"/>
                <w:lang w:eastAsia="zh-CN"/>
              </w:rPr>
              <w:t>威海交通场站管理有限公司</w:t>
            </w:r>
          </w:p>
          <w:p w14:paraId="39ADEDF2">
            <w:pPr>
              <w:snapToGrid w:val="0"/>
              <w:spacing w:line="400" w:lineRule="exact"/>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地址：</w:t>
            </w:r>
            <w:r>
              <w:rPr>
                <w:rFonts w:hint="eastAsia" w:ascii="仿宋" w:hAnsi="仿宋" w:eastAsia="仿宋" w:cs="仿宋"/>
                <w:spacing w:val="8"/>
                <w:sz w:val="24"/>
                <w:szCs w:val="24"/>
                <w:highlight w:val="none"/>
                <w:lang w:eastAsia="zh-CN"/>
              </w:rPr>
              <w:t>威海市疏站路6号威海站客运楼5楼办公室</w:t>
            </w:r>
          </w:p>
          <w:p w14:paraId="2DD23653">
            <w:pPr>
              <w:snapToGrid w:val="0"/>
              <w:spacing w:line="400" w:lineRule="exact"/>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联系人：</w:t>
            </w:r>
            <w:r>
              <w:rPr>
                <w:rFonts w:hint="eastAsia" w:ascii="仿宋" w:hAnsi="仿宋" w:eastAsia="仿宋" w:cs="仿宋"/>
                <w:sz w:val="24"/>
                <w:szCs w:val="24"/>
                <w:highlight w:val="none"/>
                <w:lang w:eastAsia="zh-CN"/>
              </w:rPr>
              <w:t>曲一鸣</w:t>
            </w:r>
          </w:p>
          <w:p w14:paraId="4D7244D7">
            <w:pPr>
              <w:snapToGrid w:val="0"/>
              <w:spacing w:line="400" w:lineRule="exact"/>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联系电话：</w:t>
            </w:r>
            <w:r>
              <w:rPr>
                <w:rFonts w:hint="eastAsia" w:ascii="仿宋" w:hAnsi="仿宋" w:eastAsia="仿宋" w:cs="仿宋"/>
                <w:sz w:val="24"/>
                <w:szCs w:val="24"/>
                <w:highlight w:val="none"/>
                <w:lang w:eastAsia="zh-CN"/>
              </w:rPr>
              <w:t>0631-5890096</w:t>
            </w:r>
          </w:p>
        </w:tc>
      </w:tr>
      <w:tr w14:paraId="3B66EAB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89" w:hRule="atLeast"/>
          <w:jc w:val="center"/>
        </w:trPr>
        <w:tc>
          <w:tcPr>
            <w:tcW w:w="932" w:type="dxa"/>
            <w:tcBorders>
              <w:top w:val="single" w:color="auto" w:sz="4" w:space="0"/>
              <w:bottom w:val="single" w:color="auto" w:sz="4" w:space="0"/>
              <w:right w:val="single" w:color="auto" w:sz="4" w:space="0"/>
            </w:tcBorders>
            <w:noWrap w:val="0"/>
            <w:vAlign w:val="center"/>
          </w:tcPr>
          <w:p w14:paraId="02349C04">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4</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4C7B4B28">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w:t>
            </w:r>
          </w:p>
        </w:tc>
        <w:tc>
          <w:tcPr>
            <w:tcW w:w="6774" w:type="dxa"/>
            <w:tcBorders>
              <w:top w:val="single" w:color="auto" w:sz="4" w:space="0"/>
              <w:left w:val="single" w:color="auto" w:sz="4" w:space="0"/>
              <w:bottom w:val="single" w:color="auto" w:sz="4" w:space="0"/>
            </w:tcBorders>
            <w:noWrap w:val="0"/>
            <w:vAlign w:val="center"/>
          </w:tcPr>
          <w:p w14:paraId="2AB2CAA5">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名称：山东富尔工程咨询管理有限公司</w:t>
            </w:r>
          </w:p>
          <w:p w14:paraId="1F9D181E">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地址：威海市古寨东路315号</w:t>
            </w:r>
          </w:p>
          <w:p w14:paraId="0DB085F5">
            <w:pPr>
              <w:snapToGrid w:val="0"/>
              <w:spacing w:line="400" w:lineRule="exact"/>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联系人：</w:t>
            </w:r>
            <w:r>
              <w:rPr>
                <w:rFonts w:hint="eastAsia" w:ascii="仿宋" w:hAnsi="仿宋" w:eastAsia="仿宋" w:cs="仿宋"/>
                <w:sz w:val="24"/>
                <w:szCs w:val="24"/>
                <w:highlight w:val="none"/>
                <w:lang w:eastAsia="zh-CN"/>
              </w:rPr>
              <w:t>李中元</w:t>
            </w:r>
          </w:p>
          <w:p w14:paraId="7AAC8538">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pacing w:val="8"/>
                <w:sz w:val="24"/>
                <w:szCs w:val="24"/>
                <w:highlight w:val="none"/>
              </w:rPr>
              <w:t>联系方式：</w:t>
            </w:r>
            <w:r>
              <w:rPr>
                <w:rFonts w:hint="eastAsia" w:ascii="仿宋" w:hAnsi="仿宋" w:eastAsia="仿宋" w:cs="仿宋"/>
                <w:sz w:val="24"/>
                <w:szCs w:val="24"/>
                <w:highlight w:val="none"/>
              </w:rPr>
              <w:t>0631-5896358</w:t>
            </w:r>
          </w:p>
        </w:tc>
      </w:tr>
      <w:tr w14:paraId="7375965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25" w:hRule="atLeast"/>
          <w:jc w:val="center"/>
        </w:trPr>
        <w:tc>
          <w:tcPr>
            <w:tcW w:w="932" w:type="dxa"/>
            <w:tcBorders>
              <w:top w:val="single" w:color="auto" w:sz="4" w:space="0"/>
              <w:bottom w:val="single" w:color="auto" w:sz="4" w:space="0"/>
              <w:right w:val="single" w:color="auto" w:sz="4" w:space="0"/>
            </w:tcBorders>
            <w:noWrap w:val="0"/>
            <w:vAlign w:val="center"/>
          </w:tcPr>
          <w:p w14:paraId="36CBE057">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5</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7A3F35EC">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资金来源</w:t>
            </w:r>
          </w:p>
          <w:p w14:paraId="2EE47166">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及比例</w:t>
            </w:r>
          </w:p>
        </w:tc>
        <w:tc>
          <w:tcPr>
            <w:tcW w:w="6774" w:type="dxa"/>
            <w:tcBorders>
              <w:top w:val="single" w:color="auto" w:sz="4" w:space="0"/>
              <w:left w:val="single" w:color="auto" w:sz="4" w:space="0"/>
              <w:bottom w:val="single" w:color="auto" w:sz="4" w:space="0"/>
            </w:tcBorders>
            <w:noWrap w:val="0"/>
            <w:vAlign w:val="center"/>
          </w:tcPr>
          <w:p w14:paraId="7423426B">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100%自筹资金</w:t>
            </w:r>
          </w:p>
        </w:tc>
      </w:tr>
      <w:tr w14:paraId="0AABD71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932" w:type="dxa"/>
            <w:tcBorders>
              <w:top w:val="single" w:color="auto" w:sz="4" w:space="0"/>
              <w:bottom w:val="single" w:color="auto" w:sz="4" w:space="0"/>
              <w:right w:val="single" w:color="auto" w:sz="4" w:space="0"/>
            </w:tcBorders>
            <w:noWrap w:val="0"/>
            <w:vAlign w:val="center"/>
          </w:tcPr>
          <w:p w14:paraId="63A58433">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6</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08ADCDF2">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资金落实情况</w:t>
            </w:r>
          </w:p>
        </w:tc>
        <w:tc>
          <w:tcPr>
            <w:tcW w:w="6774" w:type="dxa"/>
            <w:tcBorders>
              <w:top w:val="single" w:color="auto" w:sz="4" w:space="0"/>
              <w:left w:val="single" w:color="auto" w:sz="4" w:space="0"/>
              <w:bottom w:val="single" w:color="auto" w:sz="4" w:space="0"/>
            </w:tcBorders>
            <w:noWrap w:val="0"/>
            <w:vAlign w:val="center"/>
          </w:tcPr>
          <w:p w14:paraId="6E44A9B7">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已落实</w:t>
            </w:r>
          </w:p>
        </w:tc>
      </w:tr>
      <w:tr w14:paraId="6518BD9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5" w:hRule="atLeast"/>
          <w:jc w:val="center"/>
        </w:trPr>
        <w:tc>
          <w:tcPr>
            <w:tcW w:w="932" w:type="dxa"/>
            <w:tcBorders>
              <w:top w:val="single" w:color="auto" w:sz="4" w:space="0"/>
              <w:bottom w:val="single" w:color="auto" w:sz="4" w:space="0"/>
              <w:right w:val="single" w:color="auto" w:sz="4" w:space="0"/>
            </w:tcBorders>
            <w:noWrap w:val="0"/>
            <w:vAlign w:val="center"/>
          </w:tcPr>
          <w:p w14:paraId="2A7FAFE9">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7</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30486789">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电子投标</w:t>
            </w:r>
          </w:p>
          <w:p w14:paraId="77BF82E7">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特别提示</w:t>
            </w:r>
          </w:p>
        </w:tc>
        <w:tc>
          <w:tcPr>
            <w:tcW w:w="6774" w:type="dxa"/>
            <w:tcBorders>
              <w:top w:val="single" w:color="auto" w:sz="4" w:space="0"/>
              <w:left w:val="single" w:color="auto" w:sz="4" w:space="0"/>
              <w:bottom w:val="single" w:color="auto" w:sz="4" w:space="0"/>
            </w:tcBorders>
            <w:noWrap w:val="0"/>
            <w:vAlign w:val="center"/>
          </w:tcPr>
          <w:p w14:paraId="3CF41F72">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本项目投标人必须在“威海市公共资源交易网”（http://ggzyjy.weihai.cn/）完成注册入库（已完成注册用户无需重复注册），首次注册投标人需登录“威海市公共资源交易网”首页右侧“交易服务一网通办系统-（新版）一网通办系统”进行注册，取得用户名和密码；首次注册的投标人应及时办理安全证书（CA锁）及电子签章。</w:t>
            </w:r>
          </w:p>
          <w:p w14:paraId="5598A99E">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2、本项目必须网上递交投标文件，参与本项目的投标人应利用办理好的CA锁登录国企阳光采购平台进行获取招标文件、文件下载和网上递交投标文件，且安全证书（CA锁）在有效期内。</w:t>
            </w:r>
          </w:p>
          <w:p w14:paraId="5C903286">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3、电子投标文件制作及递交等有关操作见本文件及威海市公共资源交易网办事指南栏目-国企采购专区-《新版威海市国有企业阳光采购服务平台操作演示视频（供应商）》，网址:https://ggzyjy.weihai.cn/bszn/005005/20260109/315a049e-0d75-4f85-8634-00d90a843936.html、投标（响应）文件制作及系统使用咨询电话：17863029936 ；QQ服务群：1046971257。</w:t>
            </w:r>
          </w:p>
          <w:p w14:paraId="5186F33F">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4、网上提交投标文件时，登录交易平台的电脑须满足环境要求（详见新版威海市国有企业阳光采购服务平台供应商用户手册网址：https://ggzyjy.weihai.cn/bszn/005005/20260109/eb4ba418-4b35-4f05-aa69-44fd7d8a7ffb.html）。</w:t>
            </w:r>
          </w:p>
          <w:p w14:paraId="3620AE5B">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5、投标人提交的电子投标文件应按照本招标文件《第五部分投标文件格式》进行编制，数据文件（excel格式）必须从本项目的招标文件压缩包内的对应包段目录下获取，且必须在原文件上严格按照其中要求填写。因投标人（供应商）自身原因导致电子投标文件编制不规范使投标文件内容无法导入系统的，该投标文件将被视为无效投标（响应）文件。</w:t>
            </w:r>
          </w:p>
          <w:p w14:paraId="58EFCA91">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6、电子投标文件必需有电子签章方为合法的投标文件，未对电子投标文件进行电子签章的，将作为无效投标（响应）处理。电子投标文件的电子签章要求：在生成电子投标文件pdf格式时，都必须对电子投标文件进行电子签章；签章时需要将电子签章签署到相应的位置中。</w:t>
            </w:r>
          </w:p>
          <w:p w14:paraId="3E28223D">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7、投标人投标文件中的相关扫描件应保证清晰度，无法辨认的评审时受到影响的，由投标人承担相应责任。</w:t>
            </w:r>
          </w:p>
          <w:p w14:paraId="54C89812">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8、除网上递交电子投标文件外，如有要求递交相关资质证明文件原件的，还须按其要求独立密封递交（被授权人身份证原件除外）</w:t>
            </w:r>
          </w:p>
          <w:p w14:paraId="26F4D27A">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9、投标人应充分考虑到网上递交投标文件会发生的故障和风险。对发生的任何故障和风险造成投标人报价内容不一致或利益受损或投标失败的，招标人及招标代理机构不承担任何责任。</w:t>
            </w:r>
          </w:p>
        </w:tc>
      </w:tr>
      <w:tr w14:paraId="3B6C712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5" w:hRule="atLeast"/>
          <w:jc w:val="center"/>
        </w:trPr>
        <w:tc>
          <w:tcPr>
            <w:tcW w:w="932" w:type="dxa"/>
            <w:tcBorders>
              <w:top w:val="single" w:color="auto" w:sz="4" w:space="0"/>
              <w:bottom w:val="single" w:color="auto" w:sz="4" w:space="0"/>
              <w:right w:val="single" w:color="auto" w:sz="4" w:space="0"/>
            </w:tcBorders>
            <w:noWrap w:val="0"/>
            <w:vAlign w:val="center"/>
          </w:tcPr>
          <w:p w14:paraId="2AC98FF6">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8</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0F9BBBF3">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资质证明文件</w:t>
            </w:r>
          </w:p>
          <w:p w14:paraId="44441067">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原件</w:t>
            </w:r>
          </w:p>
        </w:tc>
        <w:tc>
          <w:tcPr>
            <w:tcW w:w="6774" w:type="dxa"/>
            <w:tcBorders>
              <w:top w:val="single" w:color="auto" w:sz="4" w:space="0"/>
              <w:left w:val="single" w:color="auto" w:sz="4" w:space="0"/>
              <w:bottom w:val="single" w:color="auto" w:sz="4" w:space="0"/>
            </w:tcBorders>
            <w:noWrap w:val="0"/>
            <w:vAlign w:val="center"/>
          </w:tcPr>
          <w:p w14:paraId="02C44B36">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不要求提供</w:t>
            </w:r>
          </w:p>
        </w:tc>
      </w:tr>
      <w:tr w14:paraId="697A20D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5" w:hRule="atLeast"/>
          <w:jc w:val="center"/>
        </w:trPr>
        <w:tc>
          <w:tcPr>
            <w:tcW w:w="932" w:type="dxa"/>
            <w:tcBorders>
              <w:top w:val="single" w:color="auto" w:sz="4" w:space="0"/>
              <w:bottom w:val="single" w:color="auto" w:sz="4" w:space="0"/>
              <w:right w:val="single" w:color="auto" w:sz="4" w:space="0"/>
            </w:tcBorders>
            <w:noWrap w:val="0"/>
            <w:vAlign w:val="center"/>
          </w:tcPr>
          <w:p w14:paraId="38D2325D">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9</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28DB91FD">
            <w:pPr>
              <w:snapToGrid w:val="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投标文件份数</w:t>
            </w:r>
          </w:p>
        </w:tc>
        <w:tc>
          <w:tcPr>
            <w:tcW w:w="6774" w:type="dxa"/>
            <w:tcBorders>
              <w:top w:val="single" w:color="auto" w:sz="4" w:space="0"/>
              <w:left w:val="single" w:color="auto" w:sz="4" w:space="0"/>
              <w:bottom w:val="single" w:color="auto" w:sz="4" w:space="0"/>
            </w:tcBorders>
            <w:noWrap w:val="0"/>
            <w:vAlign w:val="center"/>
          </w:tcPr>
          <w:p w14:paraId="77E0E354">
            <w:pPr>
              <w:snapToGrid w:val="0"/>
              <w:spacing w:line="400" w:lineRule="exact"/>
              <w:jc w:val="left"/>
              <w:rPr>
                <w:rFonts w:hint="eastAsia"/>
                <w:highlight w:val="none"/>
              </w:rPr>
            </w:pPr>
            <w:r>
              <w:rPr>
                <w:rFonts w:hint="eastAsia" w:ascii="仿宋" w:hAnsi="仿宋" w:eastAsia="仿宋" w:cs="仿宋"/>
                <w:sz w:val="24"/>
                <w:szCs w:val="24"/>
                <w:highlight w:val="none"/>
              </w:rPr>
              <w:t>网上按时递交电子投标文件1份以及纸质投标文件</w:t>
            </w: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份</w:t>
            </w:r>
          </w:p>
        </w:tc>
      </w:tr>
      <w:tr w14:paraId="0EF77AF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932" w:type="dxa"/>
            <w:tcBorders>
              <w:top w:val="single" w:color="auto" w:sz="4" w:space="0"/>
              <w:bottom w:val="single" w:color="auto" w:sz="4" w:space="0"/>
              <w:right w:val="single" w:color="auto" w:sz="4" w:space="0"/>
            </w:tcBorders>
            <w:noWrap w:val="0"/>
            <w:vAlign w:val="center"/>
          </w:tcPr>
          <w:p w14:paraId="60D9F6E7">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10</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296BE2C1">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实物样品</w:t>
            </w:r>
          </w:p>
        </w:tc>
        <w:tc>
          <w:tcPr>
            <w:tcW w:w="6774" w:type="dxa"/>
            <w:tcBorders>
              <w:top w:val="single" w:color="auto" w:sz="4" w:space="0"/>
              <w:left w:val="single" w:color="auto" w:sz="4" w:space="0"/>
              <w:bottom w:val="single" w:color="auto" w:sz="4" w:space="0"/>
            </w:tcBorders>
            <w:noWrap w:val="0"/>
            <w:vAlign w:val="center"/>
          </w:tcPr>
          <w:p w14:paraId="1F32BC3F">
            <w:pPr>
              <w:snapToGrid w:val="0"/>
              <w:spacing w:line="400" w:lineRule="exact"/>
              <w:jc w:val="left"/>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无</w:t>
            </w:r>
          </w:p>
        </w:tc>
      </w:tr>
      <w:tr w14:paraId="5337BE7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932" w:type="dxa"/>
            <w:tcBorders>
              <w:top w:val="single" w:color="auto" w:sz="4" w:space="0"/>
              <w:bottom w:val="single" w:color="auto" w:sz="4" w:space="0"/>
              <w:right w:val="single" w:color="auto" w:sz="4" w:space="0"/>
            </w:tcBorders>
            <w:noWrap w:val="0"/>
            <w:vAlign w:val="center"/>
          </w:tcPr>
          <w:p w14:paraId="0EF54898">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11</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416EE2C3">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现场踏勘</w:t>
            </w:r>
          </w:p>
        </w:tc>
        <w:tc>
          <w:tcPr>
            <w:tcW w:w="6774" w:type="dxa"/>
            <w:tcBorders>
              <w:top w:val="single" w:color="auto" w:sz="4" w:space="0"/>
              <w:left w:val="single" w:color="auto" w:sz="4" w:space="0"/>
              <w:bottom w:val="single" w:color="auto" w:sz="4" w:space="0"/>
            </w:tcBorders>
            <w:noWrap w:val="0"/>
            <w:vAlign w:val="center"/>
          </w:tcPr>
          <w:p w14:paraId="30ED9C64">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不组织</w:t>
            </w:r>
          </w:p>
        </w:tc>
      </w:tr>
      <w:tr w14:paraId="65B7611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932" w:type="dxa"/>
            <w:tcBorders>
              <w:top w:val="single" w:color="auto" w:sz="4" w:space="0"/>
              <w:bottom w:val="single" w:color="auto" w:sz="4" w:space="0"/>
              <w:right w:val="single" w:color="auto" w:sz="4" w:space="0"/>
            </w:tcBorders>
            <w:noWrap w:val="0"/>
            <w:vAlign w:val="center"/>
          </w:tcPr>
          <w:p w14:paraId="51227C1D">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12</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5E854151">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现场演示</w:t>
            </w:r>
          </w:p>
        </w:tc>
        <w:tc>
          <w:tcPr>
            <w:tcW w:w="6774" w:type="dxa"/>
            <w:tcBorders>
              <w:top w:val="single" w:color="auto" w:sz="4" w:space="0"/>
              <w:left w:val="single" w:color="auto" w:sz="4" w:space="0"/>
              <w:bottom w:val="single" w:color="auto" w:sz="4" w:space="0"/>
            </w:tcBorders>
            <w:noWrap w:val="0"/>
            <w:vAlign w:val="center"/>
          </w:tcPr>
          <w:p w14:paraId="2FD63D0D">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无</w:t>
            </w:r>
          </w:p>
        </w:tc>
      </w:tr>
      <w:tr w14:paraId="22D908D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932" w:type="dxa"/>
            <w:tcBorders>
              <w:top w:val="single" w:color="auto" w:sz="4" w:space="0"/>
              <w:bottom w:val="single" w:color="auto" w:sz="4" w:space="0"/>
              <w:right w:val="single" w:color="auto" w:sz="4" w:space="0"/>
            </w:tcBorders>
            <w:noWrap w:val="0"/>
            <w:vAlign w:val="center"/>
          </w:tcPr>
          <w:p w14:paraId="14460E0F">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13</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43881978">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投标预备会</w:t>
            </w:r>
          </w:p>
        </w:tc>
        <w:tc>
          <w:tcPr>
            <w:tcW w:w="6774" w:type="dxa"/>
            <w:tcBorders>
              <w:top w:val="single" w:color="auto" w:sz="4" w:space="0"/>
              <w:left w:val="single" w:color="auto" w:sz="4" w:space="0"/>
              <w:bottom w:val="single" w:color="auto" w:sz="4" w:space="0"/>
            </w:tcBorders>
            <w:noWrap w:val="0"/>
            <w:vAlign w:val="center"/>
          </w:tcPr>
          <w:p w14:paraId="00281B89">
            <w:pPr>
              <w:snapToGrid w:val="0"/>
              <w:spacing w:line="400" w:lineRule="exact"/>
              <w:textAlignment w:val="top"/>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不召开 </w:t>
            </w:r>
          </w:p>
        </w:tc>
      </w:tr>
      <w:tr w14:paraId="6F64E9D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2" w:hRule="atLeast"/>
          <w:jc w:val="center"/>
        </w:trPr>
        <w:tc>
          <w:tcPr>
            <w:tcW w:w="932" w:type="dxa"/>
            <w:tcBorders>
              <w:top w:val="single" w:color="auto" w:sz="4" w:space="0"/>
              <w:bottom w:val="single" w:color="auto" w:sz="4" w:space="0"/>
              <w:right w:val="single" w:color="auto" w:sz="4" w:space="0"/>
            </w:tcBorders>
            <w:noWrap w:val="0"/>
            <w:vAlign w:val="center"/>
          </w:tcPr>
          <w:p w14:paraId="767ADA54">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14</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28943BE7">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投标有效期</w:t>
            </w:r>
          </w:p>
        </w:tc>
        <w:tc>
          <w:tcPr>
            <w:tcW w:w="6774" w:type="dxa"/>
            <w:tcBorders>
              <w:top w:val="single" w:color="auto" w:sz="4" w:space="0"/>
              <w:left w:val="single" w:color="auto" w:sz="4" w:space="0"/>
              <w:bottom w:val="single" w:color="auto" w:sz="4" w:space="0"/>
            </w:tcBorders>
            <w:noWrap w:val="0"/>
            <w:vAlign w:val="center"/>
          </w:tcPr>
          <w:p w14:paraId="077E8626">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开标之日起90天</w:t>
            </w:r>
          </w:p>
        </w:tc>
      </w:tr>
      <w:tr w14:paraId="2E2E6B6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3" w:hRule="atLeast"/>
          <w:jc w:val="center"/>
        </w:trPr>
        <w:tc>
          <w:tcPr>
            <w:tcW w:w="932" w:type="dxa"/>
            <w:tcBorders>
              <w:top w:val="single" w:color="auto" w:sz="4" w:space="0"/>
              <w:bottom w:val="single" w:color="auto" w:sz="4" w:space="0"/>
              <w:right w:val="single" w:color="auto" w:sz="4" w:space="0"/>
            </w:tcBorders>
            <w:noWrap w:val="0"/>
            <w:vAlign w:val="center"/>
          </w:tcPr>
          <w:p w14:paraId="16A0EBBD">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15</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7D9684F2">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投标文件递交时间及地点</w:t>
            </w:r>
          </w:p>
        </w:tc>
        <w:tc>
          <w:tcPr>
            <w:tcW w:w="6774" w:type="dxa"/>
            <w:tcBorders>
              <w:top w:val="single" w:color="auto" w:sz="4" w:space="0"/>
              <w:left w:val="single" w:color="auto" w:sz="4" w:space="0"/>
              <w:bottom w:val="single" w:color="auto" w:sz="4" w:space="0"/>
            </w:tcBorders>
            <w:noWrap w:val="0"/>
            <w:vAlign w:val="center"/>
          </w:tcPr>
          <w:p w14:paraId="7128C289">
            <w:pPr>
              <w:numPr>
                <w:ilvl w:val="0"/>
                <w:numId w:val="2"/>
              </w:num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电子投标文件递交截止时间：详见招标公告。</w:t>
            </w:r>
          </w:p>
          <w:p w14:paraId="1323F853">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递交网址：https://www.whgqcg.cn/login?redirect=%2Findex</w:t>
            </w:r>
          </w:p>
          <w:p w14:paraId="0AEAAC84">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rPr>
              <w:t>、纸质投标文件递交：基于项目资料归档的要求，纸质投标文件递交应在开标后三个工作日内，邮寄或送至招标代理处</w:t>
            </w:r>
            <w:r>
              <w:rPr>
                <w:rFonts w:eastAsia="仿宋"/>
                <w:sz w:val="24"/>
                <w:szCs w:val="24"/>
                <w:highlight w:val="none"/>
              </w:rPr>
              <w:t>（威海市古寨东路315号山东富尔工程咨询管理有限公司</w:t>
            </w:r>
            <w:r>
              <w:rPr>
                <w:rFonts w:hint="eastAsia" w:eastAsia="仿宋"/>
                <w:sz w:val="24"/>
                <w:szCs w:val="24"/>
                <w:highlight w:val="none"/>
              </w:rPr>
              <w:t>3楼招标代理部</w:t>
            </w:r>
            <w:r>
              <w:rPr>
                <w:rFonts w:eastAsia="仿宋"/>
                <w:sz w:val="24"/>
                <w:szCs w:val="24"/>
                <w:highlight w:val="none"/>
              </w:rPr>
              <w:t>）</w:t>
            </w:r>
            <w:r>
              <w:rPr>
                <w:rFonts w:hint="eastAsia" w:ascii="仿宋" w:hAnsi="仿宋" w:eastAsia="仿宋" w:cs="仿宋"/>
                <w:sz w:val="24"/>
                <w:szCs w:val="24"/>
                <w:highlight w:val="none"/>
              </w:rPr>
              <w:t>。</w:t>
            </w:r>
          </w:p>
          <w:p w14:paraId="7FE8DC74">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纸质投标文件份数：</w:t>
            </w:r>
            <w:r>
              <w:rPr>
                <w:rFonts w:hint="eastAsia" w:ascii="仿宋" w:hAnsi="仿宋" w:eastAsia="仿宋" w:cs="仿宋"/>
                <w:sz w:val="24"/>
                <w:szCs w:val="24"/>
                <w:highlight w:val="none"/>
                <w:lang w:val="en-US" w:eastAsia="zh-CN"/>
              </w:rPr>
              <w:t>三</w:t>
            </w:r>
            <w:r>
              <w:rPr>
                <w:rFonts w:hint="eastAsia" w:ascii="仿宋" w:hAnsi="仿宋" w:eastAsia="仿宋" w:cs="仿宋"/>
                <w:sz w:val="24"/>
                <w:szCs w:val="24"/>
                <w:highlight w:val="none"/>
              </w:rPr>
              <w:t>份，胶装成册。</w:t>
            </w:r>
          </w:p>
        </w:tc>
      </w:tr>
      <w:tr w14:paraId="20C841F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932" w:type="dxa"/>
            <w:tcBorders>
              <w:top w:val="single" w:color="auto" w:sz="4" w:space="0"/>
              <w:bottom w:val="single" w:color="auto" w:sz="4" w:space="0"/>
              <w:right w:val="single" w:color="auto" w:sz="4" w:space="0"/>
            </w:tcBorders>
            <w:noWrap w:val="0"/>
            <w:vAlign w:val="center"/>
          </w:tcPr>
          <w:p w14:paraId="07230BD5">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16</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4EDC0469">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开标时间</w:t>
            </w:r>
          </w:p>
        </w:tc>
        <w:tc>
          <w:tcPr>
            <w:tcW w:w="6774" w:type="dxa"/>
            <w:tcBorders>
              <w:top w:val="single" w:color="auto" w:sz="4" w:space="0"/>
              <w:left w:val="single" w:color="auto" w:sz="4" w:space="0"/>
              <w:bottom w:val="single" w:color="auto" w:sz="4" w:space="0"/>
            </w:tcBorders>
            <w:noWrap w:val="0"/>
            <w:vAlign w:val="center"/>
          </w:tcPr>
          <w:p w14:paraId="5D630062">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详见招标公告</w:t>
            </w:r>
          </w:p>
        </w:tc>
      </w:tr>
      <w:tr w14:paraId="4FCE01F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3" w:hRule="atLeast"/>
          <w:jc w:val="center"/>
        </w:trPr>
        <w:tc>
          <w:tcPr>
            <w:tcW w:w="932" w:type="dxa"/>
            <w:tcBorders>
              <w:top w:val="single" w:color="auto" w:sz="4" w:space="0"/>
              <w:bottom w:val="single" w:color="auto" w:sz="4" w:space="0"/>
              <w:right w:val="single" w:color="auto" w:sz="4" w:space="0"/>
            </w:tcBorders>
            <w:noWrap w:val="0"/>
            <w:vAlign w:val="center"/>
          </w:tcPr>
          <w:p w14:paraId="7525BD2F">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17</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5B4961EC">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开标地点</w:t>
            </w:r>
          </w:p>
        </w:tc>
        <w:tc>
          <w:tcPr>
            <w:tcW w:w="6774" w:type="dxa"/>
            <w:tcBorders>
              <w:top w:val="single" w:color="auto" w:sz="4" w:space="0"/>
              <w:left w:val="single" w:color="auto" w:sz="4" w:space="0"/>
              <w:bottom w:val="single" w:color="auto" w:sz="4" w:space="0"/>
            </w:tcBorders>
            <w:noWrap w:val="0"/>
            <w:vAlign w:val="center"/>
          </w:tcPr>
          <w:p w14:paraId="1A5888B4">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详见招标公告</w:t>
            </w:r>
          </w:p>
        </w:tc>
      </w:tr>
      <w:tr w14:paraId="10A50FA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3" w:hRule="atLeast"/>
          <w:jc w:val="center"/>
        </w:trPr>
        <w:tc>
          <w:tcPr>
            <w:tcW w:w="932" w:type="dxa"/>
            <w:tcBorders>
              <w:top w:val="single" w:color="auto" w:sz="4" w:space="0"/>
              <w:bottom w:val="single" w:color="auto" w:sz="4" w:space="0"/>
              <w:right w:val="single" w:color="auto" w:sz="4" w:space="0"/>
            </w:tcBorders>
            <w:noWrap w:val="0"/>
            <w:vAlign w:val="center"/>
          </w:tcPr>
          <w:p w14:paraId="2F25F842">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18</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2605DF60">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开标方式</w:t>
            </w:r>
          </w:p>
        </w:tc>
        <w:tc>
          <w:tcPr>
            <w:tcW w:w="6774" w:type="dxa"/>
            <w:tcBorders>
              <w:top w:val="single" w:color="auto" w:sz="4" w:space="0"/>
              <w:left w:val="single" w:color="auto" w:sz="4" w:space="0"/>
              <w:bottom w:val="single" w:color="auto" w:sz="4" w:space="0"/>
            </w:tcBorders>
            <w:noWrap w:val="0"/>
            <w:vAlign w:val="center"/>
          </w:tcPr>
          <w:p w14:paraId="519A3E7B">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投标人无需到现场参与开标，但开评审期间需实时关注交易系统相关通知，且被授权人的联络方式应保持畅通。</w:t>
            </w:r>
          </w:p>
        </w:tc>
      </w:tr>
      <w:tr w14:paraId="4B66A59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3" w:hRule="atLeast"/>
          <w:jc w:val="center"/>
        </w:trPr>
        <w:tc>
          <w:tcPr>
            <w:tcW w:w="932" w:type="dxa"/>
            <w:tcBorders>
              <w:top w:val="single" w:color="auto" w:sz="4" w:space="0"/>
              <w:bottom w:val="single" w:color="auto" w:sz="4" w:space="0"/>
              <w:right w:val="single" w:color="auto" w:sz="4" w:space="0"/>
            </w:tcBorders>
            <w:noWrap w:val="0"/>
            <w:vAlign w:val="center"/>
          </w:tcPr>
          <w:p w14:paraId="618F914E">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19</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2C45E732">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开标程序</w:t>
            </w:r>
          </w:p>
        </w:tc>
        <w:tc>
          <w:tcPr>
            <w:tcW w:w="6774" w:type="dxa"/>
            <w:tcBorders>
              <w:top w:val="single" w:color="auto" w:sz="4" w:space="0"/>
              <w:left w:val="single" w:color="auto" w:sz="4" w:space="0"/>
              <w:bottom w:val="single" w:color="auto" w:sz="4" w:space="0"/>
            </w:tcBorders>
            <w:noWrap w:val="0"/>
            <w:vAlign w:val="center"/>
          </w:tcPr>
          <w:p w14:paraId="66AE7024">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签到时间：递交投标文件截止时间前完成</w:t>
            </w:r>
          </w:p>
          <w:p w14:paraId="737F2789">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解密时间：开始解密后15分钟内完成</w:t>
            </w:r>
          </w:p>
        </w:tc>
      </w:tr>
      <w:tr w14:paraId="534A887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65" w:hRule="atLeast"/>
          <w:jc w:val="center"/>
        </w:trPr>
        <w:tc>
          <w:tcPr>
            <w:tcW w:w="932" w:type="dxa"/>
            <w:tcBorders>
              <w:top w:val="single" w:color="auto" w:sz="4" w:space="0"/>
              <w:bottom w:val="single" w:color="auto" w:sz="4" w:space="0"/>
              <w:right w:val="single" w:color="auto" w:sz="4" w:space="0"/>
            </w:tcBorders>
            <w:noWrap w:val="0"/>
            <w:vAlign w:val="center"/>
          </w:tcPr>
          <w:p w14:paraId="15C5F19D">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20</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630D63D4">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资格审查方式</w:t>
            </w:r>
          </w:p>
        </w:tc>
        <w:tc>
          <w:tcPr>
            <w:tcW w:w="6774" w:type="dxa"/>
            <w:tcBorders>
              <w:top w:val="single" w:color="auto" w:sz="4" w:space="0"/>
              <w:left w:val="single" w:color="auto" w:sz="4" w:space="0"/>
              <w:bottom w:val="single" w:color="auto" w:sz="4" w:space="0"/>
            </w:tcBorders>
            <w:noWrap w:val="0"/>
            <w:vAlign w:val="center"/>
          </w:tcPr>
          <w:p w14:paraId="38D0E96E">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资格后审</w:t>
            </w:r>
          </w:p>
        </w:tc>
      </w:tr>
      <w:tr w14:paraId="17E4C2C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65" w:hRule="atLeast"/>
          <w:jc w:val="center"/>
        </w:trPr>
        <w:tc>
          <w:tcPr>
            <w:tcW w:w="932" w:type="dxa"/>
            <w:tcBorders>
              <w:top w:val="single" w:color="auto" w:sz="4" w:space="0"/>
              <w:bottom w:val="single" w:color="auto" w:sz="4" w:space="0"/>
              <w:right w:val="single" w:color="auto" w:sz="4" w:space="0"/>
            </w:tcBorders>
            <w:noWrap w:val="0"/>
            <w:vAlign w:val="center"/>
          </w:tcPr>
          <w:p w14:paraId="682CA708">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21</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07271E40">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评标办法</w:t>
            </w:r>
          </w:p>
        </w:tc>
        <w:tc>
          <w:tcPr>
            <w:tcW w:w="6774" w:type="dxa"/>
            <w:tcBorders>
              <w:top w:val="single" w:color="auto" w:sz="4" w:space="0"/>
              <w:left w:val="single" w:color="auto" w:sz="4" w:space="0"/>
              <w:bottom w:val="single" w:color="auto" w:sz="4" w:space="0"/>
            </w:tcBorders>
            <w:noWrap w:val="0"/>
            <w:vAlign w:val="center"/>
          </w:tcPr>
          <w:p w14:paraId="598A0D89">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综合评分法</w:t>
            </w:r>
          </w:p>
        </w:tc>
      </w:tr>
      <w:tr w14:paraId="5F4AC62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5" w:hRule="atLeast"/>
          <w:jc w:val="center"/>
        </w:trPr>
        <w:tc>
          <w:tcPr>
            <w:tcW w:w="932" w:type="dxa"/>
            <w:tcBorders>
              <w:top w:val="single" w:color="auto" w:sz="4" w:space="0"/>
              <w:bottom w:val="single" w:color="auto" w:sz="4" w:space="0"/>
              <w:right w:val="single" w:color="auto" w:sz="4" w:space="0"/>
            </w:tcBorders>
            <w:noWrap w:val="0"/>
            <w:vAlign w:val="center"/>
          </w:tcPr>
          <w:p w14:paraId="0F49ED4D">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22</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2C3BA8E0">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联合体报价</w:t>
            </w:r>
          </w:p>
        </w:tc>
        <w:tc>
          <w:tcPr>
            <w:tcW w:w="6774" w:type="dxa"/>
            <w:tcBorders>
              <w:top w:val="single" w:color="auto" w:sz="4" w:space="0"/>
              <w:left w:val="single" w:color="auto" w:sz="4" w:space="0"/>
              <w:bottom w:val="single" w:color="auto" w:sz="4" w:space="0"/>
            </w:tcBorders>
            <w:noWrap w:val="0"/>
            <w:vAlign w:val="center"/>
          </w:tcPr>
          <w:p w14:paraId="6B1A9815">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不允许</w:t>
            </w:r>
          </w:p>
        </w:tc>
      </w:tr>
      <w:tr w14:paraId="3B6A1AB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5" w:hRule="atLeast"/>
          <w:jc w:val="center"/>
        </w:trPr>
        <w:tc>
          <w:tcPr>
            <w:tcW w:w="932" w:type="dxa"/>
            <w:tcBorders>
              <w:top w:val="single" w:color="auto" w:sz="4" w:space="0"/>
              <w:bottom w:val="single" w:color="auto" w:sz="4" w:space="0"/>
              <w:right w:val="single" w:color="auto" w:sz="4" w:space="0"/>
            </w:tcBorders>
            <w:noWrap w:val="0"/>
            <w:vAlign w:val="center"/>
          </w:tcPr>
          <w:p w14:paraId="19CEFC5D">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23</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1ADEF1BF">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分（转）包</w:t>
            </w:r>
          </w:p>
        </w:tc>
        <w:tc>
          <w:tcPr>
            <w:tcW w:w="6774" w:type="dxa"/>
            <w:tcBorders>
              <w:top w:val="single" w:color="auto" w:sz="4" w:space="0"/>
              <w:left w:val="single" w:color="auto" w:sz="4" w:space="0"/>
              <w:bottom w:val="single" w:color="auto" w:sz="4" w:space="0"/>
            </w:tcBorders>
            <w:noWrap w:val="0"/>
            <w:vAlign w:val="center"/>
          </w:tcPr>
          <w:p w14:paraId="39CDE9A6">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不允许</w:t>
            </w:r>
          </w:p>
        </w:tc>
      </w:tr>
      <w:tr w14:paraId="1A23F08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5" w:hRule="atLeast"/>
          <w:jc w:val="center"/>
        </w:trPr>
        <w:tc>
          <w:tcPr>
            <w:tcW w:w="932" w:type="dxa"/>
            <w:tcBorders>
              <w:top w:val="single" w:color="auto" w:sz="4" w:space="0"/>
              <w:bottom w:val="single" w:color="auto" w:sz="4" w:space="0"/>
              <w:right w:val="single" w:color="auto" w:sz="4" w:space="0"/>
            </w:tcBorders>
            <w:noWrap w:val="0"/>
            <w:vAlign w:val="center"/>
          </w:tcPr>
          <w:p w14:paraId="2429EAE5">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24</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15D123D9">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投标保证金</w:t>
            </w:r>
          </w:p>
        </w:tc>
        <w:tc>
          <w:tcPr>
            <w:tcW w:w="6774" w:type="dxa"/>
            <w:tcBorders>
              <w:top w:val="single" w:color="auto" w:sz="4" w:space="0"/>
              <w:left w:val="single" w:color="auto" w:sz="4" w:space="0"/>
              <w:bottom w:val="single" w:color="auto" w:sz="4" w:space="0"/>
            </w:tcBorders>
            <w:noWrap w:val="0"/>
            <w:vAlign w:val="center"/>
          </w:tcPr>
          <w:p w14:paraId="484441AC">
            <w:pPr>
              <w:snapToGrid w:val="0"/>
              <w:spacing w:line="400" w:lineRule="exact"/>
              <w:jc w:val="left"/>
              <w:rPr>
                <w:rFonts w:hint="eastAsia" w:ascii="仿宋" w:hAnsi="仿宋" w:eastAsia="仿宋" w:cs="仿宋"/>
                <w:sz w:val="24"/>
                <w:szCs w:val="24"/>
                <w:highlight w:val="none"/>
                <w:lang w:eastAsia="zh-CN"/>
              </w:rPr>
            </w:pPr>
            <w:bookmarkStart w:id="11" w:name="_Hlk58068062"/>
            <w:r>
              <w:rPr>
                <w:rFonts w:hint="eastAsia" w:ascii="仿宋" w:hAnsi="仿宋" w:eastAsia="仿宋" w:cs="仿宋"/>
                <w:sz w:val="24"/>
                <w:szCs w:val="24"/>
                <w:highlight w:val="none"/>
              </w:rPr>
              <w:t>1</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本项目投标保证金</w:t>
            </w:r>
            <w:r>
              <w:rPr>
                <w:rFonts w:hint="eastAsia" w:ascii="仿宋" w:hAnsi="仿宋" w:eastAsia="仿宋" w:cs="仿宋"/>
                <w:sz w:val="24"/>
                <w:szCs w:val="24"/>
                <w:highlight w:val="none"/>
                <w:lang w:eastAsia="zh-CN"/>
              </w:rPr>
              <w:t>：</w:t>
            </w:r>
          </w:p>
          <w:p w14:paraId="17254B9D">
            <w:pPr>
              <w:snapToGrid w:val="0"/>
              <w:spacing w:line="400" w:lineRule="exact"/>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标包二：</w:t>
            </w:r>
            <w:r>
              <w:rPr>
                <w:rFonts w:hint="eastAsia" w:ascii="仿宋" w:hAnsi="仿宋" w:eastAsia="仿宋" w:cs="仿宋"/>
                <w:sz w:val="24"/>
                <w:szCs w:val="24"/>
                <w:highlight w:val="none"/>
              </w:rPr>
              <w:t>人民币</w:t>
            </w:r>
            <w:r>
              <w:rPr>
                <w:rFonts w:hint="eastAsia" w:ascii="仿宋" w:hAnsi="仿宋" w:eastAsia="仿宋" w:cs="仿宋"/>
                <w:sz w:val="24"/>
                <w:szCs w:val="24"/>
                <w:highlight w:val="none"/>
                <w:lang w:val="en-US" w:eastAsia="zh-CN"/>
              </w:rPr>
              <w:t>7</w:t>
            </w:r>
            <w:r>
              <w:rPr>
                <w:rFonts w:hint="eastAsia" w:ascii="仿宋" w:hAnsi="仿宋" w:eastAsia="仿宋" w:cs="仿宋"/>
                <w:sz w:val="24"/>
                <w:szCs w:val="24"/>
                <w:highlight w:val="none"/>
              </w:rPr>
              <w:t>000.00元</w:t>
            </w:r>
            <w:r>
              <w:rPr>
                <w:rFonts w:hint="eastAsia" w:ascii="仿宋" w:hAnsi="仿宋" w:eastAsia="仿宋" w:cs="仿宋"/>
                <w:sz w:val="24"/>
                <w:szCs w:val="24"/>
                <w:highlight w:val="none"/>
                <w:lang w:val="en-US" w:eastAsia="zh-CN"/>
              </w:rPr>
              <w:t>.</w:t>
            </w:r>
          </w:p>
          <w:p w14:paraId="5434B334">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缴纳截止时间：投标文件递交截止时间前。</w:t>
            </w:r>
          </w:p>
          <w:bookmarkEnd w:id="11"/>
          <w:p w14:paraId="1D65B828">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3</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投标保证金的交纳单位必须与投标人名称一致，投标保证金须从其基本账户转出，否则其投标无效。</w:t>
            </w:r>
          </w:p>
          <w:p w14:paraId="47054634">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4</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本项目的投标保证金必须通过国企阳光采购平台交纳，使用说明参见威海市公共资源交易网（http://ggzyjy.weihai.cn）的 “办事指南—国企采购专区”中《威海市国有企业阳光采购电子化服务平台线上投标保证金操作手册》。</w:t>
            </w:r>
          </w:p>
          <w:p w14:paraId="2EE7D1A6">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5</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为确保投标工作有序进行，投标保证金应当在递交投标文件截止时间前（以到账时间为准）到达收款帐户，收款账户名称以投标单位在系统中获取到的虚拟子账号信息为准，以网银、电汇等方式一次性足额交纳保证金，不接受支付宝等第三方平台转账。禁止第三方代交。投标保证金交纳单位应与递交投标文件的投标人名称一致。（注：请投标单位务必注意以系统生成的交纳账号信息为准，进行保证金的交纳，并及时通过平台查询确认保证金到账情况，因操作不当造成投标保证金递交失败的，由投标单位自行承担相应责任）</w:t>
            </w:r>
            <w:r>
              <w:rPr>
                <w:rFonts w:hint="eastAsia" w:ascii="仿宋" w:hAnsi="仿宋" w:eastAsia="仿宋" w:cs="仿宋"/>
                <w:sz w:val="24"/>
                <w:szCs w:val="24"/>
                <w:highlight w:val="none"/>
                <w:lang w:eastAsia="zh-CN"/>
              </w:rPr>
              <w:t>。</w:t>
            </w:r>
          </w:p>
          <w:p w14:paraId="52E526AC">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6</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为确保投标人投标保证金及时足额到账，请尽量提前交纳保证金，由于银行系统原因，请至少在递交投标文件截止时间前12 小时将保证金汇出。如不按招标文件和系统使用指南操作，导致开标过程中国企阳光采购平台未出现投标人名称或者显示投标保证金未按时到账，视为其未按照招标文件的规定提交投标保证金，投标人对此应有明确的认识，自行承担后果。投标人可以使用国企阳光采购平台查询并及时更新交纳情况。</w:t>
            </w:r>
          </w:p>
          <w:p w14:paraId="327123C4">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7</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退还保证金：目前系统采用自动退还保证金操作，分为未中标人退还和中标人退还。代理公司向中标人发送中标通知书后，系统自动退还未中标人保证金；招标人和中标人签署完合同后，系统自动退还中标人保证金。</w:t>
            </w:r>
          </w:p>
        </w:tc>
      </w:tr>
      <w:tr w14:paraId="4E2AA96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4" w:hRule="atLeast"/>
          <w:jc w:val="center"/>
        </w:trPr>
        <w:tc>
          <w:tcPr>
            <w:tcW w:w="932" w:type="dxa"/>
            <w:tcBorders>
              <w:top w:val="single" w:color="auto" w:sz="4" w:space="0"/>
              <w:bottom w:val="single" w:color="auto" w:sz="4" w:space="0"/>
              <w:right w:val="single" w:color="auto" w:sz="4" w:space="0"/>
            </w:tcBorders>
            <w:noWrap w:val="0"/>
            <w:vAlign w:val="center"/>
          </w:tcPr>
          <w:p w14:paraId="445D6FE1">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25</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70FAA4B3">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履约保证金</w:t>
            </w:r>
          </w:p>
        </w:tc>
        <w:tc>
          <w:tcPr>
            <w:tcW w:w="6774" w:type="dxa"/>
            <w:tcBorders>
              <w:top w:val="single" w:color="auto" w:sz="4" w:space="0"/>
              <w:left w:val="single" w:color="auto" w:sz="4" w:space="0"/>
              <w:bottom w:val="single" w:color="auto" w:sz="4" w:space="0"/>
            </w:tcBorders>
            <w:noWrap w:val="0"/>
            <w:vAlign w:val="center"/>
          </w:tcPr>
          <w:p w14:paraId="6A3CDD11">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按合同约定执行</w:t>
            </w:r>
          </w:p>
        </w:tc>
      </w:tr>
      <w:tr w14:paraId="2C2664C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4" w:hRule="atLeast"/>
          <w:jc w:val="center"/>
        </w:trPr>
        <w:tc>
          <w:tcPr>
            <w:tcW w:w="932" w:type="dxa"/>
            <w:tcBorders>
              <w:top w:val="single" w:color="auto" w:sz="4" w:space="0"/>
              <w:bottom w:val="single" w:color="auto" w:sz="4" w:space="0"/>
              <w:right w:val="single" w:color="auto" w:sz="4" w:space="0"/>
            </w:tcBorders>
            <w:noWrap w:val="0"/>
            <w:vAlign w:val="center"/>
          </w:tcPr>
          <w:p w14:paraId="7D782482">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26</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1B4231F5">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付款方式</w:t>
            </w:r>
          </w:p>
        </w:tc>
        <w:tc>
          <w:tcPr>
            <w:tcW w:w="6774" w:type="dxa"/>
            <w:tcBorders>
              <w:top w:val="single" w:color="auto" w:sz="4" w:space="0"/>
              <w:left w:val="single" w:color="auto" w:sz="4" w:space="0"/>
              <w:bottom w:val="single" w:color="auto" w:sz="4" w:space="0"/>
            </w:tcBorders>
            <w:noWrap w:val="0"/>
            <w:vAlign w:val="center"/>
          </w:tcPr>
          <w:p w14:paraId="7372673E">
            <w:pPr>
              <w:snapToGrid w:val="0"/>
              <w:spacing w:line="400" w:lineRule="exact"/>
              <w:jc w:val="left"/>
              <w:rPr>
                <w:rFonts w:ascii="仿宋" w:hAnsi="仿宋" w:eastAsia="仿宋" w:cs="仿宋"/>
                <w:sz w:val="24"/>
                <w:szCs w:val="24"/>
                <w:highlight w:val="none"/>
              </w:rPr>
            </w:pPr>
            <w:r>
              <w:rPr>
                <w:rFonts w:hint="eastAsia" w:ascii="仿宋" w:hAnsi="仿宋" w:eastAsia="仿宋" w:cs="仿宋"/>
                <w:sz w:val="24"/>
                <w:szCs w:val="24"/>
                <w:highlight w:val="none"/>
              </w:rPr>
              <w:t>见合同范本</w:t>
            </w:r>
          </w:p>
        </w:tc>
      </w:tr>
      <w:tr w14:paraId="2C73CBF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20" w:hRule="atLeast"/>
          <w:jc w:val="center"/>
        </w:trPr>
        <w:tc>
          <w:tcPr>
            <w:tcW w:w="932" w:type="dxa"/>
            <w:tcBorders>
              <w:top w:val="single" w:color="auto" w:sz="4" w:space="0"/>
              <w:right w:val="single" w:color="auto" w:sz="4" w:space="0"/>
            </w:tcBorders>
            <w:noWrap w:val="0"/>
            <w:vAlign w:val="center"/>
          </w:tcPr>
          <w:p w14:paraId="1B9E3E79">
            <w:pPr>
              <w:snapToGrid w:val="0"/>
              <w:spacing w:line="400" w:lineRule="exact"/>
              <w:jc w:val="center"/>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27</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6C402992">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专家评审费</w:t>
            </w:r>
          </w:p>
        </w:tc>
        <w:tc>
          <w:tcPr>
            <w:tcW w:w="6774" w:type="dxa"/>
            <w:tcBorders>
              <w:top w:val="single" w:color="auto" w:sz="4" w:space="0"/>
              <w:left w:val="single" w:color="auto" w:sz="4" w:space="0"/>
              <w:bottom w:val="single" w:color="auto" w:sz="4" w:space="0"/>
            </w:tcBorders>
            <w:noWrap w:val="0"/>
            <w:vAlign w:val="center"/>
          </w:tcPr>
          <w:p w14:paraId="4E64178B">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专家评审费由中标单位缴纳，按实收取。</w:t>
            </w:r>
          </w:p>
        </w:tc>
      </w:tr>
      <w:tr w14:paraId="1F67B0F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9" w:hRule="atLeast"/>
          <w:jc w:val="center"/>
        </w:trPr>
        <w:tc>
          <w:tcPr>
            <w:tcW w:w="932" w:type="dxa"/>
            <w:tcBorders>
              <w:top w:val="single" w:color="auto" w:sz="4" w:space="0"/>
              <w:bottom w:val="single" w:color="auto" w:sz="4" w:space="0"/>
              <w:right w:val="single" w:color="auto" w:sz="4" w:space="0"/>
            </w:tcBorders>
            <w:noWrap w:val="0"/>
            <w:vAlign w:val="center"/>
          </w:tcPr>
          <w:p w14:paraId="05CBCECB">
            <w:pPr>
              <w:snapToGrid w:val="0"/>
              <w:spacing w:line="400" w:lineRule="exact"/>
              <w:jc w:val="center"/>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28</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362A8C57">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是否委托定标</w:t>
            </w:r>
          </w:p>
        </w:tc>
        <w:tc>
          <w:tcPr>
            <w:tcW w:w="6774" w:type="dxa"/>
            <w:tcBorders>
              <w:top w:val="single" w:color="auto" w:sz="4" w:space="0"/>
              <w:left w:val="single" w:color="auto" w:sz="4" w:space="0"/>
              <w:bottom w:val="single" w:color="auto" w:sz="4" w:space="0"/>
            </w:tcBorders>
            <w:noWrap w:val="0"/>
            <w:vAlign w:val="center"/>
          </w:tcPr>
          <w:p w14:paraId="41BE5D68">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否</w:t>
            </w:r>
          </w:p>
        </w:tc>
      </w:tr>
      <w:tr w14:paraId="19A250D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jc w:val="center"/>
        </w:trPr>
        <w:tc>
          <w:tcPr>
            <w:tcW w:w="932" w:type="dxa"/>
            <w:tcBorders>
              <w:top w:val="single" w:color="auto" w:sz="4" w:space="0"/>
              <w:bottom w:val="single" w:color="auto" w:sz="4" w:space="0"/>
              <w:right w:val="single" w:color="auto" w:sz="4" w:space="0"/>
            </w:tcBorders>
            <w:noWrap w:val="0"/>
            <w:vAlign w:val="center"/>
          </w:tcPr>
          <w:p w14:paraId="03C9C6D7">
            <w:pPr>
              <w:snapToGrid w:val="0"/>
              <w:spacing w:line="400" w:lineRule="exact"/>
              <w:jc w:val="center"/>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29</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2B78AB71">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其他</w:t>
            </w:r>
          </w:p>
        </w:tc>
        <w:tc>
          <w:tcPr>
            <w:tcW w:w="6774" w:type="dxa"/>
            <w:tcBorders>
              <w:top w:val="single" w:color="auto" w:sz="4" w:space="0"/>
              <w:left w:val="single" w:color="auto" w:sz="4" w:space="0"/>
              <w:bottom w:val="single" w:color="auto" w:sz="4" w:space="0"/>
            </w:tcBorders>
            <w:noWrap w:val="0"/>
            <w:vAlign w:val="center"/>
          </w:tcPr>
          <w:p w14:paraId="68809D60">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1.本项目</w:t>
            </w:r>
            <w:r>
              <w:rPr>
                <w:rFonts w:hint="eastAsia" w:ascii="仿宋" w:hAnsi="仿宋" w:eastAsia="仿宋" w:cs="仿宋"/>
                <w:sz w:val="24"/>
                <w:szCs w:val="24"/>
                <w:highlight w:val="none"/>
                <w:lang w:val="en-US" w:eastAsia="zh-CN"/>
              </w:rPr>
              <w:t>按服务类</w:t>
            </w:r>
            <w:r>
              <w:rPr>
                <w:rFonts w:hint="eastAsia" w:ascii="仿宋" w:hAnsi="仿宋" w:eastAsia="仿宋" w:cs="仿宋"/>
                <w:sz w:val="24"/>
                <w:szCs w:val="24"/>
                <w:highlight w:val="none"/>
              </w:rPr>
              <w:t>以公开招标方式实施采购。</w:t>
            </w:r>
          </w:p>
          <w:p w14:paraId="5694AC7C">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2.如投标单位在本次项目中弄虚作假成为中标人的,后期一经发现将取消其已中标资格，且今后不再录用，给招标人造成损失的，招标人有权索要赔偿。</w:t>
            </w:r>
          </w:p>
          <w:p w14:paraId="25628671">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3.投标人在本次招标成功中标后，拒绝或不能按照招标人的要求完成任务等，招标人有权撤销其已中标资格，给招标人造成损失的，招标人有权索要赔偿。</w:t>
            </w:r>
          </w:p>
          <w:p w14:paraId="5557635C">
            <w:pPr>
              <w:snapToGrid w:val="0"/>
              <w:spacing w:line="400" w:lineRule="exact"/>
              <w:jc w:val="left"/>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4.投标人不得对本项目进行分包或转包。如投标人在中标后出现上述情况，一经招标人发现立即取消其中标资格。</w:t>
            </w:r>
          </w:p>
        </w:tc>
      </w:tr>
    </w:tbl>
    <w:p w14:paraId="0FFBC47D">
      <w:pPr>
        <w:snapToGrid w:val="0"/>
        <w:spacing w:line="400" w:lineRule="exact"/>
        <w:jc w:val="center"/>
        <w:rPr>
          <w:rFonts w:ascii="仿宋" w:hAnsi="仿宋" w:eastAsia="仿宋" w:cs="仿宋"/>
          <w:sz w:val="24"/>
          <w:szCs w:val="24"/>
          <w:highlight w:val="none"/>
        </w:rPr>
      </w:pPr>
      <w:r>
        <w:rPr>
          <w:rFonts w:hint="eastAsia" w:ascii="仿宋" w:hAnsi="仿宋" w:eastAsia="仿宋" w:cs="仿宋"/>
          <w:b/>
          <w:bCs/>
          <w:sz w:val="30"/>
          <w:szCs w:val="30"/>
          <w:highlight w:val="none"/>
        </w:rPr>
        <w:br w:type="page"/>
      </w:r>
      <w:r>
        <w:rPr>
          <w:rFonts w:hint="eastAsia" w:ascii="仿宋" w:hAnsi="仿宋" w:eastAsia="仿宋" w:cs="仿宋"/>
          <w:b/>
          <w:bCs/>
          <w:sz w:val="30"/>
          <w:szCs w:val="30"/>
          <w:highlight w:val="none"/>
        </w:rPr>
        <w:t>实质性条款一览表</w:t>
      </w:r>
    </w:p>
    <w:p w14:paraId="784144B3">
      <w:pPr>
        <w:snapToGrid w:val="0"/>
        <w:spacing w:line="400" w:lineRule="exact"/>
        <w:jc w:val="left"/>
        <w:rPr>
          <w:rFonts w:ascii="仿宋" w:hAnsi="仿宋" w:eastAsia="仿宋" w:cs="仿宋"/>
          <w:sz w:val="24"/>
          <w:szCs w:val="24"/>
          <w:highlight w:val="none"/>
        </w:rPr>
      </w:pPr>
    </w:p>
    <w:p w14:paraId="6DD5BB00">
      <w:pPr>
        <w:snapToGrid w:val="0"/>
        <w:spacing w:line="360" w:lineRule="auto"/>
        <w:ind w:firstLine="560"/>
        <w:jc w:val="left"/>
        <w:rPr>
          <w:rFonts w:ascii="仿宋" w:hAnsi="仿宋" w:eastAsia="仿宋" w:cs="仿宋"/>
          <w:sz w:val="24"/>
          <w:szCs w:val="24"/>
          <w:highlight w:val="none"/>
        </w:rPr>
      </w:pPr>
      <w:r>
        <w:rPr>
          <w:rFonts w:hint="eastAsia" w:ascii="仿宋" w:hAnsi="仿宋" w:eastAsia="仿宋" w:cs="仿宋"/>
          <w:sz w:val="24"/>
          <w:szCs w:val="24"/>
          <w:highlight w:val="none"/>
        </w:rPr>
        <w:t>说明：本表系招标文件及修改性文件中涉及的所有实质性条款的汇总。不允许有任何负偏离，否则投标将被否决。</w:t>
      </w:r>
    </w:p>
    <w:tbl>
      <w:tblPr>
        <w:tblStyle w:val="41"/>
        <w:tblW w:w="969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42"/>
        <w:gridCol w:w="2651"/>
        <w:gridCol w:w="6105"/>
      </w:tblGrid>
      <w:tr w14:paraId="7081922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74" w:hRule="atLeast"/>
          <w:jc w:val="center"/>
        </w:trPr>
        <w:tc>
          <w:tcPr>
            <w:tcW w:w="942" w:type="dxa"/>
            <w:tcBorders>
              <w:top w:val="single" w:color="auto" w:sz="4" w:space="0"/>
              <w:bottom w:val="single" w:color="auto" w:sz="4" w:space="0"/>
              <w:right w:val="single" w:color="auto" w:sz="4" w:space="0"/>
            </w:tcBorders>
            <w:noWrap w:val="0"/>
            <w:vAlign w:val="center"/>
          </w:tcPr>
          <w:p w14:paraId="26BAC637">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ascii="仿宋" w:hAnsi="仿宋" w:eastAsia="仿宋" w:cs="仿宋"/>
                <w:sz w:val="24"/>
                <w:szCs w:val="24"/>
                <w:highlight w:val="none"/>
              </w:rPr>
            </w:pPr>
            <w:r>
              <w:rPr>
                <w:rFonts w:hint="eastAsia" w:ascii="仿宋" w:hAnsi="仿宋" w:eastAsia="仿宋" w:cs="仿宋"/>
                <w:sz w:val="24"/>
                <w:szCs w:val="24"/>
                <w:highlight w:val="none"/>
              </w:rPr>
              <w:t>序号</w:t>
            </w:r>
          </w:p>
        </w:tc>
        <w:tc>
          <w:tcPr>
            <w:tcW w:w="2651" w:type="dxa"/>
            <w:tcBorders>
              <w:top w:val="single" w:color="auto" w:sz="4" w:space="0"/>
              <w:left w:val="single" w:color="auto" w:sz="4" w:space="0"/>
              <w:bottom w:val="single" w:color="auto" w:sz="4" w:space="0"/>
              <w:right w:val="single" w:color="auto" w:sz="4" w:space="0"/>
            </w:tcBorders>
            <w:noWrap w:val="0"/>
            <w:vAlign w:val="center"/>
          </w:tcPr>
          <w:p w14:paraId="11C92A0B">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ascii="仿宋" w:hAnsi="仿宋" w:eastAsia="仿宋" w:cs="仿宋"/>
                <w:sz w:val="24"/>
                <w:szCs w:val="24"/>
                <w:highlight w:val="none"/>
              </w:rPr>
            </w:pPr>
            <w:r>
              <w:rPr>
                <w:rFonts w:hint="eastAsia" w:ascii="仿宋" w:hAnsi="仿宋" w:eastAsia="仿宋" w:cs="仿宋"/>
                <w:sz w:val="24"/>
                <w:szCs w:val="24"/>
                <w:highlight w:val="none"/>
              </w:rPr>
              <w:t>项目名称</w:t>
            </w:r>
          </w:p>
        </w:tc>
        <w:tc>
          <w:tcPr>
            <w:tcW w:w="6105" w:type="dxa"/>
            <w:tcBorders>
              <w:top w:val="single" w:color="auto" w:sz="4" w:space="0"/>
              <w:left w:val="single" w:color="auto" w:sz="4" w:space="0"/>
              <w:bottom w:val="single" w:color="auto" w:sz="4" w:space="0"/>
            </w:tcBorders>
            <w:noWrap w:val="0"/>
            <w:vAlign w:val="center"/>
          </w:tcPr>
          <w:p w14:paraId="55297F3E">
            <w:pPr>
              <w:keepNext w:val="0"/>
              <w:keepLines w:val="0"/>
              <w:pageBreakBefore w:val="0"/>
              <w:widowControl w:val="0"/>
              <w:kinsoku/>
              <w:wordWrap/>
              <w:overflowPunct/>
              <w:topLinePunct w:val="0"/>
              <w:autoSpaceDE/>
              <w:autoSpaceDN/>
              <w:bidi w:val="0"/>
              <w:adjustRightInd/>
              <w:snapToGrid w:val="0"/>
              <w:spacing w:line="420" w:lineRule="exact"/>
              <w:ind w:firstLine="482" w:firstLineChars="201"/>
              <w:jc w:val="center"/>
              <w:textAlignment w:val="auto"/>
              <w:rPr>
                <w:rFonts w:ascii="仿宋" w:hAnsi="仿宋" w:eastAsia="仿宋" w:cs="仿宋"/>
                <w:sz w:val="24"/>
                <w:szCs w:val="24"/>
                <w:highlight w:val="none"/>
              </w:rPr>
            </w:pPr>
            <w:r>
              <w:rPr>
                <w:rFonts w:hint="eastAsia" w:ascii="仿宋" w:hAnsi="仿宋" w:eastAsia="仿宋" w:cs="仿宋"/>
                <w:sz w:val="24"/>
                <w:szCs w:val="24"/>
                <w:highlight w:val="none"/>
              </w:rPr>
              <w:t>内       容</w:t>
            </w:r>
          </w:p>
        </w:tc>
      </w:tr>
      <w:tr w14:paraId="0EC28F5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5" w:hRule="atLeast"/>
          <w:jc w:val="center"/>
        </w:trPr>
        <w:tc>
          <w:tcPr>
            <w:tcW w:w="942" w:type="dxa"/>
            <w:tcBorders>
              <w:top w:val="single" w:color="auto" w:sz="4" w:space="0"/>
              <w:bottom w:val="single" w:color="auto" w:sz="4" w:space="0"/>
              <w:right w:val="single" w:color="auto" w:sz="4" w:space="0"/>
            </w:tcBorders>
            <w:noWrap w:val="0"/>
            <w:vAlign w:val="center"/>
          </w:tcPr>
          <w:p w14:paraId="3978193F">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ascii="仿宋" w:hAnsi="仿宋" w:eastAsia="仿宋" w:cs="仿宋"/>
                <w:sz w:val="24"/>
                <w:szCs w:val="24"/>
                <w:highlight w:val="none"/>
              </w:rPr>
            </w:pPr>
            <w:r>
              <w:rPr>
                <w:rFonts w:hint="eastAsia" w:ascii="仿宋" w:hAnsi="仿宋" w:eastAsia="仿宋" w:cs="仿宋"/>
                <w:sz w:val="24"/>
                <w:szCs w:val="24"/>
                <w:highlight w:val="none"/>
              </w:rPr>
              <w:t>1</w:t>
            </w:r>
          </w:p>
        </w:tc>
        <w:tc>
          <w:tcPr>
            <w:tcW w:w="2651" w:type="dxa"/>
            <w:tcBorders>
              <w:top w:val="single" w:color="auto" w:sz="4" w:space="0"/>
              <w:left w:val="single" w:color="auto" w:sz="4" w:space="0"/>
              <w:bottom w:val="single" w:color="auto" w:sz="4" w:space="0"/>
              <w:right w:val="single" w:color="auto" w:sz="4" w:space="0"/>
            </w:tcBorders>
            <w:noWrap w:val="0"/>
            <w:vAlign w:val="center"/>
          </w:tcPr>
          <w:p w14:paraId="08AB50FF">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ascii="仿宋" w:hAnsi="仿宋" w:eastAsia="仿宋" w:cs="仿宋"/>
                <w:sz w:val="24"/>
                <w:szCs w:val="24"/>
                <w:highlight w:val="none"/>
              </w:rPr>
            </w:pPr>
            <w:r>
              <w:rPr>
                <w:rFonts w:hint="eastAsia" w:ascii="仿宋" w:hAnsi="仿宋" w:eastAsia="仿宋" w:cs="仿宋"/>
                <w:sz w:val="24"/>
                <w:szCs w:val="24"/>
                <w:highlight w:val="none"/>
              </w:rPr>
              <w:t>资格性评审</w:t>
            </w:r>
          </w:p>
        </w:tc>
        <w:tc>
          <w:tcPr>
            <w:tcW w:w="6105" w:type="dxa"/>
            <w:tcBorders>
              <w:top w:val="single" w:color="auto" w:sz="4" w:space="0"/>
              <w:left w:val="single" w:color="auto" w:sz="4" w:space="0"/>
              <w:bottom w:val="single" w:color="auto" w:sz="4" w:space="0"/>
            </w:tcBorders>
            <w:noWrap w:val="0"/>
            <w:vAlign w:val="top"/>
          </w:tcPr>
          <w:p w14:paraId="7EA13DC9">
            <w:pPr>
              <w:keepNext w:val="0"/>
              <w:keepLines w:val="0"/>
              <w:pageBreakBefore w:val="0"/>
              <w:widowControl w:val="0"/>
              <w:numPr>
                <w:ilvl w:val="0"/>
                <w:numId w:val="3"/>
              </w:numPr>
              <w:kinsoku/>
              <w:wordWrap/>
              <w:overflowPunct/>
              <w:topLinePunct w:val="0"/>
              <w:autoSpaceDE/>
              <w:autoSpaceDN/>
              <w:bidi w:val="0"/>
              <w:adjustRightInd/>
              <w:snapToGrid w:val="0"/>
              <w:spacing w:line="420" w:lineRule="exact"/>
              <w:textAlignment w:val="auto"/>
              <w:rPr>
                <w:rFonts w:hint="eastAsia"/>
                <w:highlight w:val="none"/>
                <w:lang w:eastAsia="zh-CN"/>
              </w:rPr>
            </w:pPr>
            <w:r>
              <w:rPr>
                <w:rFonts w:hint="eastAsia" w:ascii="仿宋" w:hAnsi="仿宋" w:eastAsia="仿宋" w:cs="仿宋"/>
                <w:sz w:val="24"/>
                <w:szCs w:val="24"/>
                <w:highlight w:val="none"/>
                <w:lang w:eastAsia="zh-CN"/>
              </w:rPr>
              <w:t>有效的营业执照副本扫描件</w:t>
            </w:r>
            <w:r>
              <w:rPr>
                <w:rFonts w:hint="eastAsia" w:ascii="仿宋" w:hAnsi="仿宋" w:eastAsia="仿宋" w:cs="仿宋"/>
                <w:sz w:val="24"/>
                <w:szCs w:val="24"/>
                <w:highlight w:val="none"/>
              </w:rPr>
              <w:t>（若</w:t>
            </w:r>
            <w:r>
              <w:rPr>
                <w:rFonts w:hint="eastAsia" w:ascii="仿宋" w:hAnsi="仿宋" w:eastAsia="仿宋" w:cs="仿宋"/>
                <w:spacing w:val="8"/>
                <w:sz w:val="24"/>
                <w:szCs w:val="24"/>
                <w:highlight w:val="none"/>
                <w:lang w:val="en-US" w:eastAsia="zh-CN"/>
              </w:rPr>
              <w:t>分支机构</w:t>
            </w:r>
            <w:r>
              <w:rPr>
                <w:rFonts w:hint="eastAsia" w:ascii="仿宋" w:hAnsi="仿宋" w:eastAsia="仿宋" w:cs="仿宋"/>
                <w:sz w:val="24"/>
                <w:szCs w:val="24"/>
                <w:highlight w:val="none"/>
              </w:rPr>
              <w:t>参与投标的，</w:t>
            </w:r>
            <w:r>
              <w:rPr>
                <w:rFonts w:hint="eastAsia" w:ascii="仿宋" w:hAnsi="仿宋" w:eastAsia="仿宋" w:cs="仿宋"/>
                <w:spacing w:val="8"/>
                <w:sz w:val="24"/>
                <w:szCs w:val="24"/>
                <w:highlight w:val="none"/>
                <w:lang w:val="en-US" w:eastAsia="zh-CN"/>
              </w:rPr>
              <w:t>分支机构</w:t>
            </w:r>
            <w:r>
              <w:rPr>
                <w:rFonts w:hint="eastAsia" w:ascii="仿宋" w:hAnsi="仿宋" w:eastAsia="仿宋" w:cs="仿宋"/>
                <w:sz w:val="24"/>
                <w:szCs w:val="24"/>
                <w:highlight w:val="none"/>
              </w:rPr>
              <w:t>还需提供总公司</w:t>
            </w:r>
            <w:r>
              <w:rPr>
                <w:rFonts w:hint="eastAsia" w:ascii="仿宋" w:hAnsi="仿宋" w:eastAsia="仿宋" w:cs="仿宋"/>
                <w:sz w:val="24"/>
                <w:szCs w:val="24"/>
                <w:highlight w:val="none"/>
                <w:lang w:val="en-US" w:eastAsia="zh-CN"/>
              </w:rPr>
              <w:t>的</w:t>
            </w:r>
            <w:r>
              <w:rPr>
                <w:rFonts w:hint="eastAsia" w:ascii="仿宋" w:hAnsi="仿宋" w:eastAsia="仿宋" w:cs="仿宋"/>
                <w:sz w:val="24"/>
                <w:szCs w:val="24"/>
                <w:highlight w:val="none"/>
              </w:rPr>
              <w:t>授权书）</w:t>
            </w:r>
            <w:r>
              <w:rPr>
                <w:rFonts w:hint="eastAsia" w:ascii="仿宋" w:hAnsi="仿宋" w:eastAsia="仿宋" w:cs="仿宋"/>
                <w:sz w:val="24"/>
                <w:szCs w:val="24"/>
                <w:highlight w:val="none"/>
                <w:lang w:eastAsia="zh-CN"/>
              </w:rPr>
              <w:t xml:space="preserve">； </w:t>
            </w:r>
          </w:p>
          <w:p w14:paraId="52CB23CB">
            <w:pPr>
              <w:keepNext w:val="0"/>
              <w:keepLines w:val="0"/>
              <w:pageBreakBefore w:val="0"/>
              <w:widowControl w:val="0"/>
              <w:numPr>
                <w:ilvl w:val="0"/>
                <w:numId w:val="0"/>
              </w:numPr>
              <w:kinsoku/>
              <w:wordWrap/>
              <w:overflowPunct/>
              <w:topLinePunct w:val="0"/>
              <w:autoSpaceDE/>
              <w:autoSpaceDN/>
              <w:bidi w:val="0"/>
              <w:adjustRightInd/>
              <w:snapToGrid w:val="0"/>
              <w:spacing w:line="420" w:lineRule="exac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2.具有有效的《成品油零售经营批准证书》和《中华人民共和国危险化学品经营许可证》扫描件</w:t>
            </w:r>
            <w:r>
              <w:rPr>
                <w:rFonts w:hint="eastAsia" w:ascii="仿宋" w:hAnsi="仿宋" w:eastAsia="仿宋" w:cs="仿宋"/>
                <w:sz w:val="24"/>
                <w:szCs w:val="24"/>
                <w:highlight w:val="none"/>
                <w:lang w:eastAsia="zh-CN"/>
              </w:rPr>
              <w:t>；</w:t>
            </w:r>
          </w:p>
          <w:p w14:paraId="309F8F81">
            <w:pPr>
              <w:keepNext w:val="0"/>
              <w:keepLines w:val="0"/>
              <w:pageBreakBefore w:val="0"/>
              <w:widowControl w:val="0"/>
              <w:numPr>
                <w:ilvl w:val="0"/>
                <w:numId w:val="0"/>
              </w:numPr>
              <w:kinsoku/>
              <w:wordWrap/>
              <w:overflowPunct/>
              <w:topLinePunct w:val="0"/>
              <w:autoSpaceDE/>
              <w:autoSpaceDN/>
              <w:bidi w:val="0"/>
              <w:adjustRightInd/>
              <w:snapToGrid w:val="0"/>
              <w:spacing w:line="420" w:lineRule="exact"/>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lang w:eastAsia="zh-CN"/>
              </w:rPr>
              <w:t>法定代表人（</w:t>
            </w:r>
            <w:r>
              <w:rPr>
                <w:rFonts w:hint="eastAsia" w:ascii="仿宋" w:hAnsi="仿宋" w:eastAsia="仿宋" w:cs="仿宋"/>
                <w:sz w:val="24"/>
                <w:szCs w:val="24"/>
                <w:highlight w:val="none"/>
                <w:lang w:val="en-US" w:eastAsia="zh-CN"/>
              </w:rPr>
              <w:t>负责人</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身份证明或授权委托书:</w:t>
            </w:r>
          </w:p>
          <w:p w14:paraId="66937891">
            <w:pPr>
              <w:keepNext w:val="0"/>
              <w:keepLines w:val="0"/>
              <w:pageBreakBefore w:val="0"/>
              <w:widowControl w:val="0"/>
              <w:numPr>
                <w:ilvl w:val="0"/>
                <w:numId w:val="0"/>
              </w:numPr>
              <w:kinsoku/>
              <w:wordWrap/>
              <w:overflowPunct/>
              <w:topLinePunct w:val="0"/>
              <w:autoSpaceDE/>
              <w:autoSpaceDN/>
              <w:bidi w:val="0"/>
              <w:adjustRightInd/>
              <w:snapToGrid w:val="0"/>
              <w:spacing w:line="420" w:lineRule="exac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若法定代表人</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负责人</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参加投标，投标文件附法定代表人</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负责人</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身份证明及法定代表人</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负责人</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身份证件扫描件；若授权代表参加投标，投标文件还需附</w:t>
            </w:r>
            <w:r>
              <w:rPr>
                <w:rFonts w:hint="eastAsia" w:ascii="仿宋" w:hAnsi="仿宋" w:eastAsia="仿宋" w:cs="仿宋"/>
                <w:sz w:val="24"/>
                <w:szCs w:val="24"/>
                <w:highlight w:val="none"/>
                <w:lang w:val="en-US" w:eastAsia="zh-CN"/>
              </w:rPr>
              <w:t>法定代表人</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负责人</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授权委托书</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被授权人身份证扫描件</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授权委托代理人社保证明扫描件，社保证明指近一个月（20</w:t>
            </w:r>
            <w:r>
              <w:rPr>
                <w:rFonts w:hint="eastAsia" w:ascii="仿宋" w:hAnsi="仿宋" w:eastAsia="仿宋" w:cs="仿宋"/>
                <w:sz w:val="24"/>
                <w:szCs w:val="24"/>
                <w:highlight w:val="none"/>
                <w:lang w:val="en-US" w:eastAsia="zh-CN"/>
              </w:rPr>
              <w:t>26</w:t>
            </w:r>
            <w:r>
              <w:rPr>
                <w:rFonts w:hint="eastAsia" w:ascii="仿宋" w:hAnsi="仿宋" w:eastAsia="仿宋" w:cs="仿宋"/>
                <w:sz w:val="24"/>
                <w:szCs w:val="24"/>
                <w:highlight w:val="none"/>
              </w:rPr>
              <w:t>年</w:t>
            </w:r>
            <w:r>
              <w:rPr>
                <w:rFonts w:hint="eastAsia" w:ascii="仿宋" w:hAnsi="仿宋" w:eastAsia="仿宋" w:cs="仿宋"/>
                <w:sz w:val="24"/>
                <w:szCs w:val="24"/>
                <w:highlight w:val="none"/>
                <w:lang w:val="en-US" w:eastAsia="zh-CN"/>
              </w:rPr>
              <w:t>7</w:t>
            </w:r>
            <w:r>
              <w:rPr>
                <w:rFonts w:hint="eastAsia" w:ascii="仿宋" w:hAnsi="仿宋" w:eastAsia="仿宋" w:cs="仿宋"/>
                <w:sz w:val="24"/>
                <w:szCs w:val="24"/>
                <w:highlight w:val="none"/>
              </w:rPr>
              <w:t>月或202</w:t>
            </w:r>
            <w:r>
              <w:rPr>
                <w:rFonts w:hint="eastAsia" w:ascii="仿宋" w:hAnsi="仿宋" w:eastAsia="仿宋" w:cs="仿宋"/>
                <w:sz w:val="24"/>
                <w:szCs w:val="24"/>
                <w:highlight w:val="none"/>
                <w:lang w:val="en-US" w:eastAsia="zh-CN"/>
              </w:rPr>
              <w:t>6</w:t>
            </w:r>
            <w:r>
              <w:rPr>
                <w:rFonts w:hint="eastAsia" w:ascii="仿宋" w:hAnsi="仿宋" w:eastAsia="仿宋" w:cs="仿宋"/>
                <w:sz w:val="24"/>
                <w:szCs w:val="24"/>
                <w:highlight w:val="none"/>
              </w:rPr>
              <w:t>年</w:t>
            </w:r>
            <w:r>
              <w:rPr>
                <w:rFonts w:hint="eastAsia" w:ascii="仿宋" w:hAnsi="仿宋" w:eastAsia="仿宋" w:cs="仿宋"/>
                <w:sz w:val="24"/>
                <w:szCs w:val="24"/>
                <w:highlight w:val="none"/>
                <w:lang w:val="en-US" w:eastAsia="zh-CN"/>
              </w:rPr>
              <w:t>8</w:t>
            </w:r>
            <w:r>
              <w:rPr>
                <w:rFonts w:hint="eastAsia" w:ascii="仿宋" w:hAnsi="仿宋" w:eastAsia="仿宋" w:cs="仿宋"/>
                <w:sz w:val="24"/>
                <w:szCs w:val="24"/>
                <w:highlight w:val="none"/>
              </w:rPr>
              <w:t>月）社保证明。若为退休人员可提供退休及返聘证明材料；</w:t>
            </w:r>
          </w:p>
          <w:p w14:paraId="2E80C932">
            <w:pPr>
              <w:keepNext w:val="0"/>
              <w:keepLines w:val="0"/>
              <w:pageBreakBefore w:val="0"/>
              <w:widowControl w:val="0"/>
              <w:numPr>
                <w:ilvl w:val="0"/>
                <w:numId w:val="0"/>
              </w:numPr>
              <w:kinsoku/>
              <w:wordWrap/>
              <w:overflowPunct/>
              <w:topLinePunct w:val="0"/>
              <w:autoSpaceDE/>
              <w:autoSpaceDN/>
              <w:bidi w:val="0"/>
              <w:adjustRightInd/>
              <w:snapToGrid w:val="0"/>
              <w:spacing w:line="420" w:lineRule="exac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4.</w:t>
            </w:r>
            <w:r>
              <w:rPr>
                <w:rFonts w:hint="eastAsia" w:ascii="仿宋" w:hAnsi="仿宋" w:eastAsia="仿宋" w:cs="仿宋"/>
                <w:sz w:val="24"/>
                <w:szCs w:val="24"/>
                <w:highlight w:val="none"/>
              </w:rPr>
              <w:t>投标人参与投标的声明函；</w:t>
            </w:r>
          </w:p>
          <w:p w14:paraId="25F906C6">
            <w:pPr>
              <w:keepNext w:val="0"/>
              <w:keepLines w:val="0"/>
              <w:pageBreakBefore w:val="0"/>
              <w:widowControl w:val="0"/>
              <w:numPr>
                <w:ilvl w:val="0"/>
                <w:numId w:val="0"/>
              </w:numPr>
              <w:kinsoku/>
              <w:wordWrap/>
              <w:overflowPunct/>
              <w:topLinePunct w:val="0"/>
              <w:autoSpaceDE/>
              <w:autoSpaceDN/>
              <w:bidi w:val="0"/>
              <w:adjustRightInd/>
              <w:snapToGrid w:val="0"/>
              <w:spacing w:line="420" w:lineRule="exact"/>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5.</w:t>
            </w:r>
            <w:r>
              <w:rPr>
                <w:rFonts w:hint="default" w:ascii="仿宋" w:hAnsi="仿宋" w:eastAsia="仿宋" w:cs="仿宋"/>
                <w:sz w:val="24"/>
                <w:szCs w:val="24"/>
                <w:highlight w:val="none"/>
                <w:lang w:val="en-US" w:eastAsia="zh-CN"/>
              </w:rPr>
              <w:t>投标人信用承诺书</w:t>
            </w:r>
            <w:r>
              <w:rPr>
                <w:rFonts w:hint="eastAsia" w:ascii="仿宋" w:hAnsi="仿宋" w:eastAsia="仿宋" w:cs="仿宋"/>
                <w:sz w:val="24"/>
                <w:szCs w:val="24"/>
                <w:highlight w:val="none"/>
                <w:lang w:val="en-US" w:eastAsia="zh-CN"/>
              </w:rPr>
              <w:t>；</w:t>
            </w:r>
          </w:p>
          <w:p w14:paraId="3CBFFA1B">
            <w:pPr>
              <w:keepNext w:val="0"/>
              <w:keepLines w:val="0"/>
              <w:pageBreakBefore w:val="0"/>
              <w:widowControl w:val="0"/>
              <w:numPr>
                <w:ilvl w:val="0"/>
                <w:numId w:val="0"/>
              </w:numPr>
              <w:kinsoku/>
              <w:wordWrap/>
              <w:overflowPunct/>
              <w:topLinePunct w:val="0"/>
              <w:autoSpaceDE/>
              <w:autoSpaceDN/>
              <w:bidi w:val="0"/>
              <w:adjustRightInd/>
              <w:snapToGrid w:val="0"/>
              <w:spacing w:line="420" w:lineRule="exac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6.</w:t>
            </w:r>
            <w:r>
              <w:rPr>
                <w:rFonts w:hint="eastAsia" w:ascii="仿宋" w:hAnsi="仿宋" w:eastAsia="仿宋" w:cs="仿宋"/>
                <w:sz w:val="24"/>
                <w:szCs w:val="24"/>
                <w:highlight w:val="none"/>
              </w:rPr>
              <w:t>投标人、法定代表人</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负责人</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、委托代理人未被最高法院（查询网址为：http://zxgk.court.gov.cn/shixin/）列入失信被执行人。投标文件附通过网站查询信息记录（省份为全部）；</w:t>
            </w:r>
          </w:p>
          <w:p w14:paraId="646967B3">
            <w:pPr>
              <w:keepNext w:val="0"/>
              <w:keepLines w:val="0"/>
              <w:pageBreakBefore w:val="0"/>
              <w:widowControl w:val="0"/>
              <w:kinsoku/>
              <w:wordWrap/>
              <w:overflowPunct/>
              <w:topLinePunct w:val="0"/>
              <w:autoSpaceDE/>
              <w:autoSpaceDN/>
              <w:bidi w:val="0"/>
              <w:adjustRightInd/>
              <w:snapToGrid w:val="0"/>
              <w:spacing w:line="420" w:lineRule="exact"/>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7</w:t>
            </w:r>
            <w:r>
              <w:rPr>
                <w:rFonts w:hint="eastAsia" w:ascii="仿宋" w:hAnsi="仿宋" w:eastAsia="仿宋" w:cs="仿宋"/>
                <w:sz w:val="24"/>
                <w:szCs w:val="24"/>
                <w:highlight w:val="none"/>
              </w:rPr>
              <w:t>.</w:t>
            </w:r>
            <w:r>
              <w:rPr>
                <w:rFonts w:hint="eastAsia" w:ascii="仿宋" w:hAnsi="仿宋" w:eastAsia="仿宋" w:cs="仿宋"/>
                <w:color w:val="auto"/>
                <w:sz w:val="24"/>
                <w:szCs w:val="24"/>
                <w:highlight w:val="none"/>
              </w:rPr>
              <w:t>投标人近一年无严重失信记录，投标文件中需附通过信用中国（查询网址：</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https://www.creditchina.gov.cn）或信用中国（山东）（https:/credit.shandong.gov.cn）查询的信用报告（个体工商户可提供通过\“信用中国\”各省级分站网站下载的无\“严重失信主体名单\”记录或无\“失信惩戒信息\”记录的公共信用信息报告）（）" </w:instrText>
            </w:r>
            <w:r>
              <w:rPr>
                <w:rFonts w:hint="eastAsia" w:ascii="仿宋" w:hAnsi="仿宋" w:eastAsia="仿宋" w:cs="仿宋"/>
                <w:color w:val="auto"/>
                <w:sz w:val="24"/>
                <w:szCs w:val="24"/>
                <w:highlight w:val="none"/>
              </w:rPr>
              <w:fldChar w:fldCharType="separate"/>
            </w:r>
            <w:r>
              <w:rPr>
                <w:rStyle w:val="52"/>
                <w:rFonts w:hint="eastAsia" w:ascii="仿宋" w:hAnsi="仿宋" w:eastAsia="仿宋" w:cs="仿宋"/>
                <w:color w:val="auto"/>
                <w:sz w:val="24"/>
                <w:szCs w:val="24"/>
                <w:highlight w:val="none"/>
              </w:rPr>
              <w:t>https://www.creditchina.gov.cn）或信用中国（山东）（https://credit.shandong.gov.cn）查询的信用报告</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，近一年是指2025年1月1日至查询日止，查询日期不早于招标文件开始获取日期</w:t>
            </w:r>
            <w:r>
              <w:rPr>
                <w:rFonts w:hint="eastAsia" w:ascii="仿宋" w:hAnsi="仿宋" w:eastAsia="仿宋" w:cs="仿宋"/>
                <w:sz w:val="24"/>
                <w:szCs w:val="24"/>
                <w:highlight w:val="none"/>
                <w:lang w:eastAsia="zh-CN"/>
              </w:rPr>
              <w:t>；</w:t>
            </w:r>
          </w:p>
          <w:p w14:paraId="06DFB6BA">
            <w:pPr>
              <w:keepNext w:val="0"/>
              <w:keepLines w:val="0"/>
              <w:pageBreakBefore w:val="0"/>
              <w:widowControl w:val="0"/>
              <w:kinsoku/>
              <w:wordWrap/>
              <w:overflowPunct/>
              <w:topLinePunct w:val="0"/>
              <w:autoSpaceDE/>
              <w:autoSpaceDN/>
              <w:bidi w:val="0"/>
              <w:adjustRightInd/>
              <w:snapToGrid w:val="0"/>
              <w:spacing w:line="420" w:lineRule="exact"/>
              <w:jc w:val="left"/>
              <w:textAlignment w:val="auto"/>
              <w:rPr>
                <w:rFonts w:hint="default" w:eastAsia="仿宋"/>
                <w:highlight w:val="none"/>
                <w:lang w:val="en-US" w:eastAsia="zh-CN"/>
              </w:rPr>
            </w:pPr>
            <w:r>
              <w:rPr>
                <w:rFonts w:hint="eastAsia" w:ascii="仿宋" w:hAnsi="仿宋" w:eastAsia="仿宋" w:cs="仿宋"/>
                <w:sz w:val="24"/>
                <w:szCs w:val="24"/>
                <w:highlight w:val="none"/>
                <w:lang w:val="en-US" w:eastAsia="zh-CN"/>
              </w:rPr>
              <w:t>8</w:t>
            </w:r>
            <w:r>
              <w:rPr>
                <w:rFonts w:hint="eastAsia" w:ascii="仿宋" w:hAnsi="仿宋" w:eastAsia="仿宋" w:cs="仿宋"/>
                <w:sz w:val="24"/>
                <w:szCs w:val="24"/>
                <w:highlight w:val="none"/>
              </w:rPr>
              <w:t>.投标保证金：按招标文件要求交纳（标包二：人民币</w:t>
            </w:r>
            <w:r>
              <w:rPr>
                <w:rFonts w:hint="eastAsia" w:ascii="仿宋" w:hAnsi="仿宋" w:eastAsia="仿宋" w:cs="仿宋"/>
                <w:sz w:val="24"/>
                <w:szCs w:val="24"/>
                <w:highlight w:val="none"/>
                <w:lang w:val="en-US" w:eastAsia="zh-CN"/>
              </w:rPr>
              <w:t>7</w:t>
            </w:r>
            <w:r>
              <w:rPr>
                <w:rFonts w:hint="eastAsia" w:ascii="仿宋" w:hAnsi="仿宋" w:eastAsia="仿宋" w:cs="仿宋"/>
                <w:sz w:val="24"/>
                <w:szCs w:val="24"/>
                <w:highlight w:val="none"/>
              </w:rPr>
              <w:t>000.00元。），交纳投标保证金的证明材料两者缺一不可：（1）企业银行基本账户开户证明（如开户许可证或银行开户证明等）、（2）电汇凭证或电子汇款截图扫描件。</w:t>
            </w:r>
          </w:p>
        </w:tc>
      </w:tr>
      <w:tr w14:paraId="413463A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69" w:hRule="atLeast"/>
          <w:jc w:val="center"/>
        </w:trPr>
        <w:tc>
          <w:tcPr>
            <w:tcW w:w="942" w:type="dxa"/>
            <w:tcBorders>
              <w:top w:val="single" w:color="auto" w:sz="4" w:space="0"/>
              <w:bottom w:val="single" w:color="auto" w:sz="4" w:space="0"/>
              <w:right w:val="single" w:color="auto" w:sz="4" w:space="0"/>
            </w:tcBorders>
            <w:noWrap w:val="0"/>
            <w:vAlign w:val="center"/>
          </w:tcPr>
          <w:p w14:paraId="625A29AC">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ascii="仿宋" w:hAnsi="仿宋" w:eastAsia="仿宋" w:cs="仿宋"/>
                <w:sz w:val="24"/>
                <w:szCs w:val="24"/>
                <w:highlight w:val="none"/>
              </w:rPr>
            </w:pPr>
            <w:r>
              <w:rPr>
                <w:rFonts w:hint="eastAsia" w:ascii="仿宋" w:hAnsi="仿宋" w:eastAsia="仿宋" w:cs="仿宋"/>
                <w:sz w:val="24"/>
                <w:szCs w:val="24"/>
                <w:highlight w:val="none"/>
              </w:rPr>
              <w:t>2</w:t>
            </w:r>
          </w:p>
        </w:tc>
        <w:tc>
          <w:tcPr>
            <w:tcW w:w="2651" w:type="dxa"/>
            <w:tcBorders>
              <w:top w:val="single" w:color="auto" w:sz="4" w:space="0"/>
              <w:left w:val="single" w:color="auto" w:sz="4" w:space="0"/>
              <w:bottom w:val="single" w:color="auto" w:sz="4" w:space="0"/>
              <w:right w:val="single" w:color="auto" w:sz="4" w:space="0"/>
            </w:tcBorders>
            <w:noWrap w:val="0"/>
            <w:vAlign w:val="center"/>
          </w:tcPr>
          <w:p w14:paraId="5B01A828">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ascii="仿宋" w:hAnsi="仿宋" w:eastAsia="仿宋" w:cs="仿宋"/>
                <w:sz w:val="24"/>
                <w:szCs w:val="24"/>
                <w:highlight w:val="none"/>
              </w:rPr>
            </w:pPr>
            <w:r>
              <w:rPr>
                <w:rFonts w:hint="eastAsia" w:ascii="仿宋" w:hAnsi="仿宋" w:eastAsia="仿宋" w:cs="仿宋"/>
                <w:sz w:val="24"/>
                <w:szCs w:val="24"/>
                <w:highlight w:val="none"/>
              </w:rPr>
              <w:t>符合性评审</w:t>
            </w:r>
          </w:p>
        </w:tc>
        <w:tc>
          <w:tcPr>
            <w:tcW w:w="6105" w:type="dxa"/>
            <w:tcBorders>
              <w:top w:val="single" w:color="auto" w:sz="4" w:space="0"/>
              <w:left w:val="single" w:color="auto" w:sz="4" w:space="0"/>
              <w:bottom w:val="single" w:color="auto" w:sz="4" w:space="0"/>
            </w:tcBorders>
            <w:noWrap w:val="0"/>
            <w:vAlign w:val="center"/>
          </w:tcPr>
          <w:p w14:paraId="19A0A76D">
            <w:pPr>
              <w:keepNext w:val="0"/>
              <w:keepLines w:val="0"/>
              <w:pageBreakBefore w:val="0"/>
              <w:widowControl w:val="0"/>
              <w:kinsoku/>
              <w:wordWrap/>
              <w:overflowPunct/>
              <w:topLinePunct w:val="0"/>
              <w:autoSpaceDE/>
              <w:autoSpaceDN/>
              <w:bidi w:val="0"/>
              <w:adjustRightInd/>
              <w:snapToGrid w:val="0"/>
              <w:spacing w:line="420" w:lineRule="exact"/>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1.投标报价满足招标文件要求；</w:t>
            </w:r>
          </w:p>
          <w:p w14:paraId="0237B421">
            <w:pPr>
              <w:keepNext w:val="0"/>
              <w:keepLines w:val="0"/>
              <w:pageBreakBefore w:val="0"/>
              <w:widowControl w:val="0"/>
              <w:kinsoku/>
              <w:wordWrap/>
              <w:overflowPunct/>
              <w:topLinePunct w:val="0"/>
              <w:autoSpaceDE/>
              <w:autoSpaceDN/>
              <w:bidi w:val="0"/>
              <w:adjustRightInd/>
              <w:snapToGrid w:val="0"/>
              <w:spacing w:line="420" w:lineRule="exac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rPr>
              <w:t>.</w:t>
            </w:r>
            <w:r>
              <w:rPr>
                <w:rFonts w:hint="eastAsia" w:ascii="仿宋" w:hAnsi="仿宋" w:eastAsia="仿宋" w:cs="仿宋"/>
                <w:sz w:val="24"/>
                <w:szCs w:val="24"/>
                <w:highlight w:val="none"/>
                <w:lang w:val="en-US" w:eastAsia="zh-CN"/>
              </w:rPr>
              <w:t>服务期（</w:t>
            </w:r>
            <w:r>
              <w:rPr>
                <w:rFonts w:hint="eastAsia" w:ascii="仿宋" w:hAnsi="仿宋" w:eastAsia="仿宋" w:cs="Times New Roman"/>
                <w:color w:val="000000"/>
                <w:sz w:val="24"/>
                <w:highlight w:val="none"/>
                <w:lang w:eastAsia="zh-CN"/>
              </w:rPr>
              <w:t>自合同签订之日起一年,合同期满双方无异议后可以续签，但最长不超过三年）</w:t>
            </w:r>
            <w:r>
              <w:rPr>
                <w:rFonts w:hint="eastAsia" w:ascii="仿宋" w:hAnsi="仿宋" w:eastAsia="仿宋" w:cs="仿宋"/>
                <w:sz w:val="24"/>
                <w:szCs w:val="24"/>
                <w:highlight w:val="none"/>
                <w:lang w:val="en-US" w:eastAsia="zh-CN"/>
              </w:rPr>
              <w:t>及其他实质性要求</w:t>
            </w:r>
            <w:r>
              <w:rPr>
                <w:rFonts w:hint="eastAsia" w:ascii="仿宋" w:hAnsi="仿宋" w:eastAsia="仿宋" w:cs="仿宋"/>
                <w:sz w:val="24"/>
                <w:szCs w:val="24"/>
                <w:highlight w:val="none"/>
              </w:rPr>
              <w:t>满足招标文件要求；</w:t>
            </w:r>
          </w:p>
          <w:p w14:paraId="34CE52F9">
            <w:pPr>
              <w:keepNext w:val="0"/>
              <w:keepLines w:val="0"/>
              <w:pageBreakBefore w:val="0"/>
              <w:widowControl w:val="0"/>
              <w:kinsoku/>
              <w:wordWrap/>
              <w:overflowPunct/>
              <w:topLinePunct w:val="0"/>
              <w:autoSpaceDE/>
              <w:autoSpaceDN/>
              <w:bidi w:val="0"/>
              <w:adjustRightInd/>
              <w:snapToGrid w:val="0"/>
              <w:spacing w:line="420" w:lineRule="exac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.不存在招标文件规定的关于投标人串通投标的情形及其他投标无效的情形。</w:t>
            </w:r>
          </w:p>
        </w:tc>
      </w:tr>
    </w:tbl>
    <w:p w14:paraId="337F9DE0">
      <w:pPr>
        <w:rPr>
          <w:rFonts w:hint="eastAsia" w:ascii="仿宋" w:hAnsi="仿宋" w:eastAsia="仿宋" w:cs="仿宋"/>
          <w:b/>
          <w:sz w:val="24"/>
          <w:szCs w:val="24"/>
          <w:highlight w:val="none"/>
        </w:rPr>
      </w:pPr>
    </w:p>
    <w:p w14:paraId="68B2E8A9">
      <w:pPr>
        <w:rPr>
          <w:rFonts w:ascii="仿宋" w:hAnsi="仿宋" w:eastAsia="仿宋" w:cs="仿宋"/>
          <w:b/>
          <w:sz w:val="24"/>
          <w:szCs w:val="24"/>
          <w:highlight w:val="none"/>
        </w:rPr>
      </w:pPr>
      <w:r>
        <w:rPr>
          <w:rFonts w:hint="eastAsia" w:ascii="仿宋" w:hAnsi="仿宋" w:eastAsia="仿宋" w:cs="仿宋"/>
          <w:b/>
          <w:sz w:val="24"/>
          <w:szCs w:val="24"/>
          <w:highlight w:val="none"/>
        </w:rPr>
        <w:t>一、说明</w:t>
      </w:r>
    </w:p>
    <w:p w14:paraId="0615E3EF">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本文件依据《</w:t>
      </w:r>
      <w:r>
        <w:rPr>
          <w:rFonts w:hint="eastAsia" w:ascii="仿宋" w:hAnsi="仿宋" w:eastAsia="仿宋" w:cs="仿宋"/>
          <w:sz w:val="24"/>
          <w:szCs w:val="24"/>
          <w:highlight w:val="none"/>
          <w:lang w:eastAsia="zh-CN"/>
        </w:rPr>
        <w:t>山东省省属企业阳光采购监督管理办法</w:t>
      </w:r>
      <w:r>
        <w:rPr>
          <w:rFonts w:hint="eastAsia" w:ascii="仿宋" w:hAnsi="仿宋" w:eastAsia="仿宋" w:cs="仿宋"/>
          <w:sz w:val="24"/>
          <w:szCs w:val="24"/>
          <w:highlight w:val="none"/>
        </w:rPr>
        <w:t>》等法律法规，参照《国有企业采购操作规范》</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《国有企业采购管理规范》，结合《威海市市属国有企业阳光采购监督管理暂行办法》及国家和山东省有关法律、法规、规章制度编制。参加本项目投标人应接受本招标文件关于电子招投标各项规定。</w:t>
      </w:r>
    </w:p>
    <w:p w14:paraId="34C56B6B">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1.适用范围</w:t>
      </w:r>
    </w:p>
    <w:p w14:paraId="587DC12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1.1 本招标文件仅适用于本次招标公告中所涉及的项目和内容。</w:t>
      </w:r>
    </w:p>
    <w:p w14:paraId="5ACEA75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1.2 本招标文件的解释权为</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机构，以书面解释为准。</w:t>
      </w:r>
    </w:p>
    <w:p w14:paraId="133978A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1.3本招标文件未做须知明示，而又有相关法律、法规规定的，从其规定。</w:t>
      </w:r>
    </w:p>
    <w:p w14:paraId="14B3D5AD">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2.相关要求</w:t>
      </w:r>
    </w:p>
    <w:p w14:paraId="1F3FE6B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2.1 投标人应承担所有准备和参加</w:t>
      </w:r>
      <w:r>
        <w:rPr>
          <w:rFonts w:hint="eastAsia" w:ascii="仿宋" w:hAnsi="仿宋" w:eastAsia="仿宋" w:cs="仿宋"/>
          <w:sz w:val="24"/>
          <w:szCs w:val="24"/>
          <w:highlight w:val="none"/>
          <w:lang w:val="en-US" w:eastAsia="zh-CN"/>
        </w:rPr>
        <w:t>投标</w:t>
      </w:r>
      <w:r>
        <w:rPr>
          <w:rFonts w:hint="eastAsia" w:ascii="仿宋" w:hAnsi="仿宋" w:eastAsia="仿宋" w:cs="仿宋"/>
          <w:sz w:val="24"/>
          <w:szCs w:val="24"/>
          <w:highlight w:val="none"/>
        </w:rPr>
        <w:t>的全部费用。不论电子投标结果如何，</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机构和</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均无义务和责任承担这些费用。</w:t>
      </w:r>
    </w:p>
    <w:p w14:paraId="56C1C79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 本项目若涉及</w:t>
      </w:r>
      <w:r>
        <w:rPr>
          <w:rFonts w:hint="eastAsia" w:ascii="仿宋" w:hAnsi="仿宋" w:eastAsia="仿宋" w:cs="仿宋"/>
          <w:sz w:val="24"/>
          <w:szCs w:val="24"/>
          <w:highlight w:val="none"/>
          <w:lang w:eastAsia="zh-CN"/>
        </w:rPr>
        <w:t>招标</w:t>
      </w:r>
      <w:r>
        <w:rPr>
          <w:rFonts w:hint="eastAsia" w:ascii="仿宋" w:hAnsi="仿宋" w:eastAsia="仿宋" w:cs="仿宋"/>
          <w:sz w:val="24"/>
          <w:szCs w:val="24"/>
          <w:highlight w:val="none"/>
        </w:rPr>
        <w:t>货物，则合格的货物及相应服务应满足以下要求：</w:t>
      </w:r>
    </w:p>
    <w:p w14:paraId="1132EFE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 必须是全新、未使用过的原装合格正品（包括零部件），如安装或配置了软件的，须为正版软件。</w:t>
      </w:r>
    </w:p>
    <w:p w14:paraId="13EE483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2.2.2 国产的货物及其有关服务必须符合中华人民共和国的设计和制造生产标准或行业标准。招标公告有其他要求的，亦应符合其要求。</w:t>
      </w:r>
    </w:p>
    <w:p w14:paraId="4A16017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2.2.3进口货物及其有关服务必须符合原产地和/或中华人民共和国的设计和制造生产标准或行业标准。进口的货物必须具有合法的进口手续和途径，并通过中华人民共和国商检部门检验。招标公告有其他要求的，亦应符合其要求。</w:t>
      </w:r>
    </w:p>
    <w:p w14:paraId="2DA85AA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2.2.4 投标人应保证，其所提供的货物在提供给</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单位前具有完全的所有权，</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单位在中华人民共和国使用该货物或货物的任何一部分时，不会产生因第三方提出的包括但不限于侵犯其专利权、商标权、工业设计权等知识产权和侵犯其所有权、抵押权等物权及其他权利而引发的纠纷。如有纠纷，投标人应承担全部责任。</w:t>
      </w:r>
    </w:p>
    <w:p w14:paraId="4FC9E745">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2.3投标人应通过威海市公共资源交易网登录国企阳光采购平台获取招标文件，并通过国企阳光采购平台网上上传电子投标文件，电子投标文件成功上传后，将会生成投标回执，未通过国企阳光采购平台上传电子投标文件的，为无效投标。获取招标文件的投标人不足3家的，本项目直接废标。</w:t>
      </w:r>
    </w:p>
    <w:p w14:paraId="0F151757">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二、招标文件</w:t>
      </w:r>
    </w:p>
    <w:p w14:paraId="411E6C66">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3.招标文件的构成</w:t>
      </w:r>
    </w:p>
    <w:p w14:paraId="6F472E3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由各包段本文件（word格式）和各包段的数据文件（excel格式）构成，采用压缩包电子版文件格式提供。</w:t>
      </w:r>
    </w:p>
    <w:p w14:paraId="4A0E405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3.1 本文件（word格式）由下列文件组成：</w:t>
      </w:r>
    </w:p>
    <w:p w14:paraId="11B1727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（1）招标公告</w:t>
      </w:r>
    </w:p>
    <w:p w14:paraId="7DD16D1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（2）投标须知</w:t>
      </w:r>
    </w:p>
    <w:p w14:paraId="05C6A13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内容与要求</w:t>
      </w:r>
    </w:p>
    <w:p w14:paraId="757A3ED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（4）评标原则、程序与方法</w:t>
      </w:r>
    </w:p>
    <w:p w14:paraId="1321168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（5）投标文件格式</w:t>
      </w:r>
    </w:p>
    <w:p w14:paraId="6AF10C6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（6）合同（范本）</w:t>
      </w:r>
    </w:p>
    <w:p w14:paraId="77D84BC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（7）在</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过程中由</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机构发出的修正和补充文件等（如有）</w:t>
      </w:r>
    </w:p>
    <w:p w14:paraId="77D74F2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3.2 数据文件（excel格式）由下列文件组成：</w:t>
      </w:r>
    </w:p>
    <w:p w14:paraId="301F459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（1）封面</w:t>
      </w:r>
    </w:p>
    <w:p w14:paraId="7882AC6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（2）投标报价表（含明细）</w:t>
      </w:r>
    </w:p>
    <w:p w14:paraId="172A1F3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（3）需求响应表（如有）</w:t>
      </w:r>
    </w:p>
    <w:p w14:paraId="762DF55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（4）评审对照表</w:t>
      </w:r>
    </w:p>
    <w:p w14:paraId="0C8E5A8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（5）评分对照表（如有）</w:t>
      </w:r>
    </w:p>
    <w:p w14:paraId="70A7E6E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3.3 投标人应认真阅读招标文件中所有的事项、格式、条款和技术规范、参数及要求等，如果投标人没有按照招标文件要求提交全部资料，或者投标人没有对招标文件在各方面都做出实质性响应，其风险应由投标人自行承担并根据有关政策和条款规定，其投标有可能被拒绝，或者被认定为无效投标。</w:t>
      </w:r>
    </w:p>
    <w:p w14:paraId="163575E0">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4.招标文件的澄清</w:t>
      </w:r>
    </w:p>
    <w:p w14:paraId="48BEEBC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4.1投标人在收到招标文件后，对招标文件若有任何疑问或要求澄清招标文件的，应在投标截止前2日内按“投标须知前附表”第四项向</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机构提出，必要时</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机构将协助</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组织所有获取招标文件</w:t>
      </w:r>
      <w:r>
        <w:rPr>
          <w:rFonts w:hint="eastAsia" w:ascii="仿宋" w:hAnsi="仿宋" w:eastAsia="仿宋" w:cs="仿宋"/>
          <w:sz w:val="24"/>
          <w:szCs w:val="24"/>
          <w:highlight w:val="none"/>
          <w:lang w:val="en-US" w:eastAsia="zh-CN"/>
        </w:rPr>
        <w:t>的</w:t>
      </w:r>
      <w:r>
        <w:rPr>
          <w:rFonts w:hint="eastAsia" w:ascii="仿宋" w:hAnsi="仿宋" w:eastAsia="仿宋" w:cs="仿宋"/>
          <w:sz w:val="24"/>
          <w:szCs w:val="24"/>
          <w:highlight w:val="none"/>
        </w:rPr>
        <w:t>投标人举行答疑会，</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根据需要主动对招标文件进行必要的澄清或根据投标人的要求对招标文件做出澄清，都将以原网站公开发布形式（包括电子交易系统推送）答复或发送给所有投标人。澄清文件作为招标文件的组成部分，对投标人起约束作用。</w:t>
      </w:r>
    </w:p>
    <w:p w14:paraId="55009C6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4.2投标人在规定的时间内未对招标文件澄清或提出疑问的，</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机构将视其为接受招标文件的所有条款，对招标文件没有异议，此后也不再受理对招标文件的相关质疑。</w:t>
      </w:r>
    </w:p>
    <w:p w14:paraId="6B046592">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5.招标文件的修改</w:t>
      </w:r>
    </w:p>
    <w:p w14:paraId="005A5B2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5.l 在投标截止时间2日以前，无论出于何种原因，</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机构或</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可主动或在解答投标人提出的疑问时对招标文件进行修改。</w:t>
      </w:r>
    </w:p>
    <w:p w14:paraId="2756C96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5.2 修改后的内容是招标文件的组成部分，</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机构将会通过原发布媒体，以更正公告形式（电子交易系统发送更正提醒通知）一并告知所有潜在投标人，并对潜在投标人具有约束力。潜在投标人在收到上述通知后，应立即以书面形式向</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机构或</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确认，如在24小时内无书面回函则视为同意修改内容，并有义务履行相应的义务。</w:t>
      </w:r>
    </w:p>
    <w:p w14:paraId="2A84BAD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5.3澄清或者修改的内容可能影响投标文件编制的，</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将在投标截止时间2日前，通过原发布媒体发布公告的形式（电子交易系统内发送更正提醒通知）通知所有获取招标文件的潜在投标人（招标文件变更的，投标人必须从电子交易系统中重新下载招标文件，并在新下载文件的基础上编制投标文件）；不足2日的，</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或者</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机构将顺延提交投标文件的截止时间。</w:t>
      </w:r>
    </w:p>
    <w:p w14:paraId="136A847E">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三、投标文件的编制</w:t>
      </w:r>
    </w:p>
    <w:p w14:paraId="5D3C0F52">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6.投标文件编制要求</w:t>
      </w:r>
    </w:p>
    <w:p w14:paraId="167AA10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6.1投标人编写的文件和往来信件应以简体中文书写。如果投标文件或与投标有关的其它文件、信件及来往函电以其它语言书写的，投标人应将其译成中文，如未翻译该文件为无效文件。</w:t>
      </w:r>
    </w:p>
    <w:p w14:paraId="0BF47D7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6.2投标文件中使用的计量单位应使用中华人民共和国法定计量单位。</w:t>
      </w:r>
    </w:p>
    <w:p w14:paraId="6C277D6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6.3投标人必须保证投标文件所提供的全部资料真实可靠，并接受</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机构对其中任何资料进一步核实的要求。如果因为投标文件填报的内容不详，或没有提供招标文件中所要求的全部资料及数据，或提供虚假文件，由此造成的后果由投标人自负。</w:t>
      </w:r>
    </w:p>
    <w:p w14:paraId="35336D4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6.4投标人应按招标文件中提供的投标文件格式（详见第五部分投标文件格式）按包段编写投标文件，并使用A4规格编制。投标文件应编写目录，具有结构清晰的文档结构图（打开word视图中的“文档结构图”后能看到详细章节），页码连续。</w:t>
      </w:r>
    </w:p>
    <w:p w14:paraId="2AD4988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6.5投标人按照招标文件要求所提供的各种证明文件必须真实且合法有效,经扫描后粘贴到投标文件的相关页上，确保清晰度可辨认，评审时由于无法辨认所产生的后果，由投标人自行承担。</w:t>
      </w:r>
    </w:p>
    <w:p w14:paraId="5D5B8CB3">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6.6投标人应自行确保本文件的内容已充分覆盖了数据文件中《评审对照表》和《评分对照表(如有)》中的各项要求，并准确将对应的起止页码填写到数据文件《评审对照表》、《评分对照表(如有)》表格中每项后的起始页码和终止页码栏位上。对于不涉及或无法填写的评审项（评分项）（例如：报价），可在页码索引处填写1。</w:t>
      </w:r>
    </w:p>
    <w:p w14:paraId="73C5494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6.7为了保证系统整体效率，系统对所投递的电子文件有大小的限制，因此，投标人应尽可能降低本文件的大小，小尺寸投标文件将使递交更快捷、减少差错发生几率，避免投标截止时间前未能完整上传文件。</w:t>
      </w:r>
    </w:p>
    <w:p w14:paraId="1B04172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6.8投标文件具有法律效力，投标人与</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机构或</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任何人的口头协议不影响投标文件的任何条款和内容。</w:t>
      </w:r>
    </w:p>
    <w:p w14:paraId="6D51F7C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6.9</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机构均无义务向投标人解释其中标或未中标的原因，且无论投标人是否中标，投标人所递交的投标文件均不予退还，不提供副本拷贝。</w:t>
      </w:r>
    </w:p>
    <w:p w14:paraId="6BF04F2D">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7.数据文件编制要求</w:t>
      </w:r>
    </w:p>
    <w:p w14:paraId="1431048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7.1投标人须从所投项目的招标文件压缩包内对应包段目录下获取本文件（变更后的数据文件需要重新下载），必须在原文件上严格按照其中要求填写，其内部已约定好固定格式和相关内容，且带有特定的唯一性数字指纹，对采用非该文件基础上编制或对该文件进行任何工作表、表格行、表格列的增减、对工作表先后顺序的变动，以及对锁定区域内的数据进行更改、文件另存到其他文件等违规性操作，都会破坏本文件中的数字指纹，导致系统无法接收该文件使其投标失败。</w:t>
      </w:r>
    </w:p>
    <w:p w14:paraId="087C009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7.2投标人应按数据文件中规定的要求，完整、准确地填写《封面》《投标报价表（含明细）》《需求响应表（如有）》《评审对照表》《评分对照表（如有）》，任何的漏表、漏项及信息不完整、填写数据不规范或不正确，都将导致电子交易平台无法接收该文件使其投标失败。</w:t>
      </w:r>
    </w:p>
    <w:p w14:paraId="788ECB0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7.3投标人在对数据文件电子签章前，应按照上述2项的要求进行认真检查、确认。因投标人自身原因所导致其投标失败的，须自行承担相关责任。</w:t>
      </w:r>
    </w:p>
    <w:p w14:paraId="4519D8B0">
      <w:pPr>
        <w:snapToGrid w:val="0"/>
        <w:spacing w:line="360" w:lineRule="auto"/>
        <w:ind w:firstLine="482" w:firstLineChars="200"/>
        <w:jc w:val="left"/>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注：</w:t>
      </w:r>
      <w:r>
        <w:rPr>
          <w:rFonts w:hint="eastAsia" w:ascii="仿宋" w:hAnsi="仿宋" w:eastAsia="仿宋" w:cs="仿宋"/>
          <w:b/>
          <w:bCs/>
          <w:sz w:val="24"/>
          <w:szCs w:val="24"/>
          <w:highlight w:val="none"/>
        </w:rPr>
        <w:t>标包二的数据文件中的报价填写折扣（如折扣为国家发改委规定的当日成品油零售限价的95%，即95折，即数据文件填</w:t>
      </w:r>
      <w:r>
        <w:rPr>
          <w:rFonts w:hint="eastAsia" w:ascii="仿宋" w:hAnsi="仿宋" w:eastAsia="仿宋" w:cs="仿宋"/>
          <w:b/>
          <w:bCs/>
          <w:sz w:val="24"/>
          <w:szCs w:val="24"/>
          <w:highlight w:val="none"/>
          <w:lang w:val="en-US" w:eastAsia="zh-CN"/>
        </w:rPr>
        <w:t>95</w:t>
      </w:r>
      <w:r>
        <w:rPr>
          <w:rFonts w:hint="eastAsia" w:ascii="仿宋" w:hAnsi="仿宋" w:eastAsia="仿宋" w:cs="仿宋"/>
          <w:b/>
          <w:bCs/>
          <w:sz w:val="24"/>
          <w:szCs w:val="24"/>
          <w:highlight w:val="none"/>
        </w:rPr>
        <w:t>）。</w:t>
      </w:r>
    </w:p>
    <w:p w14:paraId="0C21C82F">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8.文件构成</w:t>
      </w:r>
    </w:p>
    <w:p w14:paraId="4FDFF00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投标人应按不同包段分别编制投标文件，每个包段的投标文件分两册必须包括：投标文件（pdf格式）（第一册）、数据文件（PDF格式）（第二册），以上内容缺一不可，否则为无效投标。</w:t>
      </w:r>
    </w:p>
    <w:p w14:paraId="1D949F1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8.1投标人编制的投标文件（pdf格式）（第一册）应包括但不少于下列内容：</w:t>
      </w:r>
    </w:p>
    <w:p w14:paraId="25094F2F">
      <w:pPr>
        <w:snapToGrid w:val="0"/>
        <w:spacing w:line="360" w:lineRule="auto"/>
        <w:ind w:firstLine="480" w:firstLineChars="200"/>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属于固定格式的须按招标公司提供的格式填写，详见第五部分 投标文件（格式）</w:t>
      </w:r>
      <w:r>
        <w:rPr>
          <w:rFonts w:hint="eastAsia" w:ascii="仿宋" w:hAnsi="仿宋" w:eastAsia="仿宋" w:cs="仿宋"/>
          <w:sz w:val="24"/>
          <w:szCs w:val="24"/>
          <w:highlight w:val="none"/>
          <w:lang w:eastAsia="zh-CN"/>
        </w:rPr>
        <w:t>。</w:t>
      </w:r>
    </w:p>
    <w:p w14:paraId="13D6370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8.2数据文件（PDF格式）（第二册）</w:t>
      </w:r>
    </w:p>
    <w:p w14:paraId="647A160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投标人须从本项目招标文件压缩包内获取对应包段的数据文件（EXCEL格式），并严格按照要求填写。填写完成后在国企阳光采购平台中上传该数据文件（EXCEL格式），系统将自动转换为PDF格式，再加盖投标人电子印章，未按要求填写或盖章为无效投标。数据文件（PDF格式）包含下列内容：</w:t>
      </w:r>
    </w:p>
    <w:p w14:paraId="4CFBCF3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（1）封面</w:t>
      </w:r>
    </w:p>
    <w:p w14:paraId="0275426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（2）投标报价表（含明细）</w:t>
      </w:r>
    </w:p>
    <w:p w14:paraId="4748D4D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（3）需求响应表（如有）</w:t>
      </w:r>
    </w:p>
    <w:p w14:paraId="415080F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（4）评审对照表</w:t>
      </w:r>
    </w:p>
    <w:p w14:paraId="11769D6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（5）评分对照表（如有）</w:t>
      </w:r>
    </w:p>
    <w:p w14:paraId="3B5B339F">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9.投标报价</w:t>
      </w:r>
    </w:p>
    <w:p w14:paraId="0AA6EFF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9.1投标人均以人民币报价，精确到小数点后两位。</w:t>
      </w:r>
    </w:p>
    <w:p w14:paraId="262346E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9.2投标人应按照“第三部分</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内容与要求”的</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内容、责任范围以及合同条款进行报价。并按数据文件中“投标报价表（含明细）”规定的格式报出分项价格和总价。</w:t>
      </w:r>
    </w:p>
    <w:p w14:paraId="6F2D114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9.3投标人应按数据文件“投标报价表（含明细）”要求的统一格式填写，并加盖电子公章。</w:t>
      </w:r>
    </w:p>
    <w:p w14:paraId="0D26F9F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9.4《投标报价表（含明细）》填写时应响应下列要求：</w:t>
      </w:r>
    </w:p>
    <w:p w14:paraId="747E767C">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（1）所有根据合同或其它原因应由投标人支付的税款和其它应交纳的费用都要包括在投标人提交的报价中。</w:t>
      </w:r>
    </w:p>
    <w:p w14:paraId="66AC1011">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投标单位在投标报价时，应根据企业自身实力结合市场信息，充分考虑市场竞争因素和市场风险进行自主报价。投标人应充分考虑本项目合同实施期间可能发生的一切费用，并承担由此而带来的风险。凡投标人在报价中未列明但又为本次采购所必备的费用，招标人将一律视为已包括在其报价中，在合同执行中将不予考虑。</w:t>
      </w:r>
    </w:p>
    <w:p w14:paraId="09D06E8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（3）投标人应对本次招标的全部内容进行报价，缺项报价投标无效。如因投标人自身的原因报价失误而造成的损失，由投标人自行承担。</w:t>
      </w:r>
    </w:p>
    <w:p w14:paraId="4044579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（4）投标人须严格按照报价明细表说明进行填写，报价明细表中 “*”是必填项，任何必填项为空时都可能导致本次投标无效。</w:t>
      </w:r>
    </w:p>
    <w:p w14:paraId="0E1D4BA5">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（5）《投标报价表（含明细）》中合价将由单价*数量自动计算，无需手工录入。</w:t>
      </w:r>
    </w:p>
    <w:p w14:paraId="2A1E90E3">
      <w:pPr>
        <w:snapToGrid w:val="0"/>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（6）《投标报价表（含明细）》中“报价产品的型号”，型号填写的一般规则为：品牌+产品型号。</w:t>
      </w:r>
    </w:p>
    <w:p w14:paraId="6DADB50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9.5 《需求响应表（如有）》填写时应响应下列要求：</w:t>
      </w:r>
    </w:p>
    <w:p w14:paraId="5F8FF8B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（1）有底色标识的单元格须填写，有“*”的列是必输项，任何必输项为空都可能导致您的本次投标无效；</w:t>
      </w:r>
    </w:p>
    <w:p w14:paraId="72A0732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（2）如想拷贝数据到某个待填写单元格，应采用选择性粘贴(只粘贴文本)，否则单元格填写无效或被锁死；</w:t>
      </w:r>
    </w:p>
    <w:p w14:paraId="4BAD7A6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（3）当招标需求列的内容显示不完整时，请点击编辑栏进行查看；</w:t>
      </w:r>
    </w:p>
    <w:p w14:paraId="23BCCDE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响应需求请按照商品(服务)的招标需求的逐一说明，如实填写。“响应需求”中需详细列明所报产品（服务）的明细；若与投标文件中提供的产品检测报告（如有）、生产厂家出具的产品彩页等证明材料的实质性响应情况不一致，按无效投标处理。</w:t>
      </w:r>
    </w:p>
    <w:p w14:paraId="16468C9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（5）按照该表显示位置加盖一个电子印章；</w:t>
      </w:r>
    </w:p>
    <w:p w14:paraId="3E7380E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（6）该表为固定格式且有数字指纹，必须在原表上填写，填写完毕后只可保存不可另存。删除该表、增加该表、增加行列、删除行列、对固定格式的任何改动均会导致无效投标；</w:t>
      </w:r>
    </w:p>
    <w:p w14:paraId="0698124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9.6 投标人的报价在合同执行过程中是固定不变的，不得以任何理由改变。所有价格折扣、优惠条件必须在报价明细表中注明，否则评审时不予认可。</w:t>
      </w:r>
    </w:p>
    <w:p w14:paraId="1870DE4E">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10.联合体投标</w:t>
      </w:r>
    </w:p>
    <w:p w14:paraId="7750A3F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两个以上的自然人、法人或者其他组织可以组成一个联合体，以一个投标人的身份共同参加国企采购。</w:t>
      </w:r>
    </w:p>
    <w:p w14:paraId="5FAE0C2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10.1以联合体形式进行国企采购的，参加联合体的投标人应当向招标人提交联合协议，载明联合体各方承担的工作和义务。联合体各方应当共同与</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签订采购合同，就采购合同约定的事项对</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承担连带责任。</w:t>
      </w:r>
    </w:p>
    <w:p w14:paraId="14AA401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10.2联合体中有同类资质的投标人按照联合体分工承担相同工作的，应当按照资质等级较低的投标人确定资质等级。</w:t>
      </w:r>
    </w:p>
    <w:p w14:paraId="7E99B50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10.3联合体的各方应当共同推荐一名联合体投标授权代表方，由联合体各方提交一份授权书，证明其有资格代表联合体各方签署投标文件，该授权书作为投标文件的组成部分一并提交给</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w:t>
      </w:r>
    </w:p>
    <w:p w14:paraId="4963F5F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10.4以联合体形式参加国企采购活动的，联合体各方不得再单独参加或者与其他投标人另外组成联合体参加同一合同项下的国</w:t>
      </w:r>
      <w:r>
        <w:rPr>
          <w:rFonts w:hint="eastAsia" w:ascii="仿宋" w:hAnsi="仿宋" w:eastAsia="仿宋" w:cs="仿宋"/>
          <w:sz w:val="24"/>
          <w:szCs w:val="24"/>
          <w:highlight w:val="none"/>
          <w:lang w:eastAsia="zh-CN"/>
        </w:rPr>
        <w:t>企</w:t>
      </w:r>
      <w:r>
        <w:rPr>
          <w:rFonts w:hint="eastAsia" w:ascii="仿宋" w:hAnsi="仿宋" w:eastAsia="仿宋" w:cs="仿宋"/>
          <w:sz w:val="24"/>
          <w:szCs w:val="24"/>
          <w:highlight w:val="none"/>
        </w:rPr>
        <w:t>采购活动。</w:t>
      </w:r>
    </w:p>
    <w:p w14:paraId="2CC7B91B">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本项目是否接受联合体投标详见《投标须知前附表》。</w:t>
      </w:r>
    </w:p>
    <w:p w14:paraId="76446278">
      <w:pPr>
        <w:snapToGrid w:val="0"/>
        <w:spacing w:line="360" w:lineRule="auto"/>
        <w:ind w:firstLine="482" w:firstLineChars="200"/>
        <w:jc w:val="lef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11.关于分包</w:t>
      </w:r>
    </w:p>
    <w:p w14:paraId="53292CB0">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11.1投标人拟将成交项目的非主体、非关键性工作分包的，应当在投标文件中载明分包承担主体，分包承担主体应当具备相应资质条件且不得再次分包。</w:t>
      </w:r>
    </w:p>
    <w:p w14:paraId="0993E5CC">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11.2投标人应当就分包项目向</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负责，分包承担主体就分包项目承担责任。</w:t>
      </w:r>
    </w:p>
    <w:p w14:paraId="6CDC5078">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本项目是否接受分包投标详见《投标须知前附表》</w:t>
      </w:r>
    </w:p>
    <w:p w14:paraId="5F0C1094">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12.现场踏勘</w:t>
      </w:r>
    </w:p>
    <w:p w14:paraId="60371C2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12.1如有需要，</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机构或</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将组织投标人对项目现场及周围环境进行踏勘，以便投标人获取有关编制投标文件和签署合同所需的所有资料。踏勘现场所发生的费用由投标人自己承担，投标人应按招标</w:t>
      </w:r>
      <w:r>
        <w:rPr>
          <w:rFonts w:hint="eastAsia" w:ascii="仿宋" w:hAnsi="仿宋" w:eastAsia="仿宋" w:cs="仿宋"/>
          <w:sz w:val="24"/>
          <w:szCs w:val="24"/>
          <w:highlight w:val="none"/>
          <w:lang w:val="en-US" w:eastAsia="zh-CN"/>
        </w:rPr>
        <w:t>文件</w:t>
      </w:r>
      <w:r>
        <w:rPr>
          <w:rFonts w:hint="eastAsia" w:ascii="仿宋" w:hAnsi="仿宋" w:eastAsia="仿宋" w:cs="仿宋"/>
          <w:sz w:val="24"/>
          <w:szCs w:val="24"/>
          <w:highlight w:val="none"/>
        </w:rPr>
        <w:t>所约定的时间、地点踏勘现场。</w:t>
      </w:r>
    </w:p>
    <w:p w14:paraId="1629759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12.2投标人及其人员经过</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的允许，可以踏勘目的进入</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单位的项目现场。若本项目招标文件要求投标人于统一时间地点踏勘现场的，投标人应当按时前往。</w:t>
      </w:r>
    </w:p>
    <w:p w14:paraId="786E5E5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12.3除</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的原因外，投标人自行负责在踏勘现场中所发生的人员伤亡和财产损失。</w:t>
      </w:r>
    </w:p>
    <w:p w14:paraId="52BCA5A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12.4未参与现场踏勘不作为否定投标人资格的理由。</w:t>
      </w:r>
    </w:p>
    <w:p w14:paraId="6980327D">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本项目是否组织现场踏勘详见《投标须知前附表》</w:t>
      </w:r>
    </w:p>
    <w:p w14:paraId="4DB7FF32">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13.投标的有效期</w:t>
      </w:r>
    </w:p>
    <w:p w14:paraId="00CD1DA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13.1从开标之日起，投标有效期为90天。投标有效期短于90天的，其投标为无效投标。</w:t>
      </w:r>
    </w:p>
    <w:p w14:paraId="41B5100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13.2特殊情况下，在投标有效期满之前，</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机构可以要求投标人延长投标有效期，投标人可以书面形式拒绝或接受上述要求。同意延长投标有效期的投标人不得修改投标文件的实质性内容。</w:t>
      </w:r>
    </w:p>
    <w:p w14:paraId="26BA3E1A">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14.投标保证金</w:t>
      </w:r>
    </w:p>
    <w:p w14:paraId="0544EFC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14.1.本项目投标保证金要求：详见投标须知前附表。</w:t>
      </w:r>
    </w:p>
    <w:p w14:paraId="5031CF8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14.2.缴纳截止时间：投标文件递交截止时间</w:t>
      </w:r>
      <w:r>
        <w:rPr>
          <w:rFonts w:hint="eastAsia" w:ascii="仿宋" w:hAnsi="仿宋" w:eastAsia="仿宋" w:cs="仿宋"/>
          <w:sz w:val="24"/>
          <w:szCs w:val="24"/>
          <w:highlight w:val="none"/>
          <w:lang w:val="en-US" w:eastAsia="zh-CN"/>
        </w:rPr>
        <w:t>前</w:t>
      </w:r>
      <w:r>
        <w:rPr>
          <w:rFonts w:hint="eastAsia" w:ascii="仿宋" w:hAnsi="仿宋" w:eastAsia="仿宋" w:cs="仿宋"/>
          <w:sz w:val="24"/>
          <w:szCs w:val="24"/>
          <w:highlight w:val="none"/>
        </w:rPr>
        <w:t>。</w:t>
      </w:r>
    </w:p>
    <w:p w14:paraId="482B0E03">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14.3.投标保证金的交纳单位必须与投标人名称一致，投标保证金须从其基本账户转出，否则其投标无效；</w:t>
      </w:r>
    </w:p>
    <w:p w14:paraId="78962496">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14.4本项目的投标保证金必须通过国企阳光采购平台交纳，使用说明参见威海市公共资源交易网（http://ggzyjy.weihai.cn）的 “办事指南—国企采购专区”中《威海市国有企业阳光采购电子化服务平台线上投标保证金操作手册》。</w:t>
      </w:r>
    </w:p>
    <w:p w14:paraId="2E71F608">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14.5为确保投标工作有序进行，投标保证金应当在递交投标文件截止时间前（以到账时间为准）到达威海公共资源交易服务有限公司账户，以网银、电汇等方式一次性足额交纳保证金，不接受支付宝等第三方平台转账。禁止第三方代交。投标保证金交纳单位应与递交投标文件的投标人名称一致。</w:t>
      </w:r>
    </w:p>
    <w:p w14:paraId="420BB369">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14.6为确保投标人投标保证金及时足额到账，请尽量提前交纳保证金，由于银行系统原因，请至少在递交投标文件截止时间前12 小时将保证金汇出。如不按招标文件和系统使用指南操作，导致开标过程中国企阳光采购平台未出现投标人名称或者显示投标保证金未按时到账，视为其未按照招标文件的规定提交投标保证金，投标人对此应有明确的认识，自行承担后果。投标人可以使用国企阳光采购平台查询并及时更新交纳情况。</w:t>
      </w:r>
    </w:p>
    <w:p w14:paraId="345E0792">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14.7退还保证金：目前系统采用自动退还保证金操作，分为未中标人退还和中标人退还。代理公司向中标人发送中标通知书后，系统自动退还未中标人保证金；</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和中标人签署完合同后，系统自动退还中标人保证金。非由中标人原因未能签订合同的，应在</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作出处理结果之日起五个工作日内退还中标人的保证金。</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项目流标的，应在确定流标之日起五个工作日内退还所有投标人的保证金。</w:t>
      </w:r>
    </w:p>
    <w:p w14:paraId="15133817">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14.8有下列情况之一的，投标保证金</w:t>
      </w:r>
      <w:r>
        <w:rPr>
          <w:rFonts w:hint="eastAsia" w:ascii="仿宋" w:hAnsi="仿宋" w:eastAsia="仿宋" w:cs="仿宋"/>
          <w:b/>
          <w:bCs/>
          <w:sz w:val="24"/>
          <w:szCs w:val="24"/>
          <w:highlight w:val="none"/>
        </w:rPr>
        <w:t>不予返还</w:t>
      </w:r>
      <w:r>
        <w:rPr>
          <w:rFonts w:hint="eastAsia" w:ascii="仿宋" w:hAnsi="仿宋" w:eastAsia="仿宋" w:cs="仿宋"/>
          <w:sz w:val="24"/>
          <w:szCs w:val="24"/>
          <w:highlight w:val="none"/>
        </w:rPr>
        <w:t>。</w:t>
      </w:r>
    </w:p>
    <w:p w14:paraId="46CB2342">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(1)投标人提供不真实资格、资质证明文件的；</w:t>
      </w:r>
    </w:p>
    <w:p w14:paraId="439DFD67">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(2)在投标有效期内撤回</w:t>
      </w:r>
      <w:r>
        <w:rPr>
          <w:rFonts w:hint="eastAsia" w:ascii="仿宋" w:hAnsi="仿宋" w:eastAsia="仿宋" w:cs="仿宋"/>
          <w:sz w:val="24"/>
          <w:szCs w:val="24"/>
          <w:highlight w:val="none"/>
          <w:lang w:eastAsia="zh-CN"/>
        </w:rPr>
        <w:t>投标</w:t>
      </w:r>
      <w:r>
        <w:rPr>
          <w:rFonts w:hint="eastAsia" w:ascii="仿宋" w:hAnsi="仿宋" w:eastAsia="仿宋" w:cs="仿宋"/>
          <w:sz w:val="24"/>
          <w:szCs w:val="24"/>
          <w:highlight w:val="none"/>
        </w:rPr>
        <w:t>的；</w:t>
      </w:r>
    </w:p>
    <w:p w14:paraId="631F6DC1">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(3)除因不可抗力或招标文件认可的情形以外，中标人不与</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签订合同的；</w:t>
      </w:r>
    </w:p>
    <w:p w14:paraId="0D8D98B2">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(4)投标人与</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、其他投标人或者</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机构恶意串通的；</w:t>
      </w:r>
    </w:p>
    <w:p w14:paraId="666A37F6">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(5)评</w:t>
      </w:r>
      <w:r>
        <w:rPr>
          <w:rFonts w:hint="eastAsia" w:ascii="仿宋" w:hAnsi="仿宋" w:eastAsia="仿宋" w:cs="仿宋"/>
          <w:sz w:val="24"/>
          <w:szCs w:val="24"/>
          <w:highlight w:val="none"/>
          <w:lang w:val="en-US" w:eastAsia="zh-CN"/>
        </w:rPr>
        <w:t>标</w:t>
      </w:r>
      <w:r>
        <w:rPr>
          <w:rFonts w:hint="eastAsia" w:ascii="仿宋" w:hAnsi="仿宋" w:eastAsia="仿宋" w:cs="仿宋"/>
          <w:sz w:val="24"/>
          <w:szCs w:val="24"/>
          <w:highlight w:val="none"/>
        </w:rPr>
        <w:t>委员会认定的其他事项。</w:t>
      </w:r>
    </w:p>
    <w:p w14:paraId="48B8F961">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对以提供虚假材料或恶意串通或采取不正当竞争手段谋取中标的投标人，一经发现将依法取消其投标人资格，投标保证金不予返还，列入平台黑名单。</w:t>
      </w:r>
    </w:p>
    <w:p w14:paraId="1D92ADB6">
      <w:pPr>
        <w:snapToGrid w:val="0"/>
        <w:spacing w:line="360" w:lineRule="auto"/>
        <w:ind w:firstLine="482" w:firstLineChars="200"/>
        <w:jc w:val="lef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本项目投标保证金收取情况见《投标须知前附表》。</w:t>
      </w:r>
    </w:p>
    <w:p w14:paraId="7802457B">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15.履约保证金的交纳与返还</w:t>
      </w:r>
    </w:p>
    <w:p w14:paraId="20752780">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本项目无须交纳履约保证金。</w:t>
      </w:r>
    </w:p>
    <w:p w14:paraId="652C4EBB">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16.投标文件的数量和签署</w:t>
      </w:r>
    </w:p>
    <w:p w14:paraId="2475908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16.1投标文件（pdf格式）（第一册）1份</w:t>
      </w:r>
    </w:p>
    <w:p w14:paraId="598CC15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16.1.1投标人应使用带电子签章功能的CA锁对投标文件须盖章或签名的部位加盖电子印章（单位电子公章、法定代表人电子人名章），否则为无效投标，电子印章与实物印章具有同等法律效力。</w:t>
      </w:r>
    </w:p>
    <w:p w14:paraId="64A642D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16.1.2投标人应首先编制word格式投标文件，最后通过</w:t>
      </w:r>
      <w:r>
        <w:rPr>
          <w:rFonts w:hint="eastAsia" w:ascii="仿宋" w:hAnsi="仿宋" w:eastAsia="仿宋" w:cs="仿宋"/>
          <w:b/>
          <w:bCs/>
          <w:sz w:val="24"/>
          <w:szCs w:val="24"/>
          <w:highlight w:val="none"/>
        </w:rPr>
        <w:t>威海市国企采购电子交易系统</w:t>
      </w:r>
      <w:r>
        <w:rPr>
          <w:rFonts w:hint="eastAsia" w:ascii="仿宋" w:hAnsi="仿宋" w:eastAsia="仿宋" w:cs="仿宋"/>
          <w:sz w:val="24"/>
          <w:szCs w:val="24"/>
          <w:highlight w:val="none"/>
        </w:rPr>
        <w:t>的文件签章菜单的标书签章功能转换为pdf格式（或者其他pdf转换工具），之后通过签章功能在pdf文件上逐页加盖电子印章并保存到本地计算机，加盖了电子印章的pdf文件即为最终的投标文件，否则为无效投标。</w:t>
      </w:r>
    </w:p>
    <w:p w14:paraId="02056BA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16.1.3文件中要求法定代表人签字或签章的须加盖法定代表人电子人名章。</w:t>
      </w:r>
    </w:p>
    <w:p w14:paraId="34A159C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16.1.4须被授权人签字的，被授权人又无电子章，在word编制时可将被授权人手写签字扫描后的图片粘贴到投标文件中对应位置，并加盖单位电子公章。</w:t>
      </w:r>
    </w:p>
    <w:p w14:paraId="126F11F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16.1.5可使用系统的批量盖章功能快速签章。但须逐页浏览检查并注意印章重叠及完整性。</w:t>
      </w:r>
    </w:p>
    <w:p w14:paraId="74E5335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16.1.6采用扫描粘贴投标人公章或扫描法定代表人人名章而不加盖单位电子公章的为</w:t>
      </w:r>
      <w:r>
        <w:rPr>
          <w:rFonts w:hint="eastAsia" w:ascii="仿宋" w:hAnsi="仿宋" w:eastAsia="仿宋" w:cs="仿宋"/>
          <w:b/>
          <w:bCs/>
          <w:sz w:val="24"/>
          <w:szCs w:val="24"/>
          <w:highlight w:val="none"/>
        </w:rPr>
        <w:t>无效投标</w:t>
      </w:r>
      <w:r>
        <w:rPr>
          <w:rFonts w:hint="eastAsia" w:ascii="仿宋" w:hAnsi="仿宋" w:eastAsia="仿宋" w:cs="仿宋"/>
          <w:sz w:val="24"/>
          <w:szCs w:val="24"/>
          <w:highlight w:val="none"/>
        </w:rPr>
        <w:t>。</w:t>
      </w:r>
    </w:p>
    <w:p w14:paraId="506F03F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16.2数据文件（PDF格式）（第二册）1份</w:t>
      </w:r>
    </w:p>
    <w:p w14:paraId="531AE1E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16.2.1投标人将填写完毕的数据文件（EXCEL格式），填写完成后在国企阳光采购平台中上传该数据文件（EXCEL格式），系统将自行转换为PDF格式，再加盖投标人电子印章，加盖了电子印章的pdf文件即为最终的数据文件。</w:t>
      </w:r>
    </w:p>
    <w:p w14:paraId="1337FB2F">
      <w:pPr>
        <w:snapToGrid w:val="0"/>
        <w:spacing w:line="360" w:lineRule="auto"/>
        <w:ind w:firstLine="480" w:firstLineChars="200"/>
        <w:jc w:val="both"/>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16.2.2文件中要求法定代表人签字或签章的须加盖法定代表人电子人名章</w:t>
      </w:r>
      <w:r>
        <w:rPr>
          <w:rFonts w:hint="eastAsia" w:ascii="仿宋" w:hAnsi="仿宋" w:eastAsia="仿宋" w:cs="仿宋"/>
          <w:sz w:val="24"/>
          <w:szCs w:val="24"/>
          <w:highlight w:val="none"/>
          <w:lang w:eastAsia="zh-CN"/>
        </w:rPr>
        <w:t>。</w:t>
      </w:r>
    </w:p>
    <w:p w14:paraId="3F5C714B">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16.2.3采用扫描粘贴投标人公章或法定代表人人名章的为</w:t>
      </w:r>
      <w:r>
        <w:rPr>
          <w:rFonts w:hint="eastAsia" w:ascii="仿宋" w:hAnsi="仿宋" w:eastAsia="仿宋" w:cs="仿宋"/>
          <w:b/>
          <w:bCs/>
          <w:sz w:val="24"/>
          <w:szCs w:val="24"/>
          <w:highlight w:val="none"/>
        </w:rPr>
        <w:t>无效投标</w:t>
      </w:r>
      <w:r>
        <w:rPr>
          <w:rFonts w:hint="eastAsia" w:ascii="仿宋" w:hAnsi="仿宋" w:eastAsia="仿宋" w:cs="仿宋"/>
          <w:sz w:val="24"/>
          <w:szCs w:val="24"/>
          <w:highlight w:val="none"/>
        </w:rPr>
        <w:t>。</w:t>
      </w:r>
    </w:p>
    <w:p w14:paraId="2B8B3310">
      <w:pPr>
        <w:snapToGrid w:val="0"/>
        <w:spacing w:line="360" w:lineRule="auto"/>
        <w:ind w:firstLine="480" w:firstLineChars="200"/>
        <w:jc w:val="left"/>
        <w:rPr>
          <w:highlight w:val="none"/>
        </w:rPr>
      </w:pPr>
      <w:r>
        <w:rPr>
          <w:rFonts w:hint="eastAsia" w:ascii="仿宋" w:hAnsi="仿宋" w:eastAsia="仿宋" w:cs="仿宋"/>
          <w:sz w:val="24"/>
          <w:szCs w:val="24"/>
          <w:highlight w:val="none"/>
        </w:rPr>
        <w:t>16.3投标文件里单位盖章均指盖单位公章。</w:t>
      </w:r>
    </w:p>
    <w:p w14:paraId="0921100F">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四、投标文件的递交</w:t>
      </w:r>
    </w:p>
    <w:p w14:paraId="7AEFD276">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17.投标文件的密封和标记</w:t>
      </w:r>
    </w:p>
    <w:p w14:paraId="7E14FC6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17.1电子投标文件的密封和标记</w:t>
      </w:r>
    </w:p>
    <w:p w14:paraId="1423C92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17.1.1加盖了电子印章的电子投标文件（PDF格式）和数据文件（PDF格式）须在威海市国企采购电子交易系统的“我的投标”界面进行提交，提交前系统会自动在本地进行加密和数字签名，加密和电子签章后的文件除了会上传到系统中之外还会同步保存到本地计算机。</w:t>
      </w:r>
    </w:p>
    <w:p w14:paraId="5354787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17.2资质证明文件原件的密封和标记</w:t>
      </w:r>
    </w:p>
    <w:p w14:paraId="4D8FD328">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17.2.1不需要提供原件。</w:t>
      </w:r>
    </w:p>
    <w:p w14:paraId="6195A92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17.3文件递交</w:t>
      </w:r>
    </w:p>
    <w:p w14:paraId="74BBED04">
      <w:pPr>
        <w:snapToGrid w:val="0"/>
        <w:spacing w:line="360" w:lineRule="auto"/>
        <w:ind w:firstLine="480" w:firstLineChars="200"/>
        <w:jc w:val="left"/>
        <w:rPr>
          <w:rFonts w:ascii="仿宋" w:hAnsi="仿宋" w:eastAsia="仿宋" w:cs="仿宋"/>
          <w:b/>
          <w:bCs/>
          <w:sz w:val="24"/>
          <w:szCs w:val="24"/>
          <w:highlight w:val="none"/>
        </w:rPr>
      </w:pPr>
      <w:r>
        <w:rPr>
          <w:rFonts w:hint="eastAsia" w:ascii="仿宋" w:hAnsi="仿宋" w:eastAsia="仿宋" w:cs="仿宋"/>
          <w:sz w:val="24"/>
          <w:szCs w:val="24"/>
          <w:highlight w:val="none"/>
        </w:rPr>
        <w:t>17.3.1投标人应在投标须知前附表规定的时间前在国企阳光采购平台上递交电子投标文件和数据文件。投标人应充分评估集中投标带来的网络影响，尽量避开投标高峰时间，错峰进行电子投标，系统以收到投标人发出的递交指令的时间作为其投标时间，如该时间超过投标截止时间，</w:t>
      </w:r>
      <w:r>
        <w:rPr>
          <w:rFonts w:hint="eastAsia" w:ascii="仿宋" w:hAnsi="仿宋" w:eastAsia="仿宋" w:cs="仿宋"/>
          <w:b/>
          <w:bCs/>
          <w:sz w:val="24"/>
          <w:szCs w:val="24"/>
          <w:highlight w:val="none"/>
        </w:rPr>
        <w:t>其投标将会被判定为无效。</w:t>
      </w:r>
    </w:p>
    <w:p w14:paraId="4D142F68">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17.3.2投标人须牢记投标加密密码，该密码将用于开标时解密其电子投标文件，如忘记密码或输入错误密码超过5次，其递交的电子投标文件将无法解密，导致无法提取数据和供他人阅读文件，致使其投标失败。</w:t>
      </w:r>
    </w:p>
    <w:p w14:paraId="7BA0A5E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17.3.3除投标须知前附表另有规定外，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机构拒绝接收纸质投标文件。</w:t>
      </w:r>
    </w:p>
    <w:p w14:paraId="75D4DF53">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17.3.4投标人应将网上递交的已盖章未加密的数据文件和投标文件谨慎保存备份，以便启动应急开标程序时备案使用。</w:t>
      </w:r>
    </w:p>
    <w:p w14:paraId="1DFD6AA0">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18.投标截止期</w:t>
      </w:r>
    </w:p>
    <w:p w14:paraId="406DF163">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本次招标的投标截止期见《投标须知前附表》。</w:t>
      </w:r>
    </w:p>
    <w:p w14:paraId="19F28D2C">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19.迟交的投标文件</w:t>
      </w:r>
    </w:p>
    <w:p w14:paraId="1C6FBE0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国企阳光采购平台无法接收投标截止期后递交的电子投标文件。</w:t>
      </w:r>
    </w:p>
    <w:p w14:paraId="0BBDD77F">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20.现场演示/样品递交</w:t>
      </w:r>
    </w:p>
    <w:p w14:paraId="17F5DAF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20.1</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可以要求投标人对其提供的信息化、自动化等相关类别服务进行演示。投标人可以到现场演示，也可以使用系统“网上评标”中的“谈判”功能与评标专家进行远程演示。</w:t>
      </w:r>
    </w:p>
    <w:p w14:paraId="16B49CA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20.2若项目涉及货物时，</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可以要求投标人提供样品，样品作为投标文件的一部分。未中标投标人提供的样品将于评审结束后退还。中标人的样品由</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保留，作为验收的依据。</w:t>
      </w:r>
    </w:p>
    <w:p w14:paraId="4A8C882F">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是否要求投标人提供演示/提交样品，详见招标文件《投标须知前附表》的有关规定。</w:t>
      </w:r>
    </w:p>
    <w:p w14:paraId="437ABB0C">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21.投标文件的修改和撤回</w:t>
      </w:r>
    </w:p>
    <w:p w14:paraId="36B187D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21.1投标人必须在规定的投标截止期之前将修改的投标文件和数据文件上传到国企阳光采购平台,在投标截止期之后，投标人不得对其投标文件做任何修改。</w:t>
      </w:r>
    </w:p>
    <w:p w14:paraId="51CEA06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21.2投标人在递交投标文件后，可以在投标截止期之前撤回其投标。</w:t>
      </w:r>
    </w:p>
    <w:p w14:paraId="261983F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21.3开标后不允许对投标文件做实质性修改和补充，不得撤回投标文件。</w:t>
      </w:r>
    </w:p>
    <w:p w14:paraId="4DD9682E">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五、开标与评审</w:t>
      </w:r>
    </w:p>
    <w:p w14:paraId="77117208">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22.开标</w:t>
      </w:r>
    </w:p>
    <w:p w14:paraId="3720022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22.1投标截止时间结束后，投标人不足3家的不得开标。</w:t>
      </w:r>
    </w:p>
    <w:p w14:paraId="7565457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22.2</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机构在招标公告规定的时间和地点组织开标。到现场开标的投标人须携带CA锁和笔记本电脑，以便进行开标操作。不到现场开标的投标人需提前准备已配置好环境的电脑，在规定的时间进行远程开标的各项操作。</w:t>
      </w:r>
    </w:p>
    <w:p w14:paraId="07C8EDC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22.3现场开标和远程开标的投标人代表应在签到表格相应位置上加盖CA锁中的法定代表人（单位负责人）电子人名章以证明其出席，在开标时间前未完成签到的将会被视作认同开标结果。</w:t>
      </w:r>
    </w:p>
    <w:p w14:paraId="4885978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22.4投标须知前附表规定了文件解密时间，投标人输入密码错误（5次输入机会）、未能按时完成解密、其《数据文件》填写、盖章不规范等导致系统无法解析的，将会被视为无效投标。</w:t>
      </w:r>
    </w:p>
    <w:p w14:paraId="6137952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22.5开标过程应当由</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机构负责记录，最终形成开标一览表并由各投标人代表签字或盖章确认。</w:t>
      </w:r>
    </w:p>
    <w:p w14:paraId="68201E3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22.6投标人代表对开标过程和开标记录有疑义，以及认为</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机构相关工作人员有需要回避的情形的，应当场提出询问或者回避申请。</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机构对投标人代表提出的询问或者回避申请应当及时处理。</w:t>
      </w:r>
    </w:p>
    <w:p w14:paraId="02A5B55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22.7录音、录像：威海市公共资源交易中心负责从递交投标文件开始到确定中标结果全过程的录音、录像工作，确保声音清楚、图像清晰、内容无遗漏。</w:t>
      </w:r>
    </w:p>
    <w:p w14:paraId="2278D66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22.8评审过程中，如遇特殊情况，服从威海市公共资源交易中心场地调配，并遵守相关规章制度。</w:t>
      </w:r>
    </w:p>
    <w:p w14:paraId="46F2792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22.9对投标文件报价出现前后不一致的，按以下规定修正：</w:t>
      </w:r>
    </w:p>
    <w:p w14:paraId="4446ACE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（1）“投标（报价）一览表”的报价与“报价明细表”的总报价不一致的，以“投标（报价）一览表”的报价为准；</w:t>
      </w:r>
    </w:p>
    <w:p w14:paraId="24DAB89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（2）大写金额和小写金额不一致的，以大写金额为准；</w:t>
      </w:r>
    </w:p>
    <w:p w14:paraId="44BDDD3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（3）单价金额小数点或者百分比有明显错位的，以投标（报价）一览表的总价为准，并修改单价。</w:t>
      </w:r>
    </w:p>
    <w:p w14:paraId="203855E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（4）总价金额与按单价汇总金额不一致的，以单价金额计算结果为准。</w:t>
      </w:r>
    </w:p>
    <w:p w14:paraId="0C22072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（5）同时出现两种以上不一致的，按照前款规定的顺序修正。修正后的报价经投标人确认后产生约束力，投标人不确认的，其投标无效。</w:t>
      </w:r>
    </w:p>
    <w:p w14:paraId="2D71C01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22.10开标程序</w:t>
      </w:r>
    </w:p>
    <w:p w14:paraId="3ECEE58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22.10.1签到：在投标须知前附表规定的时间完成签到。</w:t>
      </w:r>
    </w:p>
    <w:p w14:paraId="74F29F9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22.10.2开标：工作人员在投标须知前附表规定的开标时间启动开标。</w:t>
      </w:r>
    </w:p>
    <w:p w14:paraId="1917C81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22.10.3解密：开标后工作人员启动开始解密指令，投标人开始输入解密密码，解密时间到后工作人员启动停止解密指令。</w:t>
      </w:r>
    </w:p>
    <w:p w14:paraId="713380A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22.10.4唱标：停止解密后现场工作人员将根据电子交易系统自动提取各投标人数据文件中的相关数据进行公开唱标，唱标结束系统将自动生成开标一览表。投标人应及时关注开标过程，查看开标结果并在开标一览表上进行电子签署。若投标人不进行相关签署，将被视为其对开标一览表中所载内容无疑议。</w:t>
      </w:r>
    </w:p>
    <w:p w14:paraId="7078619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22.10.5投标人可使用电子交易系统“网上开标”中的“看直播”功能参与开标程序。</w:t>
      </w:r>
    </w:p>
    <w:p w14:paraId="0284CB4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22.11应急开标程序</w:t>
      </w:r>
    </w:p>
    <w:p w14:paraId="052CDB9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电子开标过程中如出现下列情况，导致系统无法正常运行，或者无法保证开标过程的公平、公正和信息安全时，经与</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沟通后可启动应急开标程序。</w:t>
      </w:r>
    </w:p>
    <w:p w14:paraId="0E58302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（1）系统服务器发生故障，无法访问或无法使用系统；</w:t>
      </w:r>
    </w:p>
    <w:p w14:paraId="1AB2B74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（2）系统的软件或数据库出现错误，不能进行正常操作；</w:t>
      </w:r>
    </w:p>
    <w:p w14:paraId="2D3452E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（3）系统发现有安全漏洞，有潜在的泄密危险；</w:t>
      </w:r>
    </w:p>
    <w:p w14:paraId="141059B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（4）病毒发作或受到外来病毒的攻击；</w:t>
      </w:r>
    </w:p>
    <w:p w14:paraId="70B975B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（5）其他无法保证开标过程公平、公正和信息安全的情形。</w:t>
      </w:r>
    </w:p>
    <w:p w14:paraId="2472F7A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应急开标程序包括：</w:t>
      </w:r>
    </w:p>
    <w:p w14:paraId="5331D49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（1）对未在系统中开标的可暂停开标；</w:t>
      </w:r>
    </w:p>
    <w:p w14:paraId="33BA06A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（2）对已在系统中开标的应停止，等待系统恢复正常后再组织进行开标。</w:t>
      </w:r>
    </w:p>
    <w:p w14:paraId="0344BB0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对解密环节出错（因系统故障原因导致）的投标人，通过系统的备案功能进行文件上传备案，对备案文件与网上递交的文件不一致（系统通过数字签名进行验证）或备案文件未按照本文件的要求进行编制、签署导致系统无法备案的投标人作无效投标处理。</w:t>
      </w:r>
    </w:p>
    <w:p w14:paraId="5E82099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（4）备案功能故障且系统长时间无法恢复正常的，在</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代理机构的监督下可针对所有在平台中已投标的投标人，启用其电子邮件递交的投标文件进行开标，同时开标由线上转为线下，开标、评标均以电子邮件递交的投标文件为准，投标人必须在获取招标文件时留有本单位详细的邮箱和电话，否则由此产生的不利后果由投标人自己承担。对未按规定递交或递交的文件未按要求进行编制、签署的投标人作无效投标处理。</w:t>
      </w:r>
    </w:p>
    <w:p w14:paraId="157E5B5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22.12应急开标电子邮件递交规定</w:t>
      </w:r>
    </w:p>
    <w:p w14:paraId="23AFEF49">
      <w:pPr>
        <w:snapToGrid w:val="0"/>
        <w:spacing w:line="360" w:lineRule="auto"/>
        <w:ind w:firstLine="480" w:firstLineChars="200"/>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接收电子邮箱：</w:t>
      </w:r>
      <w:r>
        <w:rPr>
          <w:rFonts w:hint="eastAsia" w:ascii="仿宋" w:hAnsi="仿宋" w:eastAsia="仿宋" w:cs="仿宋"/>
          <w:sz w:val="24"/>
          <w:szCs w:val="24"/>
          <w:highlight w:val="none"/>
          <w:lang w:eastAsia="zh-CN"/>
        </w:rPr>
        <w:t>sdfullzb@163.com</w:t>
      </w:r>
    </w:p>
    <w:p w14:paraId="7B95515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递交时间：以电子邮件或电话通知的时间为准；</w:t>
      </w:r>
    </w:p>
    <w:p w14:paraId="27908B7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邮件数量：一封；</w:t>
      </w:r>
    </w:p>
    <w:p w14:paraId="06FD2FC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邮件主题：项目编号、投标人名称；</w:t>
      </w:r>
    </w:p>
    <w:p w14:paraId="0E6525A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邮件内容：附件含项目所有的已投包段，每个包段含已盖章且未加密的数据文件、投标文件各一份。数据文件、投标文件与网上最终递交的必须为同一文件（可将所投包段的所有文件打包压缩），如果不一致，系统后台会判定为无效投标文件，导致投标无效。</w:t>
      </w:r>
    </w:p>
    <w:p w14:paraId="7CFB549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22.13启动电子邮件开标流程</w:t>
      </w:r>
    </w:p>
    <w:p w14:paraId="7417DD6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工作人员电话通知所有投标人启动应急开标程序；</w:t>
      </w:r>
    </w:p>
    <w:p w14:paraId="0238EE1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投标人收到通知后在规定时间内通过电子邮件递交投标文件（在非应急开标期间</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机构不接受、不处理任何通过电子邮件提交的投标文件）；</w:t>
      </w:r>
    </w:p>
    <w:p w14:paraId="2F5BF44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递交截止时间到，工作人员开始下载投标文件，将投标报价形成开标报告并邮件回复各投标人；</w:t>
      </w:r>
    </w:p>
    <w:p w14:paraId="305999D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投标人确认报价并邮件回复，不及时回复的视为对开标报告的内容无异议。</w:t>
      </w:r>
    </w:p>
    <w:p w14:paraId="350DB85F">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23.评标委员会的组成和评标方法</w:t>
      </w:r>
    </w:p>
    <w:p w14:paraId="1501631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23.1</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负责组织评标工作，具体评审事务由依法组建的评标委员会负责，评标委员会成员由招标人代表和评审专家5人以上的单数组成或全部由专家5人以上的单数组成。情况特殊的，通过随机方式难以确定合适的评审专家的项目，经主管部门同意，</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可以自行选定评审专家。</w:t>
      </w:r>
    </w:p>
    <w:p w14:paraId="4380610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23.2</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员及相关人员与投标人有利害关系的应当回避。曾参与项目征询意见或论证的专家，不得再作为评审专家参加评审。</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不得以专家身份参与本项目的评审。</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和</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机构工作人员离职或退休不满三年的，不能作为专家参加评审工作。</w:t>
      </w:r>
    </w:p>
    <w:p w14:paraId="578C9CB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23.3评标委员会成员职责：</w:t>
      </w:r>
    </w:p>
    <w:p w14:paraId="058C8A5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（1）评标前，评标委员会成员应当主动确认与投标人及其制造商是否有利害关系。如有利害关系应当主动回避，如无利害关系，应当在含有相关内容的《无利害关系声明》上签字；</w:t>
      </w:r>
    </w:p>
    <w:p w14:paraId="2C02705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（2）按照招标文件中确定的评标办法，对投标文件的内容进行评审，并对评审结果承担责任；</w:t>
      </w:r>
    </w:p>
    <w:p w14:paraId="74A3D10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（3）对评标过程和结果，以及投标人的商业秘密进行保密；</w:t>
      </w:r>
    </w:p>
    <w:p w14:paraId="1CBB069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（4）在评标委员会集体起草的评标报告上签字；</w:t>
      </w:r>
    </w:p>
    <w:p w14:paraId="5076E8D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（5）配合</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机构答复投标人质疑；</w:t>
      </w:r>
    </w:p>
    <w:p w14:paraId="436AE58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（6）配合主管部门处理投标人投诉；</w:t>
      </w:r>
    </w:p>
    <w:p w14:paraId="4B5A943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（7）向</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反映评审工作中的问题，提出意见和建议。</w:t>
      </w:r>
    </w:p>
    <w:p w14:paraId="7544B7C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23.4评标委员会集体职责：</w:t>
      </w:r>
    </w:p>
    <w:p w14:paraId="2CB83BD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按照各成员评审意见推荐中标候选人，起草评标报告。对评标结论持有异议的评标委员会成员可以书面方式阐述其不同意见和理由。评标委员会成员拒绝在评标报告上签字且不陈述其不同意见和理由的，视为同意评标结论。评标委员会应当对此做出书面说明并记录在案；</w:t>
      </w:r>
    </w:p>
    <w:p w14:paraId="175EF3B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（2）配合</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和</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机构答复投标人的质疑；</w:t>
      </w:r>
    </w:p>
    <w:p w14:paraId="2966EC6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（3）配合主管部门做好投诉处理工作；</w:t>
      </w:r>
    </w:p>
    <w:p w14:paraId="4F56DDF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（4）必要时，向投标人解释评审结果；</w:t>
      </w:r>
    </w:p>
    <w:p w14:paraId="4FDE682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（5）向主管部门或者有关部门报告非法干预评审工作的行为。</w:t>
      </w:r>
    </w:p>
    <w:p w14:paraId="41C80F3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23.5</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机构或</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的职责：</w:t>
      </w:r>
    </w:p>
    <w:p w14:paraId="04BFF80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（1）核对评标委员会专家身份和</w:t>
      </w:r>
      <w:r>
        <w:rPr>
          <w:rFonts w:hint="eastAsia" w:ascii="仿宋" w:hAnsi="仿宋" w:eastAsia="仿宋" w:cs="仿宋"/>
          <w:sz w:val="24"/>
          <w:szCs w:val="24"/>
          <w:highlight w:val="none"/>
          <w:lang w:eastAsia="zh-CN"/>
        </w:rPr>
        <w:t>招标人代表授权书（</w:t>
      </w:r>
      <w:r>
        <w:rPr>
          <w:rFonts w:hint="eastAsia" w:ascii="仿宋" w:hAnsi="仿宋" w:eastAsia="仿宋" w:cs="仿宋"/>
          <w:sz w:val="24"/>
          <w:szCs w:val="24"/>
          <w:highlight w:val="none"/>
          <w:lang w:val="en-US" w:eastAsia="zh-CN"/>
        </w:rPr>
        <w:t>如有</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，对评标委员会专家在</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活动中的职责履行情况予以记录，并及时将有关违法违规行为向主管部门报告；</w:t>
      </w:r>
    </w:p>
    <w:p w14:paraId="4A3C94B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（2）宣布评审纪律；</w:t>
      </w:r>
    </w:p>
    <w:p w14:paraId="2518A3C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（3）公布投标人名单，告知评标委员会专家应当回避的情形；</w:t>
      </w:r>
    </w:p>
    <w:p w14:paraId="7B6095C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（4）组织评标委员会推选评标组长，</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代表</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如有</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不得担任组长；</w:t>
      </w:r>
    </w:p>
    <w:p w14:paraId="0E21C6F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（5）在评审期间采取必要的通讯管理措施，保证评审活动不受外界干扰；</w:t>
      </w:r>
    </w:p>
    <w:p w14:paraId="2CADDD3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（6）根据评标委员会的要求介绍阳光国企采购相关政策法规、招标文件；</w:t>
      </w:r>
    </w:p>
    <w:p w14:paraId="305A445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（7）维护评审秩序，监督评标委员会依照招标文件规定的评标程序、方法和标准进行独立评审，及时制止和纠正</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代表、评标专家的倾向性言论或者违法违规行为；</w:t>
      </w:r>
    </w:p>
    <w:p w14:paraId="098AEA0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8）核对评标结果，存在分值汇总计算错误的、分项评分超出评分标准范围的、评标委员会成员对客观评审因素评分不一致的，经评标委员会认定评分畸高畸低的情形，要求评标委员会复核或者书面说明理由，评标委员会拒绝的，应予记录并向主管部门报告。</w:t>
      </w:r>
    </w:p>
    <w:p w14:paraId="7F99AB0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9）评审工作完成后，按照规定向评标专家支付劳务报酬和异地评审差旅费，不得向评标专家以外的其他人员支付评审劳务报酬；专家劳务报酬标准参照山东省财政厅《关于印发&lt;山东省政府采购评审劳务报酬标准&gt;的通知》（鲁财采〔2017〕28号）规定执行。</w:t>
      </w:r>
    </w:p>
    <w:p w14:paraId="1653747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（10）处理与评标有关的其他事项。</w:t>
      </w:r>
    </w:p>
    <w:p w14:paraId="2031753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可以在评标前说明项目背景和</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需求，说明内容不得含有歧视性、倾向性意见，不得超出招标文件所述范围。</w:t>
      </w:r>
    </w:p>
    <w:p w14:paraId="62CA457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23.6评标委员会采用集中办公、封闭方式进行评审。评标前，</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机构工作人员向评标委员会成员宣布评标纪律和工作规则。评标委员会成员签署《无利害关系声明表》，并遵照执行。</w:t>
      </w:r>
    </w:p>
    <w:p w14:paraId="5E89BA4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23.7评标委员会成员对与自己有利害关系的评标项目应当主动提出回避。</w:t>
      </w:r>
    </w:p>
    <w:p w14:paraId="4C4962B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23.8评标委员会将按照招标文件确定的评标原则和方法进行评标。</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评委对投标人进行资格性审查，评标委员会对投标文件的评审内容分为资格性审查、符合性审查、商务评议、技术评议和价格评议。</w:t>
      </w:r>
    </w:p>
    <w:p w14:paraId="7EB1A67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23.9评标委员会独立履行下列职责：</w:t>
      </w:r>
    </w:p>
    <w:p w14:paraId="75B8A5A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（1）审查、评价投标文件是否符合招标文件的商务、技术等实质性要求；</w:t>
      </w:r>
    </w:p>
    <w:p w14:paraId="4E96A72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（2）要求投标人对投标文件有关事项作出澄清或者说明；</w:t>
      </w:r>
    </w:p>
    <w:p w14:paraId="72067F2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（3）对投标文件进行比较和评价；</w:t>
      </w:r>
    </w:p>
    <w:p w14:paraId="12B4A1E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（4）确定中标候选人名单，以及根据</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委托直接确定中标人；</w:t>
      </w:r>
    </w:p>
    <w:p w14:paraId="1C729A0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（5）向</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机构或者有关部门报告评标中发现的违法行为。</w:t>
      </w:r>
    </w:p>
    <w:p w14:paraId="16D9043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23.10 评标中因评标委员会成员缺席、回避或者健康等特殊原因导致评标委员会组成不符合本办法规定的，</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应当依法补足后继续评标。被更换的评标委员会成员所作出的评标意见无效。</w:t>
      </w:r>
    </w:p>
    <w:p w14:paraId="7EC9997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无法及时补足评标委员会成员的，</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机构应当停止评标活动，封存所有投标文件和开标、评标资料，依法重新组建评标委员会进行评标。原评标委员会作出的评标意见无效。</w:t>
      </w:r>
    </w:p>
    <w:p w14:paraId="21E2576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机构应当将变更、重新组建评标委员会的情况予以记录，并随招标文件一并存档。</w:t>
      </w:r>
    </w:p>
    <w:p w14:paraId="014586E0">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24.投标文件的初审</w:t>
      </w:r>
    </w:p>
    <w:p w14:paraId="2E1F691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24.1资格性审查。在</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项目开标结束后,评标委员会对投标人的资格进行审查。合格投标人不足3家的，不得评标。在资格性检查时,如有下列情况之一的，经评标委员会认定，视为非实质性响应，为无效投标：</w:t>
      </w:r>
    </w:p>
    <w:p w14:paraId="4592566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（1）与</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存在利害关系且可能影响</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活动的公正性；</w:t>
      </w:r>
    </w:p>
    <w:p w14:paraId="256A839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（2）与本</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项目的其他投标人为同一个单位负责人；</w:t>
      </w:r>
    </w:p>
    <w:p w14:paraId="6E84C71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（3）与本</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项目的其他投标人存在控股、管理关系；</w:t>
      </w:r>
    </w:p>
    <w:p w14:paraId="7430721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（4）为本</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项目提供过设计、编制技术规范和其他文件的咨询服务；</w:t>
      </w:r>
    </w:p>
    <w:p w14:paraId="4CE304F4">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（5）为本项目的相关监理人，或者与本项目的相关监理人存在隶属关系或者其他利害关系；</w:t>
      </w:r>
    </w:p>
    <w:p w14:paraId="3B053AF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（6）为本</w:t>
      </w:r>
      <w:bookmarkStart w:id="12" w:name="OLE_LINK4"/>
      <w:r>
        <w:rPr>
          <w:rFonts w:hint="eastAsia" w:ascii="仿宋" w:hAnsi="仿宋" w:eastAsia="仿宋" w:cs="仿宋"/>
          <w:sz w:val="24"/>
          <w:szCs w:val="24"/>
          <w:highlight w:val="none"/>
          <w:lang w:val="en-US" w:eastAsia="zh-CN"/>
        </w:rPr>
        <w:t>招标</w:t>
      </w:r>
      <w:bookmarkEnd w:id="12"/>
      <w:r>
        <w:rPr>
          <w:rFonts w:hint="eastAsia" w:ascii="仿宋" w:hAnsi="仿宋" w:eastAsia="仿宋" w:cs="仿宋"/>
          <w:sz w:val="24"/>
          <w:szCs w:val="24"/>
          <w:highlight w:val="none"/>
        </w:rPr>
        <w:t>项目的代建人；</w:t>
      </w:r>
    </w:p>
    <w:p w14:paraId="4A3A81A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（7）为本</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项目的</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w:t>
      </w:r>
    </w:p>
    <w:p w14:paraId="7948162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（8）与本</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项目的监理人或代建人或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机构同为一个法定代表人；</w:t>
      </w:r>
    </w:p>
    <w:p w14:paraId="3D95512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（9）与本</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项目的监理人或代建人或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机构存在控股或参股关系；</w:t>
      </w:r>
    </w:p>
    <w:p w14:paraId="316739C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（10）被依法暂停或者取消投标资格；</w:t>
      </w:r>
    </w:p>
    <w:p w14:paraId="79F3CAC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（11）被责令停产停业、暂扣或者吊销许可证、暂扣或者吊销执照；</w:t>
      </w:r>
    </w:p>
    <w:p w14:paraId="6CB2F3B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（12）进入清算程序，或被宣告破产，或其他丧失履约能力的情形；</w:t>
      </w:r>
    </w:p>
    <w:p w14:paraId="7F6074E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（13）法律法规规定的其他情形；</w:t>
      </w:r>
    </w:p>
    <w:p w14:paraId="4EB8B75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（14）投标人资格证明文件不满足招标文件要求和过期失效的。</w:t>
      </w:r>
    </w:p>
    <w:p w14:paraId="6A848F7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24.2符合性审查。</w:t>
      </w:r>
    </w:p>
    <w:p w14:paraId="01443BF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24.2.1评标委员会应当对符合资格的投标人的投标文件进行符合性审查，以确定其是否满足招标文件的实质性要求。评标委员会决定投标的响应性只根据投标文件本身的内容，而不依据外部的证据。在符合性检查时,如有不满足下列情况之一的，经评标委员会认定，视为非实质性响应，为无效投标。</w:t>
      </w:r>
    </w:p>
    <w:p w14:paraId="7753244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具体内容详见《投标须知》-《实质性条款一览表》中符合性审查条件。</w:t>
      </w:r>
    </w:p>
    <w:p w14:paraId="7EA90E0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24.2.2投标人有下列情形之一的，视为投标人串通投标，其投标无效：</w:t>
      </w:r>
    </w:p>
    <w:p w14:paraId="01432EB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（1）不同投标人的投标文件由同一单位或者个人编制的；</w:t>
      </w:r>
    </w:p>
    <w:p w14:paraId="24EE6EB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（2）不同投标人使用同一个投标单位或者同一个自然人的IP地址、设备下载招标文件或者制作、上传投标文件的；</w:t>
      </w:r>
    </w:p>
    <w:p w14:paraId="52F2875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（3）不同投标人委托同一单位或者个人办理投标事宜；</w:t>
      </w:r>
    </w:p>
    <w:p w14:paraId="2600D9C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（4）不同投标人的投标文件载明的项目管理成员或者联系人员为同一人；</w:t>
      </w:r>
    </w:p>
    <w:p w14:paraId="758D9D7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（5）不同投标人的投标文件重要内容异常一致、或者投标报价呈现规律性差异；</w:t>
      </w:r>
    </w:p>
    <w:p w14:paraId="6524C96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（6）不同投标人编制的投标文件存在两处以上错误一致的；</w:t>
      </w:r>
    </w:p>
    <w:p w14:paraId="6C13DA3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（7）不同投标人的投标文件相互混装；</w:t>
      </w:r>
    </w:p>
    <w:p w14:paraId="2D3E80A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（8）不同投标人的投标保证金从同一单位或者个人的账户转出；</w:t>
      </w:r>
    </w:p>
    <w:p w14:paraId="6EF553D3">
      <w:pPr>
        <w:snapToGrid w:val="0"/>
        <w:spacing w:line="360" w:lineRule="auto"/>
        <w:ind w:firstLine="480" w:firstLineChars="200"/>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（9）不同投标人制作的电子投标文件经系统审查存在cpu编码、硬盘编码及MAC地址三项编码均相同的</w:t>
      </w:r>
      <w:r>
        <w:rPr>
          <w:rFonts w:hint="eastAsia" w:ascii="仿宋" w:hAnsi="仿宋" w:eastAsia="仿宋" w:cs="仿宋"/>
          <w:sz w:val="24"/>
          <w:szCs w:val="24"/>
          <w:highlight w:val="none"/>
          <w:lang w:eastAsia="zh-CN"/>
        </w:rPr>
        <w:t>；</w:t>
      </w:r>
    </w:p>
    <w:p w14:paraId="22A8CAD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（10）法律法规规定的其他情形。</w:t>
      </w:r>
    </w:p>
    <w:p w14:paraId="0AE0CA49">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24.3投标截止后投标人不足3家或者通过资格审查或符合性审查的投标人不足3家的，除</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任务取消情形外，按照以下方式处理：</w:t>
      </w:r>
    </w:p>
    <w:p w14:paraId="7374B06A">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（1）招标文件存在不合理条款或者招标程序不符合规定的，</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机构改正后依法重新招标；</w:t>
      </w:r>
    </w:p>
    <w:p w14:paraId="5FDD2A9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（2）招标文件没有不合理条款、招标程序符合规定，需要采用其他</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方式采购的，</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应当依法报主管部门批准或按照</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管理制度执行。</w:t>
      </w:r>
    </w:p>
    <w:p w14:paraId="1BE874A3">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25.投标文件的澄清</w:t>
      </w:r>
    </w:p>
    <w:p w14:paraId="1CC5F9F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25.1评标委员会有权向投标人询标，对于投标文件中含义不明确、同类问题表述不一致或者有明显文字和计算错误的内容，评标委员会应当以书面形式要求投标人作出必要的澄清、说明或者补正。请投标人澄清其投标内容，投标人法定代表人或其授权人必须接受评标委员会的询标，未在规定的时间内，对重大关键问题进行答疑和澄清的投标人，经评标委员会确认可视为投标人放弃投标。</w:t>
      </w:r>
    </w:p>
    <w:p w14:paraId="6E12EE7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25.2投标人的澄清、说明或者补正应当采用书面形式，并加盖公章。投标人的澄清、说明或者补正不得超出投标文件的范围或者改变对投标文件的实质性内容。此书面文件是投标文件的组成部分。</w:t>
      </w:r>
    </w:p>
    <w:p w14:paraId="5D456E98">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26.投标文件的评价</w:t>
      </w:r>
    </w:p>
    <w:p w14:paraId="17B0AED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26.1评审采用百分制。评标委员会各成员分别独立对实质上响应投标文件的投标人进行逐项评价打分，对评标委员会各成员每一因素的打分汇总后的得分为投标人的得分，汇总得分保留两位小数。</w:t>
      </w:r>
    </w:p>
    <w:p w14:paraId="27C709B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26.2评标委员会只对确定为实质响应招标文件要求的投标文件进行评价和比较。必要时需标明评审理由。</w:t>
      </w:r>
    </w:p>
    <w:p w14:paraId="1BF598F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26.3评标采用综合评分法的，价格分值由评审系统根据投标人上传的《投标（报价）一览表》中的投标报价，依据规定公式自动计算，其结果由评标委员会所有成员签字确认。</w:t>
      </w:r>
    </w:p>
    <w:p w14:paraId="411A0AA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代理机构工作人员负责复核、统计评标委员会成员的评审情况，发现评审意见有失公正时，提请该评标委员会成员修改评审意见，并形成书面意见备查。</w:t>
      </w:r>
    </w:p>
    <w:p w14:paraId="72703D4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26.4评审时除考虑投标人的报价之外，还将考虑以下因素：</w:t>
      </w:r>
    </w:p>
    <w:p w14:paraId="5B85786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（1）投标文件的响应状况（包括是否按照招标文件要求制作）；</w:t>
      </w:r>
    </w:p>
    <w:p w14:paraId="50B6DAB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（2）招标文件规定的其它评审因素。</w:t>
      </w:r>
    </w:p>
    <w:p w14:paraId="0CB2639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26.5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046CAF2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26.6评标委员会发现招标文件存在歧义、重大缺陷导致评标工作无法进行，或者招标文件内容违反国家有关强制性规定的，应当停止评标工作，与</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或者</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机构沟通并作书面记录。</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确认后，应当修改招标文件，重新组织</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活动。</w:t>
      </w:r>
    </w:p>
    <w:p w14:paraId="4A3CC47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26.7投标人应当遵循公平竞争的原则，不得恶意串通，不得妨碍其他投标人的竞争行为，不得损坏</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或者其他投标人的合法权益。在评标过程中发现投标人有上述情形的，评标委员会应当认定其投标无效，并书面报告本级主管部门。</w:t>
      </w:r>
    </w:p>
    <w:p w14:paraId="548771DA">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27.废标条款</w:t>
      </w:r>
    </w:p>
    <w:p w14:paraId="5B7F1CF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在招标</w:t>
      </w:r>
      <w:r>
        <w:rPr>
          <w:rFonts w:hint="eastAsia" w:ascii="仿宋" w:hAnsi="仿宋" w:eastAsia="仿宋" w:cs="仿宋"/>
          <w:sz w:val="24"/>
          <w:szCs w:val="24"/>
          <w:highlight w:val="none"/>
          <w:lang w:val="en-US" w:eastAsia="zh-CN"/>
        </w:rPr>
        <w:t>活动</w:t>
      </w:r>
      <w:r>
        <w:rPr>
          <w:rFonts w:hint="eastAsia" w:ascii="仿宋" w:hAnsi="仿宋" w:eastAsia="仿宋" w:cs="仿宋"/>
          <w:sz w:val="24"/>
          <w:szCs w:val="24"/>
          <w:highlight w:val="none"/>
        </w:rPr>
        <w:t>中，出现下列情形之一的，应予废标：</w:t>
      </w:r>
    </w:p>
    <w:p w14:paraId="4BB03A7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（1）合格的投标人或参加投标的企业不足三家的；</w:t>
      </w:r>
    </w:p>
    <w:p w14:paraId="373281B5">
      <w:pPr>
        <w:snapToGrid w:val="0"/>
        <w:spacing w:line="360" w:lineRule="auto"/>
        <w:ind w:firstLine="480" w:firstLineChars="200"/>
        <w:jc w:val="both"/>
        <w:rPr>
          <w:rFonts w:ascii="仿宋" w:hAnsi="仿宋" w:eastAsia="仿宋" w:cs="仿宋"/>
          <w:sz w:val="24"/>
          <w:szCs w:val="24"/>
          <w:highlight w:val="none"/>
        </w:rPr>
      </w:pPr>
      <w:r>
        <w:rPr>
          <w:rFonts w:hint="eastAsia" w:ascii="仿宋" w:hAnsi="仿宋" w:eastAsia="仿宋" w:cs="仿宋"/>
          <w:sz w:val="24"/>
          <w:szCs w:val="24"/>
          <w:highlight w:val="none"/>
        </w:rPr>
        <w:t>（2）出现影响</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公正的违法、违规行为的；</w:t>
      </w:r>
    </w:p>
    <w:p w14:paraId="2E3EEB6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（3）所有投标报价均超过招标文件中规定的预算金额，</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不能支付的；</w:t>
      </w:r>
    </w:p>
    <w:p w14:paraId="75D0549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（4）因重大变故，</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任务取消的。</w:t>
      </w:r>
    </w:p>
    <w:p w14:paraId="7AD51CF1">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六、定标</w:t>
      </w:r>
    </w:p>
    <w:p w14:paraId="278472D1">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28.确定中标候选人</w:t>
      </w:r>
    </w:p>
    <w:p w14:paraId="0890C9C6">
      <w:pPr>
        <w:snapToGrid w:val="0"/>
        <w:spacing w:line="360" w:lineRule="auto"/>
        <w:ind w:firstLine="480" w:firstLineChars="200"/>
        <w:jc w:val="left"/>
        <w:rPr>
          <w:rFonts w:ascii="仿宋" w:hAnsi="仿宋" w:eastAsia="仿宋" w:cs="仿宋"/>
          <w:b/>
          <w:bCs/>
          <w:sz w:val="24"/>
          <w:szCs w:val="24"/>
          <w:highlight w:val="none"/>
        </w:rPr>
      </w:pPr>
      <w:r>
        <w:rPr>
          <w:rFonts w:hint="eastAsia" w:ascii="仿宋" w:hAnsi="仿宋" w:eastAsia="仿宋" w:cs="仿宋"/>
          <w:sz w:val="24"/>
          <w:szCs w:val="24"/>
          <w:highlight w:val="none"/>
        </w:rPr>
        <w:t>28.1评标委员会按照招标文件确定的评标方法、步骤、标准，对投标文件进行评审。评标结束后，对投标人的评审名次进行排序，确定中标候选人，根据全体评标成员签字的原始评标记录和评标结果编写评标报告。</w:t>
      </w:r>
    </w:p>
    <w:p w14:paraId="1BC9A13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28.2评标委员会所有成员应当在评标报告上签字确认，评标报告的主要内容包括：</w:t>
      </w:r>
    </w:p>
    <w:p w14:paraId="48AB9B8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（1）招标公告刊登的媒介名称、开标日期和地点；</w:t>
      </w:r>
    </w:p>
    <w:p w14:paraId="6F946F4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（2）投标人名单和评标委员会成员名单；</w:t>
      </w:r>
    </w:p>
    <w:p w14:paraId="15C83A2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（3）评标方法和评标标准；</w:t>
      </w:r>
    </w:p>
    <w:p w14:paraId="62E25A0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（4）开标记录和评标情况及说明，包括投标无效投标人名单及原因；</w:t>
      </w:r>
    </w:p>
    <w:p w14:paraId="2554B7E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（5）评标结果，确定的中标候选人名单或者经</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委托直接确定的中标人；</w:t>
      </w:r>
    </w:p>
    <w:p w14:paraId="44B6C38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（6）其他需要说明的情况，包括评标过程中投标人根据评标委员会要求进行澄清、说明或者补正，评标委员会成员的更换等。</w:t>
      </w:r>
    </w:p>
    <w:p w14:paraId="4B726697">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29.确定中标人</w:t>
      </w:r>
    </w:p>
    <w:p w14:paraId="18010BED">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29.1招标人可委托评标委员会直接定标，</w:t>
      </w:r>
      <w:r>
        <w:rPr>
          <w:rFonts w:hint="eastAsia" w:ascii="仿宋" w:hAnsi="仿宋" w:eastAsia="仿宋" w:cs="仿宋"/>
          <w:sz w:val="24"/>
          <w:szCs w:val="24"/>
          <w:highlight w:val="none"/>
          <w:lang w:val="en-US" w:eastAsia="zh-CN"/>
        </w:rPr>
        <w:t>标包二</w:t>
      </w:r>
      <w:r>
        <w:rPr>
          <w:rFonts w:hint="eastAsia" w:ascii="仿宋" w:hAnsi="仿宋" w:eastAsia="仿宋" w:cs="仿宋"/>
          <w:sz w:val="24"/>
          <w:szCs w:val="24"/>
          <w:highlight w:val="none"/>
        </w:rPr>
        <w:t>确定</w:t>
      </w:r>
      <w:r>
        <w:rPr>
          <w:rFonts w:hint="eastAsia" w:ascii="仿宋" w:hAnsi="仿宋" w:eastAsia="仿宋" w:cs="仿宋"/>
          <w:sz w:val="24"/>
          <w:szCs w:val="24"/>
          <w:highlight w:val="none"/>
          <w:lang w:val="en-US" w:eastAsia="zh-CN"/>
        </w:rPr>
        <w:t>排名第一</w:t>
      </w:r>
      <w:r>
        <w:rPr>
          <w:rFonts w:hint="eastAsia" w:ascii="仿宋" w:hAnsi="仿宋" w:eastAsia="仿宋" w:cs="仿宋"/>
          <w:sz w:val="24"/>
          <w:szCs w:val="24"/>
          <w:highlight w:val="none"/>
        </w:rPr>
        <w:t>的投标人为中标人；也可以自主定标。自主定标的，招标人应当在收到评审报告后3个工作日内确定中标人，招标人逾期未确定中标人且不提出异议的</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标包二</w:t>
      </w:r>
      <w:r>
        <w:rPr>
          <w:rFonts w:hint="eastAsia" w:ascii="仿宋" w:hAnsi="仿宋" w:eastAsia="仿宋" w:cs="仿宋"/>
          <w:sz w:val="24"/>
          <w:szCs w:val="24"/>
          <w:highlight w:val="none"/>
        </w:rPr>
        <w:t>视为确定评审报告提出的</w:t>
      </w:r>
      <w:r>
        <w:rPr>
          <w:rFonts w:hint="eastAsia" w:ascii="仿宋" w:hAnsi="仿宋" w:eastAsia="仿宋" w:cs="仿宋"/>
          <w:sz w:val="24"/>
          <w:szCs w:val="24"/>
          <w:highlight w:val="none"/>
          <w:lang w:val="en-US" w:eastAsia="zh-CN"/>
        </w:rPr>
        <w:t>排名第一</w:t>
      </w:r>
      <w:r>
        <w:rPr>
          <w:rFonts w:hint="eastAsia" w:ascii="仿宋" w:hAnsi="仿宋" w:eastAsia="仿宋" w:cs="仿宋"/>
          <w:sz w:val="24"/>
          <w:szCs w:val="24"/>
          <w:highlight w:val="none"/>
        </w:rPr>
        <w:t>的投标人为中标人。</w:t>
      </w:r>
    </w:p>
    <w:p w14:paraId="3912CA9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29.</w:t>
      </w: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rPr>
        <w:t>评标结果汇总完成后，除下列情形外，任何人不得修改评标结果：</w:t>
      </w:r>
    </w:p>
    <w:p w14:paraId="52CDD521">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（1）分值汇总计算错误的；</w:t>
      </w:r>
    </w:p>
    <w:p w14:paraId="6DF62FB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（2）分项评分超出评分标准范围的；</w:t>
      </w:r>
    </w:p>
    <w:p w14:paraId="652421E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（3）评标委员会成员对客观评审因素评分不一致的；</w:t>
      </w:r>
    </w:p>
    <w:p w14:paraId="7C2C7A10">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（4）经评标委员会认定评分畸高、畸低的；</w:t>
      </w:r>
    </w:p>
    <w:p w14:paraId="4FAD1167">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（5）评标委员会认定的其他情形。</w:t>
      </w:r>
    </w:p>
    <w:p w14:paraId="5D5244F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29.</w:t>
      </w: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评标报告签署前，经复核发现存在以上情形之一的，评标委员会应当当场修改评标结果，并在评标报告中记载；评标报告签署后，</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机构发现存在以上情形之一的，应当组织原评标委员会进行重新评审，重新评审改变结果的，书面报告本级主管部门。投标人对本条上述情形提出质疑的，</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或者</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代理机构可以组织原评标委员会进行重新评审，重新评审改变评标结果的，应当书面报告主管部门。</w:t>
      </w:r>
    </w:p>
    <w:p w14:paraId="588C8AA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29.</w:t>
      </w:r>
      <w:r>
        <w:rPr>
          <w:rFonts w:hint="eastAsia" w:ascii="仿宋" w:hAnsi="仿宋" w:eastAsia="仿宋" w:cs="仿宋"/>
          <w:sz w:val="24"/>
          <w:szCs w:val="24"/>
          <w:highlight w:val="none"/>
          <w:lang w:val="en-US" w:eastAsia="zh-CN"/>
        </w:rPr>
        <w:t>4</w:t>
      </w:r>
      <w:r>
        <w:rPr>
          <w:rFonts w:hint="eastAsia" w:ascii="仿宋" w:hAnsi="仿宋" w:eastAsia="仿宋" w:cs="仿宋"/>
          <w:sz w:val="24"/>
          <w:szCs w:val="24"/>
          <w:highlight w:val="none"/>
        </w:rPr>
        <w:t>中标人在规定的期限内无正当理由拒绝签订合同，</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可以按照评审报告推荐的中标候选人名单排序，确定下一候选人为中标人，也可以重新开展招标活动。</w:t>
      </w:r>
    </w:p>
    <w:p w14:paraId="42667FA7">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七、结果公示和公告</w:t>
      </w:r>
    </w:p>
    <w:p w14:paraId="787A846A">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30.结果公告</w:t>
      </w:r>
    </w:p>
    <w:p w14:paraId="22E82879">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招标人应当自定标结束后在招标公告发布媒介公示中标人。公示期为</w:t>
      </w:r>
      <w:r>
        <w:rPr>
          <w:rFonts w:hint="eastAsia" w:ascii="仿宋" w:hAnsi="仿宋" w:eastAsia="仿宋" w:cs="仿宋"/>
          <w:sz w:val="24"/>
          <w:szCs w:val="24"/>
          <w:highlight w:val="none"/>
          <w:lang w:val="en-US" w:eastAsia="zh-CN"/>
        </w:rPr>
        <w:t>1个工作</w:t>
      </w:r>
      <w:r>
        <w:rPr>
          <w:rFonts w:hint="eastAsia" w:ascii="仿宋" w:hAnsi="仿宋" w:eastAsia="仿宋" w:cs="仿宋"/>
          <w:sz w:val="24"/>
          <w:szCs w:val="24"/>
          <w:highlight w:val="none"/>
        </w:rPr>
        <w:t>日。</w:t>
      </w:r>
    </w:p>
    <w:p w14:paraId="7CCA200A">
      <w:pPr>
        <w:snapToGrid w:val="0"/>
        <w:spacing w:line="360" w:lineRule="auto"/>
        <w:ind w:left="479" w:leftChars="228"/>
        <w:jc w:val="left"/>
        <w:rPr>
          <w:rFonts w:ascii="仿宋" w:hAnsi="仿宋" w:eastAsia="仿宋" w:cs="仿宋"/>
          <w:sz w:val="24"/>
          <w:szCs w:val="24"/>
          <w:highlight w:val="none"/>
        </w:rPr>
      </w:pPr>
      <w:r>
        <w:rPr>
          <w:rFonts w:hint="eastAsia" w:ascii="仿宋" w:hAnsi="仿宋" w:eastAsia="仿宋" w:cs="仿宋"/>
          <w:b/>
          <w:bCs/>
          <w:sz w:val="24"/>
          <w:szCs w:val="24"/>
          <w:highlight w:val="none"/>
        </w:rPr>
        <w:t>31.签发中标通知书</w:t>
      </w:r>
    </w:p>
    <w:p w14:paraId="22F86E5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中标公告结束且无尚未处理的异议后，</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和代理机构联合向中标人发出中标通知书。《中标通知书》是合同的组成部分,对中标人和</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具有同等法律效力。《中标通知书》发出后，</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不得违法改变中标结果，中标人无正当理由不得放弃中标。</w:t>
      </w:r>
    </w:p>
    <w:p w14:paraId="24C11F90">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八、质疑</w:t>
      </w:r>
    </w:p>
    <w:p w14:paraId="14BF421E">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32.质疑</w:t>
      </w:r>
    </w:p>
    <w:p w14:paraId="5EA8E2E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32.1依据《威海市市属国有企业阳光采购监督管理办法》规定，投标人认为</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文件、</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过程、成交结果使自己的权益受到损害，应于法律法规的规定期限内以书面形式向</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机构提出质疑。</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机构应当在收到投标人的书面质疑后3个工作日内做出书面答复，但答复内容不得涉及商业秘密。投标人提出的质疑超出</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对</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机构委托授权范围的，</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机构应当告知投标人向</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提出。投标人应按照下列规定进行质疑：</w:t>
      </w:r>
    </w:p>
    <w:p w14:paraId="4A111254">
      <w:pPr>
        <w:snapToGrid w:val="0"/>
        <w:spacing w:line="360" w:lineRule="auto"/>
        <w:ind w:firstLine="480" w:firstLineChars="200"/>
        <w:jc w:val="both"/>
        <w:rPr>
          <w:rFonts w:ascii="仿宋" w:hAnsi="仿宋" w:eastAsia="仿宋" w:cs="仿宋"/>
          <w:sz w:val="24"/>
          <w:szCs w:val="24"/>
          <w:highlight w:val="none"/>
        </w:rPr>
      </w:pPr>
      <w:r>
        <w:rPr>
          <w:rFonts w:hint="eastAsia" w:ascii="仿宋" w:hAnsi="仿宋" w:eastAsia="仿宋" w:cs="仿宋"/>
          <w:sz w:val="24"/>
          <w:szCs w:val="24"/>
          <w:highlight w:val="none"/>
        </w:rPr>
        <w:t>32.2提出质疑的投标人应当是参与本项目</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活动的投标人。</w:t>
      </w:r>
    </w:p>
    <w:p w14:paraId="5E13EC7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32.3投标人应在法定质疑期内一次性提出针对同一</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程序环节的质疑。</w:t>
      </w:r>
    </w:p>
    <w:p w14:paraId="4C68CBB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32.4 质疑采用实名制，为了使提出的质疑事项在规定时间内得到有效答复、处理，提交的质疑函务必提供以下内容。</w:t>
      </w:r>
    </w:p>
    <w:p w14:paraId="33B4B22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（1）投标人的姓名或名称、地址（邮箱）、邮编、联系人及联系电话；</w:t>
      </w:r>
    </w:p>
    <w:p w14:paraId="25CB2D6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（2）质疑项目的名称、编号；</w:t>
      </w:r>
    </w:p>
    <w:p w14:paraId="1AFA4A8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（3）具体、明确的质疑事项和与质疑事项相关的请求；</w:t>
      </w:r>
    </w:p>
    <w:p w14:paraId="5100BD0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（4）事实依据；</w:t>
      </w:r>
    </w:p>
    <w:p w14:paraId="5C92DF5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（5）必要的法律依据；</w:t>
      </w:r>
    </w:p>
    <w:p w14:paraId="4D9B3A0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（6）提出质疑的日期。</w:t>
      </w:r>
    </w:p>
    <w:p w14:paraId="69FCAD0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投标人为自然人的，应当由本人签字；投标人为法人或者其他组织的，应当由法定代表人、单位负责人，或者其被授权人签字或者盖章，并加盖公章。</w:t>
      </w:r>
    </w:p>
    <w:p w14:paraId="6FE70CD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32.5</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机构正式受理后方可生效。否则，为无效质疑。</w:t>
      </w:r>
    </w:p>
    <w:p w14:paraId="1DC6C31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32.6 有下列情况之一的质疑不予受理：</w:t>
      </w:r>
    </w:p>
    <w:p w14:paraId="4BA3B33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（1）无质疑函件或质疑函件缺少投标人法人印章、投标人法定代表人签字、有效授权书和联系方式之一的质疑；</w:t>
      </w:r>
    </w:p>
    <w:p w14:paraId="45A301D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（2）质疑函件无实质性内容或佐证文件资料，主观臆断及推理得出结论的质疑；</w:t>
      </w:r>
    </w:p>
    <w:p w14:paraId="4450D63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（3）相应证明材料不真实或来源不合法的质疑；</w:t>
      </w:r>
    </w:p>
    <w:p w14:paraId="326CC51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（4）未按规定时间或超过公示期限提出的质疑；</w:t>
      </w:r>
    </w:p>
    <w:p w14:paraId="093E35EE">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32.7对捏造事实，提供虚假材料或者以非法手段取得证明材料进行恶意质疑的，一经查实，将列入平台黑名单。</w:t>
      </w:r>
    </w:p>
    <w:p w14:paraId="1404DBAF">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33.仲裁或起诉</w:t>
      </w:r>
    </w:p>
    <w:p w14:paraId="0CE060E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投标人对答复不满意，或者</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、代理机构未在规定的时间内做出书面答复的，投标人可以在答复期满后向</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所在地仲裁机构、人民法院申请仲裁或起诉。</w:t>
      </w:r>
    </w:p>
    <w:p w14:paraId="13AE1AB2">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九、签订合同</w:t>
      </w:r>
    </w:p>
    <w:p w14:paraId="4C68320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中标通知书发出之日起30日内，按招标文件、中标人的投标文件签订采购合同。</w:t>
      </w:r>
    </w:p>
    <w:p w14:paraId="38C11A79">
      <w:pPr>
        <w:snapToGrid w:val="0"/>
        <w:spacing w:line="360" w:lineRule="auto"/>
        <w:ind w:firstLine="480" w:firstLineChars="200"/>
        <w:jc w:val="left"/>
        <w:rPr>
          <w:rFonts w:hint="eastAsia" w:ascii="仿宋" w:hAnsi="仿宋" w:cs="仿宋"/>
          <w:sz w:val="24"/>
          <w:szCs w:val="24"/>
          <w:highlight w:val="none"/>
        </w:rPr>
        <w:sectPr>
          <w:headerReference r:id="rId14" w:type="first"/>
          <w:footerReference r:id="rId16" w:type="first"/>
          <w:headerReference r:id="rId13" w:type="default"/>
          <w:footerReference r:id="rId15" w:type="default"/>
          <w:pgSz w:w="11906" w:h="16838"/>
          <w:pgMar w:top="1440" w:right="1800" w:bottom="1440" w:left="1800" w:header="851" w:footer="992" w:gutter="0"/>
          <w:pgBorders>
            <w:top w:val="none" w:sz="0" w:space="0"/>
            <w:left w:val="none" w:sz="0" w:space="0"/>
            <w:bottom w:val="none" w:sz="0" w:space="0"/>
            <w:right w:val="none" w:sz="0" w:space="0"/>
          </w:pgBorders>
          <w:cols w:space="720" w:num="1"/>
          <w:titlePg/>
          <w:docGrid w:linePitch="319" w:charSpace="0"/>
        </w:sectPr>
      </w:pP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应当按照招标文件和中标人投标文件的规定，与中标人签订书面合同。</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与中标人所签订的合同不得对招标文件和中标人的投标文件作实质性修改。</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不得向中标人提出任何不合理的要求，作为签订合同的条件，不得与中标人私下订立背离合同实质性内容的协议。合同原则以第六部分 合同</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范本</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为基础，并根据响应、答疑情况进行修改补充，自签订之日起生效。</w:t>
      </w:r>
    </w:p>
    <w:p w14:paraId="079BAB34">
      <w:pPr>
        <w:pStyle w:val="3"/>
        <w:numPr>
          <w:ilvl w:val="0"/>
          <w:numId w:val="0"/>
        </w:numPr>
        <w:tabs>
          <w:tab w:val="left" w:pos="432"/>
        </w:tabs>
        <w:bidi w:val="0"/>
        <w:ind w:leftChars="0"/>
        <w:jc w:val="center"/>
        <w:rPr>
          <w:rFonts w:hint="eastAsia" w:ascii="仿宋" w:hAnsi="仿宋" w:eastAsia="仿宋" w:cs="仿宋"/>
          <w:b w:val="0"/>
          <w:bCs/>
          <w:szCs w:val="30"/>
          <w:highlight w:val="none"/>
        </w:rPr>
      </w:pPr>
      <w:bookmarkStart w:id="13" w:name="_Toc10256"/>
      <w:r>
        <w:rPr>
          <w:rFonts w:hint="eastAsia"/>
          <w:highlight w:val="none"/>
          <w:lang w:val="en-US" w:eastAsia="zh-CN"/>
        </w:rPr>
        <w:t>第三部分</w:t>
      </w:r>
      <w:r>
        <w:rPr>
          <w:rFonts w:hint="eastAsia"/>
          <w:highlight w:val="none"/>
        </w:rPr>
        <w:t xml:space="preserve"> </w:t>
      </w:r>
      <w:r>
        <w:rPr>
          <w:rFonts w:hint="eastAsia"/>
          <w:highlight w:val="none"/>
          <w:lang w:eastAsia="zh-CN"/>
        </w:rPr>
        <w:t>招标</w:t>
      </w:r>
      <w:r>
        <w:rPr>
          <w:rFonts w:hint="eastAsia"/>
          <w:highlight w:val="none"/>
        </w:rPr>
        <w:t>内容与要求</w:t>
      </w:r>
      <w:bookmarkEnd w:id="13"/>
    </w:p>
    <w:p w14:paraId="535D41B8">
      <w:pPr>
        <w:keepNext w:val="0"/>
        <w:keepLines w:val="0"/>
        <w:pageBreakBefore w:val="0"/>
        <w:kinsoku/>
        <w:wordWrap/>
        <w:overflowPunct/>
        <w:topLinePunct w:val="0"/>
        <w:autoSpaceDE/>
        <w:autoSpaceDN/>
        <w:bidi w:val="0"/>
        <w:snapToGrid/>
        <w:spacing w:line="410" w:lineRule="exact"/>
        <w:ind w:firstLine="482" w:firstLineChars="200"/>
        <w:contextualSpacing/>
        <w:textAlignment w:val="auto"/>
        <w:rPr>
          <w:rFonts w:hint="eastAsia" w:ascii="仿宋" w:hAnsi="仿宋" w:eastAsia="仿宋" w:cs="仿宋"/>
          <w:b/>
          <w:bCs/>
          <w:sz w:val="24"/>
          <w:szCs w:val="24"/>
          <w:highlight w:val="none"/>
          <w:lang w:eastAsia="zh-CN"/>
        </w:rPr>
      </w:pPr>
      <w:bookmarkStart w:id="14" w:name="_Hlk163316215"/>
      <w:bookmarkStart w:id="15" w:name="_Toc484525621"/>
      <w:r>
        <w:rPr>
          <w:rFonts w:hint="eastAsia" w:ascii="仿宋" w:hAnsi="仿宋" w:eastAsia="仿宋" w:cs="仿宋"/>
          <w:b/>
          <w:bCs/>
          <w:sz w:val="24"/>
          <w:szCs w:val="24"/>
          <w:highlight w:val="none"/>
          <w:lang w:val="en-US" w:eastAsia="zh-CN"/>
        </w:rPr>
        <w:t>一、</w:t>
      </w:r>
      <w:r>
        <w:rPr>
          <w:rFonts w:hint="eastAsia" w:ascii="仿宋" w:hAnsi="仿宋" w:eastAsia="仿宋" w:cs="仿宋"/>
          <w:b/>
          <w:bCs/>
          <w:sz w:val="24"/>
          <w:szCs w:val="24"/>
          <w:highlight w:val="none"/>
        </w:rPr>
        <w:t>项目名称：</w:t>
      </w:r>
      <w:r>
        <w:rPr>
          <w:rFonts w:hint="eastAsia" w:ascii="仿宋" w:hAnsi="仿宋" w:eastAsia="仿宋" w:cs="仿宋"/>
          <w:b w:val="0"/>
          <w:bCs w:val="0"/>
          <w:sz w:val="24"/>
          <w:szCs w:val="24"/>
          <w:highlight w:val="none"/>
          <w:lang w:eastAsia="zh-CN"/>
        </w:rPr>
        <w:t>选定车辆定点加油服务单位</w:t>
      </w:r>
    </w:p>
    <w:p w14:paraId="4E92300C">
      <w:pPr>
        <w:pStyle w:val="13"/>
        <w:spacing w:line="480" w:lineRule="exact"/>
        <w:ind w:left="0" w:leftChars="0" w:firstLine="482" w:firstLineChars="200"/>
        <w:contextualSpacing/>
        <w:rPr>
          <w:rFonts w:hint="eastAsia" w:ascii="仿宋" w:hAnsi="仿宋" w:eastAsia="仿宋" w:cs="仿宋"/>
          <w:spacing w:val="8"/>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二、服务期：</w:t>
      </w:r>
      <w:r>
        <w:rPr>
          <w:rFonts w:hint="eastAsia" w:ascii="仿宋" w:hAnsi="仿宋" w:eastAsia="仿宋" w:cs="仿宋"/>
          <w:b w:val="0"/>
          <w:bCs w:val="0"/>
          <w:kern w:val="2"/>
          <w:sz w:val="24"/>
          <w:szCs w:val="24"/>
          <w:highlight w:val="none"/>
          <w:lang w:val="en-US" w:eastAsia="zh-CN" w:bidi="ar-SA"/>
        </w:rPr>
        <w:t>自</w:t>
      </w:r>
      <w:r>
        <w:rPr>
          <w:rFonts w:hint="eastAsia" w:ascii="仿宋" w:hAnsi="仿宋" w:eastAsia="仿宋" w:cs="仿宋"/>
          <w:spacing w:val="8"/>
          <w:kern w:val="2"/>
          <w:sz w:val="24"/>
          <w:szCs w:val="24"/>
          <w:highlight w:val="none"/>
          <w:lang w:val="en-US" w:eastAsia="zh-CN" w:bidi="ar-SA"/>
        </w:rPr>
        <w:t>合同签订之日起一年,合同期满双方无异议后可以续签，但最长不超过三年。</w:t>
      </w:r>
    </w:p>
    <w:p w14:paraId="6ADB40D9">
      <w:pPr>
        <w:pStyle w:val="13"/>
        <w:spacing w:line="480" w:lineRule="exact"/>
        <w:ind w:left="0" w:leftChars="0" w:firstLine="514" w:firstLineChars="200"/>
        <w:contextualSpacing/>
        <w:rPr>
          <w:rFonts w:hint="eastAsia" w:ascii="仿宋" w:hAnsi="仿宋" w:eastAsia="仿宋" w:cs="仿宋"/>
          <w:b/>
          <w:bCs/>
          <w:spacing w:val="8"/>
          <w:kern w:val="2"/>
          <w:sz w:val="24"/>
          <w:szCs w:val="24"/>
          <w:highlight w:val="none"/>
          <w:lang w:val="en-US" w:eastAsia="zh-CN" w:bidi="ar-SA"/>
        </w:rPr>
      </w:pPr>
      <w:r>
        <w:rPr>
          <w:rFonts w:hint="eastAsia" w:ascii="仿宋" w:hAnsi="仿宋" w:eastAsia="仿宋" w:cs="仿宋"/>
          <w:b/>
          <w:bCs/>
          <w:spacing w:val="8"/>
          <w:kern w:val="2"/>
          <w:sz w:val="24"/>
          <w:szCs w:val="24"/>
          <w:highlight w:val="none"/>
          <w:lang w:val="en-US" w:eastAsia="zh-CN" w:bidi="ar-SA"/>
        </w:rPr>
        <w:t>三、招标控制价：</w:t>
      </w:r>
    </w:p>
    <w:p w14:paraId="5091228A">
      <w:pPr>
        <w:pStyle w:val="13"/>
        <w:spacing w:line="480" w:lineRule="exact"/>
        <w:ind w:left="0" w:leftChars="0" w:firstLine="514" w:firstLineChars="200"/>
        <w:contextualSpacing/>
        <w:rPr>
          <w:rFonts w:hint="default" w:ascii="仿宋" w:hAnsi="仿宋" w:eastAsia="仿宋" w:cs="仿宋"/>
          <w:b/>
          <w:bCs/>
          <w:spacing w:val="8"/>
          <w:kern w:val="2"/>
          <w:sz w:val="24"/>
          <w:szCs w:val="24"/>
          <w:highlight w:val="none"/>
          <w:lang w:val="en-US" w:eastAsia="zh-CN" w:bidi="ar-SA"/>
        </w:rPr>
      </w:pPr>
      <w:r>
        <w:rPr>
          <w:rFonts w:hint="eastAsia" w:ascii="仿宋" w:hAnsi="仿宋" w:eastAsia="仿宋" w:cs="仿宋"/>
          <w:b/>
          <w:bCs/>
          <w:spacing w:val="8"/>
          <w:kern w:val="2"/>
          <w:sz w:val="24"/>
          <w:szCs w:val="24"/>
          <w:highlight w:val="none"/>
          <w:lang w:val="en-US" w:eastAsia="zh-CN" w:bidi="ar-SA"/>
        </w:rPr>
        <w:t>标包二：在国家发改</w:t>
      </w:r>
      <w:r>
        <w:rPr>
          <w:rFonts w:hint="eastAsia" w:ascii="仿宋" w:hAnsi="仿宋" w:eastAsia="仿宋" w:cs="仿宋"/>
          <w:b/>
          <w:bCs/>
          <w:color w:val="000000"/>
          <w:kern w:val="0"/>
          <w:sz w:val="24"/>
          <w:szCs w:val="24"/>
          <w:highlight w:val="none"/>
        </w:rPr>
        <w:t>委规定的当日成品油零售限价</w:t>
      </w:r>
      <w:r>
        <w:rPr>
          <w:rFonts w:hint="eastAsia" w:ascii="仿宋" w:hAnsi="仿宋" w:eastAsia="仿宋" w:cs="仿宋"/>
          <w:b/>
          <w:bCs/>
          <w:color w:val="000000"/>
          <w:kern w:val="0"/>
          <w:sz w:val="24"/>
          <w:szCs w:val="24"/>
          <w:highlight w:val="none"/>
          <w:lang w:val="en-US" w:eastAsia="zh-CN"/>
        </w:rPr>
        <w:t>的</w:t>
      </w:r>
      <w:r>
        <w:rPr>
          <w:rFonts w:hint="eastAsia" w:ascii="仿宋" w:hAnsi="仿宋" w:eastAsia="仿宋" w:cs="仿宋"/>
          <w:b/>
          <w:bCs/>
          <w:color w:val="000000"/>
          <w:kern w:val="0"/>
          <w:sz w:val="24"/>
          <w:szCs w:val="24"/>
          <w:highlight w:val="none"/>
        </w:rPr>
        <w:t>基础上</w:t>
      </w:r>
      <w:r>
        <w:rPr>
          <w:rFonts w:hint="eastAsia" w:ascii="仿宋" w:hAnsi="仿宋" w:eastAsia="仿宋" w:cs="仿宋"/>
          <w:b/>
          <w:bCs/>
          <w:color w:val="000000"/>
          <w:kern w:val="0"/>
          <w:sz w:val="24"/>
          <w:szCs w:val="24"/>
          <w:highlight w:val="none"/>
          <w:lang w:eastAsia="zh-CN"/>
        </w:rPr>
        <w:t>，</w:t>
      </w:r>
      <w:r>
        <w:rPr>
          <w:rFonts w:hint="eastAsia" w:ascii="仿宋" w:hAnsi="仿宋" w:eastAsia="仿宋" w:cs="仿宋"/>
          <w:b/>
          <w:bCs/>
          <w:color w:val="000000"/>
          <w:kern w:val="0"/>
          <w:sz w:val="24"/>
          <w:szCs w:val="24"/>
          <w:highlight w:val="none"/>
          <w:lang w:val="en-US" w:eastAsia="zh-CN"/>
        </w:rPr>
        <w:t>折扣率不高于97%（仅在</w:t>
      </w:r>
      <w:r>
        <w:rPr>
          <w:rFonts w:hint="eastAsia" w:ascii="仿宋" w:hAnsi="仿宋" w:eastAsia="仿宋" w:cs="仿宋"/>
          <w:b/>
          <w:bCs/>
          <w:spacing w:val="8"/>
          <w:kern w:val="2"/>
          <w:sz w:val="24"/>
          <w:szCs w:val="24"/>
          <w:highlight w:val="none"/>
          <w:lang w:val="en-US" w:eastAsia="zh-CN" w:bidi="ar-SA"/>
        </w:rPr>
        <w:t>山东省内的加油站点执行折扣优惠</w:t>
      </w:r>
      <w:r>
        <w:rPr>
          <w:rFonts w:hint="eastAsia" w:ascii="仿宋" w:hAnsi="仿宋" w:eastAsia="仿宋" w:cs="仿宋"/>
          <w:b/>
          <w:bCs/>
          <w:color w:val="000000"/>
          <w:kern w:val="0"/>
          <w:sz w:val="24"/>
          <w:szCs w:val="24"/>
          <w:highlight w:val="none"/>
          <w:lang w:val="en-US" w:eastAsia="zh-CN"/>
        </w:rPr>
        <w:t>）。</w:t>
      </w:r>
    </w:p>
    <w:p w14:paraId="4FB82656">
      <w:pPr>
        <w:pStyle w:val="13"/>
        <w:spacing w:line="480" w:lineRule="exact"/>
        <w:ind w:left="0" w:leftChars="0" w:firstLine="514" w:firstLineChars="200"/>
        <w:contextualSpacing/>
        <w:rPr>
          <w:rFonts w:hint="eastAsia" w:ascii="仿宋" w:hAnsi="仿宋" w:eastAsia="仿宋" w:cs="仿宋"/>
          <w:b/>
          <w:bCs/>
          <w:spacing w:val="8"/>
          <w:kern w:val="2"/>
          <w:sz w:val="24"/>
          <w:szCs w:val="24"/>
          <w:highlight w:val="none"/>
          <w:lang w:val="en-US" w:eastAsia="zh-CN" w:bidi="ar-SA"/>
        </w:rPr>
      </w:pPr>
      <w:r>
        <w:rPr>
          <w:rFonts w:hint="eastAsia" w:ascii="仿宋" w:hAnsi="仿宋" w:eastAsia="仿宋" w:cs="仿宋"/>
          <w:b/>
          <w:bCs/>
          <w:spacing w:val="8"/>
          <w:kern w:val="2"/>
          <w:sz w:val="24"/>
          <w:szCs w:val="24"/>
          <w:highlight w:val="none"/>
          <w:lang w:val="en-US" w:eastAsia="zh-CN" w:bidi="ar-SA"/>
        </w:rPr>
        <w:t>四、具体要求</w:t>
      </w:r>
    </w:p>
    <w:p w14:paraId="201A18A7">
      <w:pPr>
        <w:pStyle w:val="13"/>
        <w:spacing w:line="480" w:lineRule="exact"/>
        <w:ind w:left="0" w:leftChars="0" w:firstLine="482" w:firstLineChars="200"/>
        <w:contextualSpacing/>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标包二</w:t>
      </w:r>
      <w:r>
        <w:rPr>
          <w:rFonts w:hint="eastAsia" w:ascii="仿宋" w:hAnsi="仿宋" w:eastAsia="仿宋" w:cs="仿宋"/>
          <w:b/>
          <w:bCs/>
          <w:sz w:val="24"/>
          <w:szCs w:val="24"/>
          <w:highlight w:val="none"/>
        </w:rPr>
        <w:t>：选定全国范围</w:t>
      </w:r>
      <w:r>
        <w:rPr>
          <w:rFonts w:hint="eastAsia" w:ascii="仿宋" w:hAnsi="仿宋" w:eastAsia="仿宋" w:cs="仿宋"/>
          <w:b/>
          <w:bCs/>
          <w:sz w:val="24"/>
          <w:szCs w:val="24"/>
          <w:highlight w:val="none"/>
          <w:lang w:eastAsia="zh-CN"/>
        </w:rPr>
        <w:t>定点加油服务单位</w:t>
      </w:r>
      <w:r>
        <w:rPr>
          <w:rFonts w:hint="eastAsia" w:ascii="仿宋" w:hAnsi="仿宋" w:eastAsia="仿宋" w:cs="仿宋"/>
          <w:b/>
          <w:bCs/>
          <w:sz w:val="24"/>
          <w:szCs w:val="24"/>
          <w:highlight w:val="none"/>
        </w:rPr>
        <w:t xml:space="preserve">            </w:t>
      </w:r>
    </w:p>
    <w:p w14:paraId="4ABAE40B">
      <w:pPr>
        <w:pStyle w:val="13"/>
        <w:spacing w:line="480" w:lineRule="exact"/>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（一）油品品种：包括各种标号的汽油和柴油等成品油。</w:t>
      </w:r>
    </w:p>
    <w:p w14:paraId="4364C2CD">
      <w:pPr>
        <w:pStyle w:val="13"/>
        <w:spacing w:line="480" w:lineRule="exact"/>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w:t>
      </w:r>
      <w:r>
        <w:rPr>
          <w:rFonts w:hint="eastAsia" w:ascii="仿宋" w:hAnsi="仿宋" w:eastAsia="仿宋" w:cs="仿宋"/>
          <w:color w:val="000000"/>
          <w:kern w:val="0"/>
          <w:sz w:val="24"/>
          <w:szCs w:val="24"/>
          <w:highlight w:val="none"/>
          <w:lang w:val="en-US" w:eastAsia="zh-CN"/>
        </w:rPr>
        <w:t>二</w:t>
      </w:r>
      <w:r>
        <w:rPr>
          <w:rFonts w:hint="eastAsia" w:ascii="仿宋" w:hAnsi="仿宋" w:eastAsia="仿宋" w:cs="仿宋"/>
          <w:color w:val="000000"/>
          <w:kern w:val="0"/>
          <w:sz w:val="24"/>
          <w:szCs w:val="24"/>
          <w:highlight w:val="none"/>
        </w:rPr>
        <w:t>）具有国家法规规定的油品销售（批发）资质，具有合法的运输车辆，确保供应油品质量达到国家法定标准。</w:t>
      </w:r>
    </w:p>
    <w:p w14:paraId="1655EE1B">
      <w:pPr>
        <w:pStyle w:val="13"/>
        <w:spacing w:line="480" w:lineRule="exact"/>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w:t>
      </w:r>
      <w:r>
        <w:rPr>
          <w:rFonts w:hint="eastAsia" w:ascii="仿宋" w:hAnsi="仿宋" w:eastAsia="仿宋" w:cs="仿宋"/>
          <w:color w:val="000000"/>
          <w:kern w:val="0"/>
          <w:sz w:val="24"/>
          <w:szCs w:val="24"/>
          <w:highlight w:val="none"/>
          <w:lang w:val="en-US" w:eastAsia="zh-CN"/>
        </w:rPr>
        <w:t>三</w:t>
      </w:r>
      <w:r>
        <w:rPr>
          <w:rFonts w:hint="eastAsia" w:ascii="仿宋" w:hAnsi="仿宋" w:eastAsia="仿宋" w:cs="仿宋"/>
          <w:color w:val="000000"/>
          <w:kern w:val="0"/>
          <w:sz w:val="24"/>
          <w:szCs w:val="24"/>
          <w:highlight w:val="none"/>
        </w:rPr>
        <w:t>）服务要求</w:t>
      </w:r>
    </w:p>
    <w:p w14:paraId="1675EFC7">
      <w:pPr>
        <w:pStyle w:val="13"/>
        <w:spacing w:line="480" w:lineRule="exact"/>
        <w:rPr>
          <w:rFonts w:hint="eastAsia" w:ascii="仿宋" w:hAnsi="仿宋" w:eastAsia="仿宋" w:cs="仿宋"/>
          <w:color w:val="000000"/>
          <w:kern w:val="0"/>
          <w:sz w:val="24"/>
          <w:szCs w:val="24"/>
          <w:highlight w:val="none"/>
          <w:lang w:eastAsia="zh-CN"/>
        </w:rPr>
      </w:pPr>
      <w:r>
        <w:rPr>
          <w:rFonts w:hint="eastAsia" w:ascii="仿宋" w:hAnsi="仿宋" w:eastAsia="仿宋" w:cs="仿宋"/>
          <w:color w:val="000000"/>
          <w:kern w:val="0"/>
          <w:sz w:val="24"/>
          <w:szCs w:val="24"/>
          <w:highlight w:val="none"/>
          <w:lang w:val="en-US" w:eastAsia="zh-CN"/>
        </w:rPr>
        <w:t>1.</w:t>
      </w:r>
      <w:r>
        <w:rPr>
          <w:rFonts w:hint="eastAsia" w:ascii="仿宋" w:hAnsi="仿宋" w:eastAsia="仿宋" w:cs="仿宋"/>
          <w:color w:val="000000"/>
          <w:kern w:val="0"/>
          <w:sz w:val="24"/>
          <w:szCs w:val="24"/>
          <w:highlight w:val="none"/>
        </w:rPr>
        <w:t>投标人定点加油站</w:t>
      </w:r>
      <w:r>
        <w:rPr>
          <w:rFonts w:hint="eastAsia" w:ascii="仿宋" w:hAnsi="仿宋" w:eastAsia="仿宋" w:cs="仿宋"/>
          <w:color w:val="000000"/>
          <w:kern w:val="0"/>
          <w:sz w:val="24"/>
          <w:szCs w:val="24"/>
          <w:highlight w:val="none"/>
          <w:lang w:val="en-US" w:eastAsia="zh-CN"/>
        </w:rPr>
        <w:t>须</w:t>
      </w:r>
      <w:r>
        <w:rPr>
          <w:rFonts w:hint="eastAsia" w:ascii="仿宋" w:hAnsi="仿宋" w:eastAsia="仿宋" w:cs="仿宋"/>
          <w:color w:val="000000"/>
          <w:kern w:val="0"/>
          <w:sz w:val="24"/>
          <w:szCs w:val="24"/>
          <w:highlight w:val="none"/>
        </w:rPr>
        <w:t>设施齐备，</w:t>
      </w:r>
      <w:r>
        <w:rPr>
          <w:rFonts w:hint="eastAsia" w:ascii="仿宋" w:hAnsi="仿宋" w:eastAsia="仿宋" w:cs="仿宋"/>
          <w:color w:val="000000"/>
          <w:kern w:val="0"/>
          <w:sz w:val="24"/>
          <w:szCs w:val="24"/>
          <w:highlight w:val="none"/>
          <w:lang w:val="en-US" w:eastAsia="zh-CN"/>
        </w:rPr>
        <w:t>合规运营、</w:t>
      </w:r>
      <w:r>
        <w:rPr>
          <w:rFonts w:hint="eastAsia" w:ascii="仿宋" w:hAnsi="仿宋" w:eastAsia="仿宋" w:cs="仿宋"/>
          <w:color w:val="000000"/>
          <w:kern w:val="0"/>
          <w:sz w:val="24"/>
          <w:szCs w:val="24"/>
          <w:highlight w:val="none"/>
        </w:rPr>
        <w:t>服务优良</w:t>
      </w:r>
      <w:r>
        <w:rPr>
          <w:rFonts w:hint="eastAsia" w:ascii="仿宋" w:hAnsi="仿宋" w:eastAsia="仿宋" w:cs="仿宋"/>
          <w:color w:val="000000"/>
          <w:kern w:val="0"/>
          <w:sz w:val="24"/>
          <w:szCs w:val="24"/>
          <w:highlight w:val="none"/>
          <w:lang w:eastAsia="zh-CN"/>
        </w:rPr>
        <w:t>。</w:t>
      </w:r>
      <w:r>
        <w:rPr>
          <w:rFonts w:hint="eastAsia" w:ascii="仿宋" w:hAnsi="仿宋" w:eastAsia="仿宋" w:cs="仿宋"/>
          <w:color w:val="000000"/>
          <w:kern w:val="0"/>
          <w:sz w:val="24"/>
          <w:szCs w:val="24"/>
          <w:highlight w:val="none"/>
        </w:rPr>
        <w:t>须具有布局合理的定点加油站点网络，报定点加油站基本状况表</w:t>
      </w:r>
      <w:r>
        <w:rPr>
          <w:rFonts w:hint="eastAsia" w:ascii="仿宋" w:hAnsi="仿宋" w:eastAsia="仿宋" w:cs="仿宋"/>
          <w:color w:val="000000"/>
          <w:kern w:val="0"/>
          <w:sz w:val="24"/>
          <w:szCs w:val="24"/>
          <w:highlight w:val="none"/>
          <w:lang w:eastAsia="zh-CN"/>
        </w:rPr>
        <w:t>。</w:t>
      </w:r>
      <w:r>
        <w:rPr>
          <w:rFonts w:hint="eastAsia" w:ascii="仿宋" w:hAnsi="仿宋" w:eastAsia="仿宋" w:cs="仿宋"/>
          <w:color w:val="000000"/>
          <w:kern w:val="0"/>
          <w:sz w:val="24"/>
          <w:szCs w:val="24"/>
          <w:highlight w:val="none"/>
        </w:rPr>
        <w:t>有效备案定点加油站数量充足</w:t>
      </w:r>
      <w:r>
        <w:rPr>
          <w:rFonts w:hint="eastAsia" w:ascii="仿宋" w:hAnsi="仿宋" w:eastAsia="仿宋" w:cs="仿宋"/>
          <w:color w:val="000000"/>
          <w:kern w:val="0"/>
          <w:sz w:val="24"/>
          <w:szCs w:val="24"/>
          <w:highlight w:val="none"/>
          <w:lang w:eastAsia="zh-CN"/>
        </w:rPr>
        <w:t>，</w:t>
      </w:r>
      <w:r>
        <w:rPr>
          <w:rFonts w:hint="eastAsia" w:ascii="仿宋" w:hAnsi="仿宋" w:eastAsia="仿宋" w:cs="仿宋"/>
          <w:color w:val="000000"/>
          <w:kern w:val="0"/>
          <w:sz w:val="24"/>
          <w:szCs w:val="24"/>
          <w:highlight w:val="none"/>
        </w:rPr>
        <w:t>加油站点至少覆盖山东省所有地级市</w:t>
      </w:r>
      <w:r>
        <w:rPr>
          <w:rFonts w:hint="eastAsia" w:ascii="仿宋" w:hAnsi="仿宋" w:eastAsia="仿宋" w:cs="仿宋"/>
          <w:color w:val="000000"/>
          <w:kern w:val="0"/>
          <w:sz w:val="24"/>
          <w:szCs w:val="24"/>
          <w:highlight w:val="none"/>
          <w:lang w:eastAsia="zh-CN"/>
        </w:rPr>
        <w:t>，在</w:t>
      </w:r>
      <w:r>
        <w:rPr>
          <w:rFonts w:hint="eastAsia" w:ascii="仿宋" w:hAnsi="仿宋" w:eastAsia="仿宋" w:cs="仿宋"/>
          <w:color w:val="000000"/>
          <w:kern w:val="0"/>
          <w:sz w:val="24"/>
          <w:szCs w:val="24"/>
          <w:highlight w:val="none"/>
          <w:lang w:val="en-US" w:eastAsia="zh-CN"/>
        </w:rPr>
        <w:t>主城区、</w:t>
      </w:r>
      <w:r>
        <w:rPr>
          <w:rFonts w:hint="eastAsia" w:ascii="仿宋" w:hAnsi="仿宋" w:eastAsia="仿宋" w:cs="仿宋"/>
          <w:color w:val="000000"/>
          <w:kern w:val="0"/>
          <w:sz w:val="24"/>
          <w:szCs w:val="24"/>
          <w:highlight w:val="none"/>
        </w:rPr>
        <w:t>高速服务区、重点交通枢纽站点密集，杜绝局部区域无站点、站点稀疏、加油不便的问题。能够满足采购人车辆日常、跨区域、应急加油需求</w:t>
      </w:r>
      <w:r>
        <w:rPr>
          <w:rFonts w:hint="eastAsia" w:ascii="仿宋" w:hAnsi="仿宋" w:eastAsia="仿宋" w:cs="仿宋"/>
          <w:color w:val="000000"/>
          <w:kern w:val="0"/>
          <w:sz w:val="24"/>
          <w:szCs w:val="24"/>
          <w:highlight w:val="none"/>
          <w:lang w:eastAsia="zh-CN"/>
        </w:rPr>
        <w:t>。</w:t>
      </w:r>
    </w:p>
    <w:p w14:paraId="09FE8806">
      <w:pPr>
        <w:pStyle w:val="13"/>
        <w:spacing w:line="480" w:lineRule="exact"/>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2、车辆加油采用加油IC卡方式，</w:t>
      </w:r>
      <w:r>
        <w:rPr>
          <w:rFonts w:hint="eastAsia" w:ascii="仿宋" w:hAnsi="仿宋" w:eastAsia="仿宋" w:cs="仿宋"/>
          <w:color w:val="000000"/>
          <w:kern w:val="0"/>
          <w:sz w:val="24"/>
          <w:szCs w:val="24"/>
          <w:highlight w:val="none"/>
          <w:lang w:eastAsia="zh-CN"/>
        </w:rPr>
        <w:t>并实行联网统计、加油数据实时同步、台账可查、账目清晰。</w:t>
      </w:r>
      <w:r>
        <w:rPr>
          <w:rFonts w:hint="eastAsia" w:ascii="仿宋" w:hAnsi="仿宋" w:eastAsia="仿宋" w:cs="仿宋"/>
          <w:color w:val="000000"/>
          <w:kern w:val="0"/>
          <w:sz w:val="24"/>
          <w:szCs w:val="24"/>
          <w:highlight w:val="none"/>
        </w:rPr>
        <w:t>加油费用由采购人与中标人按本次招标确定的优惠率自行结算，实现机动车辆加油计算机处理，有统一的数据库。</w:t>
      </w:r>
    </w:p>
    <w:p w14:paraId="1FFB8812">
      <w:pPr>
        <w:pStyle w:val="13"/>
        <w:spacing w:line="480" w:lineRule="exact"/>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3</w:t>
      </w:r>
      <w:r>
        <w:rPr>
          <w:rFonts w:hint="eastAsia" w:ascii="仿宋" w:hAnsi="仿宋" w:eastAsia="仿宋" w:cs="仿宋"/>
          <w:color w:val="000000"/>
          <w:kern w:val="0"/>
          <w:sz w:val="24"/>
          <w:szCs w:val="24"/>
          <w:highlight w:val="none"/>
          <w:lang w:eastAsia="zh-CN"/>
        </w:rPr>
        <w:t>、</w:t>
      </w:r>
      <w:r>
        <w:rPr>
          <w:rFonts w:hint="eastAsia" w:ascii="仿宋" w:hAnsi="仿宋" w:eastAsia="仿宋" w:cs="仿宋"/>
          <w:color w:val="000000"/>
          <w:kern w:val="0"/>
          <w:sz w:val="24"/>
          <w:szCs w:val="24"/>
          <w:highlight w:val="none"/>
        </w:rPr>
        <w:t>油质要求：投标人所经销油品必须全部从国家正规炼油厂、国有石油公司采购,绝不能掺杂使假,以次充好，采购人将不定期对中标人的油品质量进行抽查。</w:t>
      </w:r>
    </w:p>
    <w:p w14:paraId="24ED7D07">
      <w:pPr>
        <w:pStyle w:val="13"/>
        <w:spacing w:line="480" w:lineRule="exact"/>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4、油量要求：投标人必须使用符合国家规定的加油机加油,绝不允许缺斤短两,克扣用户。</w:t>
      </w:r>
    </w:p>
    <w:p w14:paraId="2CB30A70">
      <w:pPr>
        <w:spacing w:line="480" w:lineRule="exact"/>
        <w:ind w:firstLine="480" w:firstLineChars="200"/>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5、油品价格要求：投标价格</w:t>
      </w:r>
      <w:r>
        <w:rPr>
          <w:rFonts w:hint="eastAsia" w:ascii="仿宋" w:hAnsi="仿宋" w:eastAsia="仿宋" w:cs="仿宋"/>
          <w:color w:val="000000"/>
          <w:kern w:val="0"/>
          <w:sz w:val="24"/>
          <w:szCs w:val="24"/>
          <w:highlight w:val="none"/>
          <w:lang w:val="en-US" w:eastAsia="zh-CN"/>
        </w:rPr>
        <w:t>在招标控制价的</w:t>
      </w:r>
      <w:r>
        <w:rPr>
          <w:rFonts w:hint="eastAsia" w:ascii="仿宋" w:hAnsi="仿宋" w:eastAsia="仿宋" w:cs="仿宋"/>
          <w:color w:val="000000"/>
          <w:kern w:val="0"/>
          <w:sz w:val="24"/>
          <w:szCs w:val="24"/>
          <w:highlight w:val="none"/>
        </w:rPr>
        <w:t>基础上,给予最大</w:t>
      </w:r>
      <w:r>
        <w:rPr>
          <w:rFonts w:hint="eastAsia" w:ascii="仿宋" w:hAnsi="仿宋" w:eastAsia="仿宋" w:cs="仿宋"/>
          <w:color w:val="000000"/>
          <w:kern w:val="0"/>
          <w:sz w:val="24"/>
          <w:szCs w:val="24"/>
          <w:highlight w:val="none"/>
          <w:lang w:val="en-US" w:eastAsia="zh-CN"/>
        </w:rPr>
        <w:t>的折扣力度</w:t>
      </w:r>
      <w:r>
        <w:rPr>
          <w:rFonts w:hint="eastAsia" w:ascii="仿宋" w:hAnsi="仿宋" w:eastAsia="仿宋" w:cs="仿宋"/>
          <w:b/>
          <w:bCs/>
          <w:color w:val="000000"/>
          <w:kern w:val="0"/>
          <w:sz w:val="24"/>
          <w:szCs w:val="24"/>
          <w:highlight w:val="none"/>
          <w:lang w:val="en-US" w:eastAsia="zh-CN"/>
        </w:rPr>
        <w:t>（仅在</w:t>
      </w:r>
      <w:r>
        <w:rPr>
          <w:rFonts w:hint="eastAsia" w:ascii="仿宋" w:hAnsi="仿宋" w:eastAsia="仿宋" w:cs="仿宋"/>
          <w:b/>
          <w:bCs/>
          <w:spacing w:val="8"/>
          <w:kern w:val="2"/>
          <w:sz w:val="24"/>
          <w:szCs w:val="24"/>
          <w:highlight w:val="none"/>
          <w:lang w:val="en-US" w:eastAsia="zh-CN" w:bidi="ar-SA"/>
        </w:rPr>
        <w:t>山东省内的加油站点执行折扣优惠</w:t>
      </w:r>
      <w:r>
        <w:rPr>
          <w:rFonts w:hint="eastAsia" w:ascii="仿宋" w:hAnsi="仿宋" w:eastAsia="仿宋" w:cs="仿宋"/>
          <w:b/>
          <w:bCs/>
          <w:color w:val="000000"/>
          <w:kern w:val="0"/>
          <w:sz w:val="24"/>
          <w:szCs w:val="24"/>
          <w:highlight w:val="none"/>
          <w:lang w:val="en-US" w:eastAsia="zh-CN"/>
        </w:rPr>
        <w:t>）</w:t>
      </w:r>
      <w:r>
        <w:rPr>
          <w:rFonts w:hint="eastAsia" w:ascii="仿宋" w:hAnsi="仿宋" w:eastAsia="仿宋" w:cs="仿宋"/>
          <w:color w:val="auto"/>
          <w:kern w:val="2"/>
          <w:sz w:val="24"/>
          <w:szCs w:val="24"/>
          <w:highlight w:val="none"/>
          <w:lang w:eastAsia="zh-CN" w:bidi="ar-SA"/>
        </w:rPr>
        <w:t>。</w:t>
      </w:r>
      <w:r>
        <w:rPr>
          <w:rFonts w:hint="eastAsia" w:ascii="仿宋" w:hAnsi="仿宋" w:eastAsia="仿宋" w:cs="仿宋"/>
          <w:color w:val="000000"/>
          <w:kern w:val="0"/>
          <w:sz w:val="24"/>
          <w:szCs w:val="24"/>
          <w:highlight w:val="none"/>
        </w:rPr>
        <w:t>中标人要在醒目位置公布价格表,并在结算时说明优惠金额,以利监督。</w:t>
      </w:r>
    </w:p>
    <w:p w14:paraId="42410BB8">
      <w:pPr>
        <w:pStyle w:val="13"/>
        <w:spacing w:line="480" w:lineRule="exact"/>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6、服务要求：礼貌待客,热情服务,车到人到,随来随加。</w:t>
      </w:r>
    </w:p>
    <w:p w14:paraId="655A1F7D">
      <w:pPr>
        <w:pStyle w:val="13"/>
        <w:spacing w:line="480" w:lineRule="exact"/>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7、守纪律。认真遵守职业道德和行业规范,严格执行财经纪律,坚决杜绝送礼品、给回扣、报销费用等一切不正当竞争行为。</w:t>
      </w:r>
    </w:p>
    <w:p w14:paraId="62F85159">
      <w:pPr>
        <w:pStyle w:val="13"/>
        <w:spacing w:line="480" w:lineRule="exact"/>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8、接受采购人定期对加油情况进行监督、检查,定期向采购人提供有关资料,接受采购人的业务指导、管理和工作调度。</w:t>
      </w:r>
    </w:p>
    <w:p w14:paraId="0208A154">
      <w:pPr>
        <w:pStyle w:val="13"/>
        <w:spacing w:line="480" w:lineRule="exact"/>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9、投标人必须保证在油品供应紧张时，优先保证采购人车辆，定点加油站油品不断档，采购人车辆加油不限量。</w:t>
      </w:r>
    </w:p>
    <w:p w14:paraId="15A317C2">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kern w:val="0"/>
          <w:sz w:val="24"/>
          <w:szCs w:val="24"/>
          <w:highlight w:val="none"/>
        </w:rPr>
      </w:pPr>
      <w:r>
        <w:rPr>
          <w:rFonts w:hint="eastAsia" w:ascii="仿宋" w:hAnsi="仿宋" w:eastAsia="仿宋" w:cs="仿宋"/>
          <w:b w:val="0"/>
          <w:bCs/>
          <w:color w:val="000000"/>
          <w:kern w:val="0"/>
          <w:sz w:val="24"/>
          <w:szCs w:val="24"/>
          <w:highlight w:val="none"/>
        </w:rPr>
        <w:t>（六）结算方式</w:t>
      </w:r>
      <w:r>
        <w:rPr>
          <w:rFonts w:hint="eastAsia" w:ascii="仿宋" w:hAnsi="仿宋" w:eastAsia="仿宋" w:cs="仿宋"/>
          <w:b/>
          <w:color w:val="000000"/>
          <w:kern w:val="0"/>
          <w:sz w:val="24"/>
          <w:szCs w:val="24"/>
          <w:highlight w:val="none"/>
        </w:rPr>
        <w:t>：</w:t>
      </w:r>
      <w:r>
        <w:rPr>
          <w:rFonts w:hint="eastAsia" w:ascii="仿宋" w:hAnsi="仿宋" w:eastAsia="仿宋" w:cs="仿宋"/>
          <w:color w:val="000000"/>
          <w:kern w:val="0"/>
          <w:sz w:val="24"/>
          <w:szCs w:val="24"/>
          <w:highlight w:val="none"/>
        </w:rPr>
        <w:t>由采购人与定点加油服务商根据实际使用量据实结算，并</w:t>
      </w:r>
      <w:r>
        <w:rPr>
          <w:rFonts w:hint="eastAsia" w:ascii="仿宋" w:hAnsi="仿宋" w:eastAsia="仿宋" w:cs="仿宋"/>
          <w:color w:val="000000"/>
          <w:kern w:val="0"/>
          <w:sz w:val="24"/>
          <w:szCs w:val="24"/>
          <w:highlight w:val="none"/>
          <w:lang w:eastAsia="zh-CN"/>
        </w:rPr>
        <w:t>每月</w:t>
      </w:r>
      <w:r>
        <w:rPr>
          <w:rFonts w:hint="eastAsia" w:ascii="仿宋" w:hAnsi="仿宋" w:eastAsia="仿宋" w:cs="仿宋"/>
          <w:color w:val="000000"/>
          <w:kern w:val="0"/>
          <w:sz w:val="24"/>
          <w:szCs w:val="24"/>
          <w:highlight w:val="none"/>
        </w:rPr>
        <w:t>开具增值税专用发票。</w:t>
      </w:r>
    </w:p>
    <w:p w14:paraId="1CD675F4">
      <w:pPr>
        <w:pStyle w:val="13"/>
        <w:rPr>
          <w:rFonts w:hint="eastAsia"/>
          <w:highlight w:val="none"/>
          <w:lang w:val="en-US" w:eastAsia="zh-CN"/>
        </w:rPr>
      </w:pPr>
    </w:p>
    <w:p w14:paraId="4305C002">
      <w:pPr>
        <w:pStyle w:val="36"/>
        <w:keepNext w:val="0"/>
        <w:keepLines w:val="0"/>
        <w:pageBreakBefore w:val="0"/>
        <w:kinsoku/>
        <w:wordWrap/>
        <w:overflowPunct/>
        <w:topLinePunct w:val="0"/>
        <w:autoSpaceDE/>
        <w:autoSpaceDN/>
        <w:bidi w:val="0"/>
        <w:adjustRightInd/>
        <w:snapToGrid/>
        <w:spacing w:line="360" w:lineRule="auto"/>
        <w:ind w:firstLine="480" w:firstLineChars="200"/>
        <w:jc w:val="center"/>
        <w:textAlignment w:val="auto"/>
        <w:rPr>
          <w:rStyle w:val="105"/>
          <w:highlight w:val="none"/>
        </w:rPr>
      </w:pPr>
      <w:r>
        <w:rPr>
          <w:rFonts w:hint="eastAsia" w:ascii="仿宋" w:hAnsi="仿宋" w:eastAsia="仿宋" w:cs="Times New Roman"/>
          <w:b w:val="0"/>
          <w:bCs w:val="0"/>
          <w:sz w:val="24"/>
          <w:szCs w:val="24"/>
          <w:highlight w:val="none"/>
          <w:lang w:val="en-US" w:eastAsia="zh-CN"/>
        </w:rPr>
        <w:br w:type="page"/>
      </w:r>
      <w:bookmarkEnd w:id="14"/>
      <w:bookmarkStart w:id="16" w:name="_Toc16250"/>
      <w:r>
        <w:rPr>
          <w:rStyle w:val="105"/>
          <w:rFonts w:hint="eastAsia"/>
          <w:highlight w:val="none"/>
        </w:rPr>
        <w:t>第四部分  评标原则、程序与方法</w:t>
      </w:r>
    </w:p>
    <w:bookmarkEnd w:id="16"/>
    <w:p w14:paraId="70AB8806">
      <w:pPr>
        <w:snapToGrid w:val="0"/>
        <w:spacing w:line="360" w:lineRule="auto"/>
        <w:rPr>
          <w:rFonts w:ascii="仿宋" w:hAnsi="仿宋" w:eastAsia="仿宋" w:cs="仿宋"/>
          <w:b/>
          <w:sz w:val="24"/>
          <w:szCs w:val="24"/>
          <w:highlight w:val="none"/>
        </w:rPr>
      </w:pPr>
      <w:r>
        <w:rPr>
          <w:rFonts w:hint="eastAsia" w:ascii="仿宋" w:hAnsi="仿宋" w:eastAsia="仿宋" w:cs="仿宋"/>
          <w:b/>
          <w:sz w:val="24"/>
          <w:szCs w:val="24"/>
          <w:highlight w:val="none"/>
        </w:rPr>
        <w:t xml:space="preserve">一、评审原则 </w:t>
      </w:r>
    </w:p>
    <w:p w14:paraId="082CE992">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“公平、公正、科学、择优”为本次评标的基本原则，评标委员会将按照这一原则的要求，公正、平等地对待各投标人，同时，在评标时恪守以下原则：</w:t>
      </w:r>
    </w:p>
    <w:p w14:paraId="56986EAC">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 xml:space="preserve">1.客观性原则：评标委员会将严格按照招标文件的要求，对投标人的投标文件进行认真评审，评标委员会对投标文件的评审仅依据投标文件本身，而不依靠投标文件以外的任何因素。 </w:t>
      </w:r>
    </w:p>
    <w:p w14:paraId="13A9FA75">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2.统一性原则：评标委员会将按照统一的评标原则和评标方法，采用统一标准进行评标。</w:t>
      </w:r>
    </w:p>
    <w:p w14:paraId="5675BAAA">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3.独立性原则：评标工作在评标委员会内部独立进行，不受外界任何因素的干扰和影响。</w:t>
      </w:r>
    </w:p>
    <w:p w14:paraId="77E9D22E">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4.保密性原则：评标委员会及熟知情况的有关工作人员必须对每位评委的评标意见和投标人的商业秘密严格保密，不得外泄。</w:t>
      </w:r>
    </w:p>
    <w:p w14:paraId="22751161">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5.综合性原则：评标委员会将综合分析、评审投标人的各项指标，而不以单项指标的优劣评定出中标人。</w:t>
      </w:r>
    </w:p>
    <w:p w14:paraId="043A5917">
      <w:pPr>
        <w:snapToGrid w:val="0"/>
        <w:spacing w:line="360" w:lineRule="auto"/>
        <w:rPr>
          <w:rFonts w:ascii="仿宋" w:hAnsi="仿宋" w:eastAsia="仿宋" w:cs="仿宋"/>
          <w:b/>
          <w:sz w:val="24"/>
          <w:szCs w:val="24"/>
          <w:highlight w:val="none"/>
        </w:rPr>
      </w:pPr>
      <w:r>
        <w:rPr>
          <w:rFonts w:hint="eastAsia" w:ascii="仿宋" w:hAnsi="仿宋" w:eastAsia="仿宋" w:cs="仿宋"/>
          <w:b/>
          <w:sz w:val="24"/>
          <w:szCs w:val="24"/>
          <w:highlight w:val="none"/>
        </w:rPr>
        <w:t>二、评标程序</w:t>
      </w:r>
    </w:p>
    <w:p w14:paraId="234AB800">
      <w:pPr>
        <w:snapToGrid w:val="0"/>
        <w:spacing w:line="360" w:lineRule="auto"/>
        <w:ind w:firstLine="480" w:firstLineChars="200"/>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rPr>
        <w:t>1</w:t>
      </w:r>
      <w:r>
        <w:rPr>
          <w:rFonts w:hint="eastAsia" w:ascii="仿宋" w:hAnsi="仿宋" w:eastAsia="仿宋" w:cs="仿宋"/>
          <w:bCs/>
          <w:sz w:val="24"/>
          <w:szCs w:val="24"/>
          <w:highlight w:val="none"/>
          <w:lang w:eastAsia="zh-CN"/>
        </w:rPr>
        <w:t>.</w:t>
      </w:r>
      <w:r>
        <w:rPr>
          <w:rFonts w:hint="eastAsia" w:ascii="仿宋" w:hAnsi="仿宋" w:eastAsia="仿宋" w:cs="仿宋"/>
          <w:bCs/>
          <w:sz w:val="24"/>
          <w:szCs w:val="24"/>
          <w:highlight w:val="none"/>
        </w:rPr>
        <w:t>宣布评标纪律</w:t>
      </w:r>
      <w:r>
        <w:rPr>
          <w:rFonts w:hint="eastAsia" w:ascii="仿宋" w:hAnsi="仿宋" w:eastAsia="仿宋" w:cs="仿宋"/>
          <w:bCs/>
          <w:sz w:val="24"/>
          <w:szCs w:val="24"/>
          <w:highlight w:val="none"/>
          <w:lang w:eastAsia="zh-CN"/>
        </w:rPr>
        <w:t>。</w:t>
      </w:r>
    </w:p>
    <w:p w14:paraId="7680E167">
      <w:pPr>
        <w:snapToGrid w:val="0"/>
        <w:spacing w:line="360" w:lineRule="auto"/>
        <w:ind w:firstLine="480" w:firstLineChars="200"/>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rPr>
        <w:t>2</w:t>
      </w:r>
      <w:r>
        <w:rPr>
          <w:rFonts w:hint="eastAsia" w:ascii="仿宋" w:hAnsi="仿宋" w:eastAsia="仿宋" w:cs="仿宋"/>
          <w:bCs/>
          <w:sz w:val="24"/>
          <w:szCs w:val="24"/>
          <w:highlight w:val="none"/>
          <w:lang w:eastAsia="zh-CN"/>
        </w:rPr>
        <w:t>.</w:t>
      </w:r>
      <w:r>
        <w:rPr>
          <w:rFonts w:hint="eastAsia" w:ascii="仿宋" w:hAnsi="仿宋" w:eastAsia="仿宋" w:cs="仿宋"/>
          <w:bCs/>
          <w:sz w:val="24"/>
          <w:szCs w:val="24"/>
          <w:highlight w:val="none"/>
        </w:rPr>
        <w:t>公布投标人名单，告知评审专家应当回避的情形</w:t>
      </w:r>
      <w:r>
        <w:rPr>
          <w:rFonts w:hint="eastAsia" w:ascii="仿宋" w:hAnsi="仿宋" w:eastAsia="仿宋" w:cs="仿宋"/>
          <w:bCs/>
          <w:sz w:val="24"/>
          <w:szCs w:val="24"/>
          <w:highlight w:val="none"/>
          <w:lang w:eastAsia="zh-CN"/>
        </w:rPr>
        <w:t>。</w:t>
      </w:r>
    </w:p>
    <w:p w14:paraId="2BC749DC">
      <w:pPr>
        <w:snapToGrid w:val="0"/>
        <w:spacing w:line="360" w:lineRule="auto"/>
        <w:ind w:firstLine="480" w:firstLineChars="200"/>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rPr>
        <w:t>3</w:t>
      </w:r>
      <w:r>
        <w:rPr>
          <w:rFonts w:hint="eastAsia" w:ascii="仿宋" w:hAnsi="仿宋" w:eastAsia="仿宋" w:cs="仿宋"/>
          <w:bCs/>
          <w:sz w:val="24"/>
          <w:szCs w:val="24"/>
          <w:highlight w:val="none"/>
          <w:lang w:eastAsia="zh-CN"/>
        </w:rPr>
        <w:t>.</w:t>
      </w:r>
      <w:r>
        <w:rPr>
          <w:rFonts w:hint="eastAsia" w:ascii="仿宋" w:hAnsi="仿宋" w:eastAsia="仿宋" w:cs="仿宋"/>
          <w:bCs/>
          <w:sz w:val="24"/>
          <w:szCs w:val="24"/>
          <w:highlight w:val="none"/>
        </w:rPr>
        <w:t>组织评标委员会推选评标组长，</w:t>
      </w:r>
      <w:r>
        <w:rPr>
          <w:rFonts w:hint="eastAsia" w:ascii="仿宋" w:hAnsi="仿宋" w:eastAsia="仿宋" w:cs="仿宋"/>
          <w:bCs/>
          <w:sz w:val="24"/>
          <w:szCs w:val="24"/>
          <w:highlight w:val="none"/>
          <w:lang w:eastAsia="zh-CN"/>
        </w:rPr>
        <w:t>招标人</w:t>
      </w:r>
      <w:r>
        <w:rPr>
          <w:rFonts w:hint="eastAsia" w:ascii="仿宋" w:hAnsi="仿宋" w:eastAsia="仿宋" w:cs="仿宋"/>
          <w:bCs/>
          <w:sz w:val="24"/>
          <w:szCs w:val="24"/>
          <w:highlight w:val="none"/>
        </w:rPr>
        <w:t>代表不得担任组长</w:t>
      </w:r>
      <w:r>
        <w:rPr>
          <w:rFonts w:hint="eastAsia" w:ascii="仿宋" w:hAnsi="仿宋" w:eastAsia="仿宋" w:cs="仿宋"/>
          <w:bCs/>
          <w:sz w:val="24"/>
          <w:szCs w:val="24"/>
          <w:highlight w:val="none"/>
          <w:lang w:eastAsia="zh-CN"/>
        </w:rPr>
        <w:t>。</w:t>
      </w:r>
    </w:p>
    <w:p w14:paraId="5E4030EB">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4</w:t>
      </w:r>
      <w:r>
        <w:rPr>
          <w:rFonts w:hint="eastAsia" w:ascii="仿宋" w:hAnsi="仿宋" w:eastAsia="仿宋" w:cs="仿宋"/>
          <w:bCs/>
          <w:sz w:val="24"/>
          <w:szCs w:val="24"/>
          <w:highlight w:val="none"/>
          <w:lang w:eastAsia="zh-CN"/>
        </w:rPr>
        <w:t>.</w:t>
      </w:r>
      <w:r>
        <w:rPr>
          <w:rFonts w:hint="eastAsia" w:ascii="仿宋" w:hAnsi="仿宋" w:eastAsia="仿宋" w:cs="仿宋"/>
          <w:bCs/>
          <w:sz w:val="24"/>
          <w:szCs w:val="24"/>
          <w:highlight w:val="none"/>
        </w:rPr>
        <w:t>核对评审专家身份和</w:t>
      </w:r>
      <w:r>
        <w:rPr>
          <w:rFonts w:hint="eastAsia" w:ascii="仿宋" w:hAnsi="仿宋" w:eastAsia="仿宋" w:cs="仿宋"/>
          <w:bCs/>
          <w:sz w:val="24"/>
          <w:szCs w:val="24"/>
          <w:highlight w:val="none"/>
          <w:lang w:eastAsia="zh-CN"/>
        </w:rPr>
        <w:t>招标人</w:t>
      </w:r>
      <w:r>
        <w:rPr>
          <w:rFonts w:hint="eastAsia" w:ascii="仿宋" w:hAnsi="仿宋" w:eastAsia="仿宋" w:cs="仿宋"/>
          <w:bCs/>
          <w:sz w:val="24"/>
          <w:szCs w:val="24"/>
          <w:highlight w:val="none"/>
        </w:rPr>
        <w:t>代表授权函。</w:t>
      </w:r>
    </w:p>
    <w:p w14:paraId="71729279">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5</w:t>
      </w:r>
      <w:r>
        <w:rPr>
          <w:rFonts w:hint="eastAsia" w:ascii="仿宋" w:hAnsi="仿宋" w:eastAsia="仿宋" w:cs="仿宋"/>
          <w:bCs/>
          <w:sz w:val="24"/>
          <w:szCs w:val="24"/>
          <w:highlight w:val="none"/>
          <w:lang w:eastAsia="zh-CN"/>
        </w:rPr>
        <w:t>.</w:t>
      </w:r>
      <w:r>
        <w:rPr>
          <w:rFonts w:hint="eastAsia" w:ascii="仿宋" w:hAnsi="仿宋" w:eastAsia="仿宋" w:cs="仿宋"/>
          <w:bCs/>
          <w:sz w:val="24"/>
          <w:szCs w:val="24"/>
          <w:highlight w:val="none"/>
        </w:rPr>
        <w:t>开标结束后，</w:t>
      </w:r>
      <w:r>
        <w:rPr>
          <w:rFonts w:hint="eastAsia" w:ascii="仿宋" w:hAnsi="仿宋" w:eastAsia="仿宋" w:cs="仿宋"/>
          <w:bCs/>
          <w:sz w:val="24"/>
          <w:szCs w:val="24"/>
          <w:highlight w:val="none"/>
          <w:lang w:eastAsia="zh-CN"/>
        </w:rPr>
        <w:t>招标人</w:t>
      </w:r>
      <w:r>
        <w:rPr>
          <w:rFonts w:hint="eastAsia" w:ascii="仿宋" w:hAnsi="仿宋" w:eastAsia="仿宋" w:cs="仿宋"/>
          <w:bCs/>
          <w:sz w:val="24"/>
          <w:szCs w:val="24"/>
          <w:highlight w:val="none"/>
        </w:rPr>
        <w:t>或者</w:t>
      </w:r>
      <w:r>
        <w:rPr>
          <w:rFonts w:hint="eastAsia" w:ascii="仿宋" w:hAnsi="仿宋" w:eastAsia="仿宋" w:cs="仿宋"/>
          <w:bCs/>
          <w:sz w:val="24"/>
          <w:szCs w:val="24"/>
          <w:highlight w:val="none"/>
          <w:lang w:eastAsia="zh-CN"/>
        </w:rPr>
        <w:t>招标代理</w:t>
      </w:r>
      <w:r>
        <w:rPr>
          <w:rFonts w:hint="eastAsia" w:ascii="仿宋" w:hAnsi="仿宋" w:eastAsia="仿宋" w:cs="仿宋"/>
          <w:bCs/>
          <w:sz w:val="24"/>
          <w:szCs w:val="24"/>
          <w:highlight w:val="none"/>
        </w:rPr>
        <w:t>机构依法对投标人的资格进行审查。</w:t>
      </w:r>
    </w:p>
    <w:p w14:paraId="40CBA381">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6</w:t>
      </w:r>
      <w:r>
        <w:rPr>
          <w:rFonts w:hint="eastAsia" w:ascii="仿宋" w:hAnsi="仿宋" w:eastAsia="仿宋" w:cs="仿宋"/>
          <w:bCs/>
          <w:sz w:val="24"/>
          <w:szCs w:val="24"/>
          <w:highlight w:val="none"/>
          <w:lang w:eastAsia="zh-CN"/>
        </w:rPr>
        <w:t>.</w:t>
      </w:r>
      <w:r>
        <w:rPr>
          <w:rFonts w:hint="eastAsia" w:ascii="仿宋" w:hAnsi="仿宋" w:eastAsia="仿宋" w:cs="仿宋"/>
          <w:bCs/>
          <w:sz w:val="24"/>
          <w:szCs w:val="24"/>
          <w:highlight w:val="none"/>
        </w:rPr>
        <w:t>评标委员会对符合资格的投标人的投标文件进行符合性审查，以确定其是否满足招标文件的实质性要求。</w:t>
      </w:r>
    </w:p>
    <w:p w14:paraId="6C7F1431">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7</w:t>
      </w:r>
      <w:r>
        <w:rPr>
          <w:rFonts w:hint="eastAsia" w:ascii="仿宋" w:hAnsi="仿宋" w:eastAsia="仿宋" w:cs="仿宋"/>
          <w:bCs/>
          <w:sz w:val="24"/>
          <w:szCs w:val="24"/>
          <w:highlight w:val="none"/>
          <w:lang w:eastAsia="zh-CN"/>
        </w:rPr>
        <w:t>.</w:t>
      </w:r>
      <w:r>
        <w:rPr>
          <w:rFonts w:hint="eastAsia" w:ascii="仿宋" w:hAnsi="仿宋" w:eastAsia="仿宋" w:cs="仿宋"/>
          <w:bCs/>
          <w:sz w:val="24"/>
          <w:szCs w:val="24"/>
          <w:highlight w:val="none"/>
        </w:rPr>
        <w:t>出现下列情形之一的，视为对招标文件未做出实质性响应，按照无效投标处理。</w:t>
      </w:r>
    </w:p>
    <w:p w14:paraId="03919240">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详见《投标须知前附表》-《实质性条款一览表》中符合性检查条款。</w:t>
      </w:r>
    </w:p>
    <w:p w14:paraId="18BB1E87">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8</w:t>
      </w:r>
      <w:r>
        <w:rPr>
          <w:rFonts w:hint="eastAsia" w:ascii="仿宋" w:hAnsi="仿宋" w:eastAsia="仿宋" w:cs="仿宋"/>
          <w:bCs/>
          <w:sz w:val="24"/>
          <w:szCs w:val="24"/>
          <w:highlight w:val="none"/>
          <w:lang w:eastAsia="zh-CN"/>
        </w:rPr>
        <w:t>.</w:t>
      </w:r>
      <w:r>
        <w:rPr>
          <w:rFonts w:hint="eastAsia" w:ascii="仿宋" w:hAnsi="仿宋" w:eastAsia="仿宋" w:cs="仿宋"/>
          <w:bCs/>
          <w:sz w:val="24"/>
          <w:szCs w:val="24"/>
          <w:highlight w:val="none"/>
        </w:rPr>
        <w:t>属于无效投标的，投标人不能通过修正或撤销投标文件中不符合之处而成为实质性响应的投标，</w:t>
      </w:r>
      <w:r>
        <w:rPr>
          <w:rFonts w:hint="eastAsia" w:ascii="仿宋" w:hAnsi="仿宋" w:eastAsia="仿宋" w:cs="仿宋"/>
          <w:bCs/>
          <w:sz w:val="24"/>
          <w:szCs w:val="24"/>
          <w:highlight w:val="none"/>
          <w:lang w:eastAsia="zh-CN"/>
        </w:rPr>
        <w:t>招标代理</w:t>
      </w:r>
      <w:r>
        <w:rPr>
          <w:rFonts w:hint="eastAsia" w:ascii="仿宋" w:hAnsi="仿宋" w:eastAsia="仿宋" w:cs="仿宋"/>
          <w:bCs/>
          <w:sz w:val="24"/>
          <w:szCs w:val="24"/>
          <w:highlight w:val="none"/>
        </w:rPr>
        <w:t>将通知投标人，并说明无效投标理由；属于有效投标文件的，将进行下一轮次的询标和澄清、说明或补正。</w:t>
      </w:r>
    </w:p>
    <w:p w14:paraId="2C5CE491">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9.澄清、说明或者补正</w:t>
      </w:r>
    </w:p>
    <w:p w14:paraId="12BC89E5">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(1)对有效投标文件中含义不明确、同类问题前后表述不一致或者有明显文字和计算错误的内容，评标委员会可以书面形式要求投标人在规定的时间内作出必要的澄清、说明或者纠正，投标人应在要求的时间内以书面形式澄清、说明或者补正,并由其法定代表人或被授权人签字，且不得超出投标文件的范围或者改变投标文件的实质性内容。</w:t>
      </w:r>
    </w:p>
    <w:p w14:paraId="63D01D6D">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(2)投标人依据评审要求进行澄清、说明或者补正的内容构成投标文件的组成部分。</w:t>
      </w:r>
    </w:p>
    <w:p w14:paraId="67989FDF">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10.比较与评价</w:t>
      </w:r>
    </w:p>
    <w:p w14:paraId="4D498CA3">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评标委员会按招标文件中规定的评标方法和评标标准对有效投标文件的商务和技术进行评估，综合比较和评价，按综合得分高低列出中标候选人排序，若总分相同，以报价得分高的排前；若总分、价格得分都相同，则以投标技术方面得分高的排前。</w:t>
      </w:r>
    </w:p>
    <w:p w14:paraId="19139D57">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11.出现下列情况之一的，均予以废标</w:t>
      </w:r>
    </w:p>
    <w:p w14:paraId="072FD61D">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(1)合格的投标人或参加投标的企业不足三家的；</w:t>
      </w:r>
    </w:p>
    <w:p w14:paraId="675E227E">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(2)出现影响</w:t>
      </w:r>
      <w:r>
        <w:rPr>
          <w:rFonts w:hint="eastAsia" w:ascii="仿宋" w:hAnsi="仿宋" w:eastAsia="仿宋" w:cs="仿宋"/>
          <w:bCs/>
          <w:sz w:val="24"/>
          <w:szCs w:val="24"/>
          <w:highlight w:val="none"/>
          <w:lang w:val="en-US" w:eastAsia="zh-CN"/>
        </w:rPr>
        <w:t>招标</w:t>
      </w:r>
      <w:r>
        <w:rPr>
          <w:rFonts w:hint="eastAsia" w:ascii="仿宋" w:hAnsi="仿宋" w:eastAsia="仿宋" w:cs="仿宋"/>
          <w:bCs/>
          <w:sz w:val="24"/>
          <w:szCs w:val="24"/>
          <w:highlight w:val="none"/>
        </w:rPr>
        <w:t>公正的违法、违规行为的；</w:t>
      </w:r>
    </w:p>
    <w:p w14:paraId="2A01AC2C">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(3)投标人的报价均超过了预算上限价格，</w:t>
      </w:r>
      <w:r>
        <w:rPr>
          <w:rFonts w:hint="eastAsia" w:ascii="仿宋" w:hAnsi="仿宋" w:eastAsia="仿宋" w:cs="仿宋"/>
          <w:bCs/>
          <w:sz w:val="24"/>
          <w:szCs w:val="24"/>
          <w:highlight w:val="none"/>
          <w:lang w:eastAsia="zh-CN"/>
        </w:rPr>
        <w:t>招标人</w:t>
      </w:r>
      <w:r>
        <w:rPr>
          <w:rFonts w:hint="eastAsia" w:ascii="仿宋" w:hAnsi="仿宋" w:eastAsia="仿宋" w:cs="仿宋"/>
          <w:bCs/>
          <w:sz w:val="24"/>
          <w:szCs w:val="24"/>
          <w:highlight w:val="none"/>
        </w:rPr>
        <w:t>不能支付的；</w:t>
      </w:r>
    </w:p>
    <w:p w14:paraId="08858B07">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(4)因重大变故，</w:t>
      </w:r>
      <w:r>
        <w:rPr>
          <w:rFonts w:hint="eastAsia" w:ascii="仿宋" w:hAnsi="仿宋" w:eastAsia="仿宋" w:cs="仿宋"/>
          <w:bCs/>
          <w:sz w:val="24"/>
          <w:szCs w:val="24"/>
          <w:highlight w:val="none"/>
          <w:lang w:val="en-US" w:eastAsia="zh-CN"/>
        </w:rPr>
        <w:t>招标</w:t>
      </w:r>
      <w:r>
        <w:rPr>
          <w:rFonts w:hint="eastAsia" w:ascii="仿宋" w:hAnsi="仿宋" w:eastAsia="仿宋" w:cs="仿宋"/>
          <w:bCs/>
          <w:sz w:val="24"/>
          <w:szCs w:val="24"/>
          <w:highlight w:val="none"/>
        </w:rPr>
        <w:t>任务取消的。</w:t>
      </w:r>
    </w:p>
    <w:p w14:paraId="6028751D">
      <w:pPr>
        <w:snapToGrid w:val="0"/>
        <w:spacing w:line="360" w:lineRule="auto"/>
        <w:rPr>
          <w:rFonts w:ascii="仿宋" w:hAnsi="仿宋" w:eastAsia="仿宋" w:cs="仿宋"/>
          <w:b/>
          <w:sz w:val="24"/>
          <w:szCs w:val="24"/>
          <w:highlight w:val="none"/>
        </w:rPr>
      </w:pPr>
      <w:r>
        <w:rPr>
          <w:rFonts w:hint="eastAsia" w:ascii="仿宋" w:hAnsi="仿宋" w:eastAsia="仿宋" w:cs="仿宋"/>
          <w:b/>
          <w:sz w:val="24"/>
          <w:szCs w:val="24"/>
          <w:highlight w:val="none"/>
        </w:rPr>
        <w:t>三、评标方法</w:t>
      </w:r>
    </w:p>
    <w:p w14:paraId="06AFBBC1">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（1）评标方法：综合评分法，即投标人的投标文件满足招标文件全部实质性要求，对评审因素的量化指标进行打分。</w:t>
      </w:r>
    </w:p>
    <w:p w14:paraId="1FA7087D">
      <w:pPr>
        <w:snapToGrid w:val="0"/>
        <w:spacing w:line="360" w:lineRule="auto"/>
        <w:ind w:firstLine="480" w:firstLineChars="200"/>
        <w:rPr>
          <w:rFonts w:hint="eastAsia" w:ascii="仿宋" w:hAnsi="仿宋" w:eastAsia="仿宋" w:cs="仿宋"/>
          <w:bCs/>
          <w:sz w:val="24"/>
          <w:szCs w:val="24"/>
          <w:highlight w:val="none"/>
        </w:rPr>
      </w:pPr>
      <w:r>
        <w:rPr>
          <w:rFonts w:hint="eastAsia" w:ascii="仿宋" w:hAnsi="仿宋" w:eastAsia="仿宋" w:cs="仿宋"/>
          <w:bCs/>
          <w:sz w:val="24"/>
          <w:szCs w:val="24"/>
          <w:highlight w:val="none"/>
        </w:rPr>
        <w:t>（2）评标细则</w:t>
      </w:r>
    </w:p>
    <w:p w14:paraId="5A704555">
      <w:pPr>
        <w:pStyle w:val="13"/>
        <w:ind w:left="0" w:leftChars="0" w:firstLine="0" w:firstLineChars="0"/>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标包二：</w:t>
      </w:r>
    </w:p>
    <w:tbl>
      <w:tblPr>
        <w:tblStyle w:val="41"/>
        <w:tblW w:w="9063"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0" w:type="dxa"/>
          <w:bottom w:w="0" w:type="dxa"/>
          <w:right w:w="0" w:type="dxa"/>
        </w:tblCellMar>
      </w:tblPr>
      <w:tblGrid>
        <w:gridCol w:w="1996"/>
        <w:gridCol w:w="835"/>
        <w:gridCol w:w="6232"/>
      </w:tblGrid>
      <w:tr w14:paraId="131ED1A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356" w:hRule="atLeast"/>
          <w:jc w:val="center"/>
        </w:trPr>
        <w:tc>
          <w:tcPr>
            <w:tcW w:w="1996" w:type="dxa"/>
            <w:noWrap w:val="0"/>
            <w:vAlign w:val="center"/>
          </w:tcPr>
          <w:p w14:paraId="0AF46A27">
            <w:pPr>
              <w:keepNext w:val="0"/>
              <w:keepLines w:val="0"/>
              <w:pageBreakBefore w:val="0"/>
              <w:widowControl w:val="0"/>
              <w:kinsoku/>
              <w:wordWrap/>
              <w:overflowPunct/>
              <w:topLinePunct w:val="0"/>
              <w:autoSpaceDE/>
              <w:autoSpaceDN/>
              <w:bidi w:val="0"/>
              <w:adjustRightInd/>
              <w:snapToGrid w:val="0"/>
              <w:spacing w:line="400" w:lineRule="exact"/>
              <w:ind w:firstLine="240" w:firstLineChars="100"/>
              <w:jc w:val="center"/>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评审项目</w:t>
            </w:r>
          </w:p>
        </w:tc>
        <w:tc>
          <w:tcPr>
            <w:tcW w:w="835" w:type="dxa"/>
            <w:noWrap w:val="0"/>
            <w:vAlign w:val="center"/>
          </w:tcPr>
          <w:p w14:paraId="778B7FF9">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标准分</w:t>
            </w:r>
          </w:p>
        </w:tc>
        <w:tc>
          <w:tcPr>
            <w:tcW w:w="6232" w:type="dxa"/>
            <w:noWrap w:val="0"/>
            <w:vAlign w:val="center"/>
          </w:tcPr>
          <w:p w14:paraId="7CA59ED2">
            <w:pPr>
              <w:keepNext w:val="0"/>
              <w:keepLines w:val="0"/>
              <w:pageBreakBefore w:val="0"/>
              <w:widowControl w:val="0"/>
              <w:kinsoku/>
              <w:wordWrap/>
              <w:overflowPunct/>
              <w:topLinePunct w:val="0"/>
              <w:autoSpaceDE/>
              <w:autoSpaceDN/>
              <w:bidi w:val="0"/>
              <w:adjustRightInd/>
              <w:snapToGrid w:val="0"/>
              <w:spacing w:line="400" w:lineRule="exact"/>
              <w:ind w:firstLine="240" w:firstLineChars="100"/>
              <w:jc w:val="center"/>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评  分  标  准</w:t>
            </w:r>
          </w:p>
        </w:tc>
      </w:tr>
      <w:tr w14:paraId="08FE6E9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1424" w:hRule="atLeast"/>
          <w:jc w:val="center"/>
        </w:trPr>
        <w:tc>
          <w:tcPr>
            <w:tcW w:w="1996" w:type="dxa"/>
            <w:tcBorders>
              <w:right w:val="single" w:color="auto" w:sz="4" w:space="0"/>
            </w:tcBorders>
            <w:noWrap w:val="0"/>
            <w:vAlign w:val="center"/>
          </w:tcPr>
          <w:p w14:paraId="6A371017">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报价</w:t>
            </w:r>
          </w:p>
        </w:tc>
        <w:tc>
          <w:tcPr>
            <w:tcW w:w="835" w:type="dxa"/>
            <w:tcBorders>
              <w:top w:val="single" w:color="auto" w:sz="4" w:space="0"/>
              <w:left w:val="single" w:color="auto" w:sz="4" w:space="0"/>
            </w:tcBorders>
            <w:noWrap w:val="0"/>
            <w:vAlign w:val="center"/>
          </w:tcPr>
          <w:p w14:paraId="7CF5733E">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20</w:t>
            </w:r>
            <w:r>
              <w:rPr>
                <w:rFonts w:hint="eastAsia" w:ascii="仿宋" w:hAnsi="仿宋" w:eastAsia="仿宋" w:cs="仿宋"/>
                <w:kern w:val="0"/>
                <w:sz w:val="24"/>
                <w:szCs w:val="24"/>
                <w:highlight w:val="none"/>
              </w:rPr>
              <w:t>分</w:t>
            </w:r>
          </w:p>
        </w:tc>
        <w:tc>
          <w:tcPr>
            <w:tcW w:w="6232" w:type="dxa"/>
            <w:tcBorders>
              <w:top w:val="single" w:color="auto" w:sz="4" w:space="0"/>
              <w:bottom w:val="single" w:color="auto" w:sz="4" w:space="0"/>
            </w:tcBorders>
            <w:noWrap w:val="0"/>
            <w:vAlign w:val="center"/>
          </w:tcPr>
          <w:p w14:paraId="118A3645">
            <w:pPr>
              <w:pStyle w:val="13"/>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sz w:val="24"/>
                <w:szCs w:val="24"/>
                <w:highlight w:val="none"/>
              </w:rPr>
              <w:t>满足招标文件要求且投标折扣最低的折扣为评标基准</w:t>
            </w:r>
            <w:r>
              <w:rPr>
                <w:rFonts w:hint="eastAsia" w:ascii="仿宋" w:hAnsi="仿宋" w:eastAsia="仿宋" w:cs="仿宋"/>
                <w:sz w:val="24"/>
                <w:szCs w:val="24"/>
                <w:highlight w:val="none"/>
                <w:lang w:val="en-US" w:eastAsia="zh-CN"/>
              </w:rPr>
              <w:t>价</w:t>
            </w:r>
            <w:r>
              <w:rPr>
                <w:rFonts w:hint="eastAsia" w:ascii="仿宋" w:hAnsi="仿宋" w:eastAsia="仿宋" w:cs="仿宋"/>
                <w:sz w:val="24"/>
                <w:szCs w:val="24"/>
                <w:highlight w:val="none"/>
              </w:rPr>
              <w:t>，其</w:t>
            </w:r>
            <w:r>
              <w:rPr>
                <w:rFonts w:hint="eastAsia" w:ascii="仿宋" w:hAnsi="仿宋" w:eastAsia="仿宋" w:cs="仿宋"/>
                <w:sz w:val="24"/>
                <w:szCs w:val="24"/>
                <w:highlight w:val="none"/>
                <w:lang w:val="en-US" w:eastAsia="zh-CN"/>
              </w:rPr>
              <w:t>价格</w:t>
            </w:r>
            <w:r>
              <w:rPr>
                <w:rFonts w:hint="eastAsia" w:ascii="仿宋" w:hAnsi="仿宋" w:eastAsia="仿宋" w:cs="仿宋"/>
                <w:sz w:val="24"/>
                <w:szCs w:val="24"/>
                <w:highlight w:val="none"/>
              </w:rPr>
              <w:t>为满分（标准分）。其他投标人的</w:t>
            </w:r>
            <w:r>
              <w:rPr>
                <w:rFonts w:hint="eastAsia" w:ascii="仿宋" w:hAnsi="仿宋" w:eastAsia="仿宋" w:cs="仿宋"/>
                <w:sz w:val="24"/>
                <w:szCs w:val="24"/>
                <w:highlight w:val="none"/>
                <w:lang w:val="en-US" w:eastAsia="zh-CN"/>
              </w:rPr>
              <w:t>报价得分</w:t>
            </w:r>
            <w:r>
              <w:rPr>
                <w:rFonts w:hint="eastAsia" w:ascii="仿宋" w:hAnsi="仿宋" w:eastAsia="仿宋" w:cs="仿宋"/>
                <w:sz w:val="24"/>
                <w:szCs w:val="24"/>
                <w:highlight w:val="none"/>
              </w:rPr>
              <w:t>统一按照下列公式计算：</w:t>
            </w:r>
            <w:r>
              <w:rPr>
                <w:rFonts w:hint="eastAsia" w:ascii="仿宋" w:hAnsi="仿宋" w:eastAsia="仿宋" w:cs="仿宋"/>
                <w:sz w:val="24"/>
                <w:szCs w:val="24"/>
                <w:highlight w:val="none"/>
                <w:lang w:val="en-US" w:eastAsia="zh-CN"/>
              </w:rPr>
              <w:t>报价得分</w:t>
            </w:r>
            <w:r>
              <w:rPr>
                <w:rFonts w:hint="eastAsia" w:ascii="仿宋" w:hAnsi="仿宋" w:eastAsia="仿宋" w:cs="仿宋"/>
                <w:sz w:val="24"/>
                <w:szCs w:val="24"/>
                <w:highlight w:val="none"/>
              </w:rPr>
              <w:t>=(评标基准</w:t>
            </w:r>
            <w:r>
              <w:rPr>
                <w:rFonts w:hint="eastAsia" w:ascii="仿宋" w:hAnsi="仿宋" w:eastAsia="仿宋" w:cs="仿宋"/>
                <w:sz w:val="24"/>
                <w:szCs w:val="24"/>
                <w:highlight w:val="none"/>
                <w:lang w:val="en-US" w:eastAsia="zh-CN"/>
              </w:rPr>
              <w:t>价</w:t>
            </w:r>
            <w:r>
              <w:rPr>
                <w:rFonts w:hint="eastAsia" w:ascii="仿宋" w:hAnsi="仿宋" w:eastAsia="仿宋" w:cs="仿宋"/>
                <w:sz w:val="24"/>
                <w:szCs w:val="24"/>
                <w:highlight w:val="none"/>
              </w:rPr>
              <w:t>／投标折扣)×20。</w:t>
            </w:r>
          </w:p>
        </w:tc>
      </w:tr>
      <w:tr w14:paraId="727A9EE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268" w:hRule="atLeast"/>
          <w:jc w:val="center"/>
        </w:trPr>
        <w:tc>
          <w:tcPr>
            <w:tcW w:w="1996" w:type="dxa"/>
            <w:tcBorders>
              <w:right w:val="single" w:color="auto" w:sz="4" w:space="0"/>
            </w:tcBorders>
            <w:noWrap w:val="0"/>
            <w:vAlign w:val="center"/>
          </w:tcPr>
          <w:p w14:paraId="42432224">
            <w:pPr>
              <w:keepNext w:val="0"/>
              <w:keepLines w:val="0"/>
              <w:pageBreakBefore w:val="0"/>
              <w:widowControl w:val="0"/>
              <w:kinsoku/>
              <w:wordWrap/>
              <w:overflowPunct/>
              <w:topLinePunct w:val="0"/>
              <w:autoSpaceDE/>
              <w:autoSpaceDN/>
              <w:bidi w:val="0"/>
              <w:adjustRightInd/>
              <w:snapToGrid w:val="0"/>
              <w:spacing w:line="400" w:lineRule="exact"/>
              <w:ind w:firstLine="240" w:firstLineChars="100"/>
              <w:jc w:val="center"/>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业绩</w:t>
            </w:r>
          </w:p>
        </w:tc>
        <w:tc>
          <w:tcPr>
            <w:tcW w:w="835" w:type="dxa"/>
            <w:tcBorders>
              <w:top w:val="single" w:color="auto" w:sz="4" w:space="0"/>
              <w:left w:val="single" w:color="auto" w:sz="4" w:space="0"/>
              <w:bottom w:val="single" w:color="auto" w:sz="4" w:space="0"/>
            </w:tcBorders>
            <w:noWrap w:val="0"/>
            <w:vAlign w:val="center"/>
          </w:tcPr>
          <w:p w14:paraId="02AA9734">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lang w:val="en-US" w:eastAsia="zh-CN"/>
              </w:rPr>
              <w:t>5</w:t>
            </w:r>
            <w:r>
              <w:rPr>
                <w:rFonts w:hint="eastAsia" w:ascii="仿宋" w:hAnsi="仿宋" w:eastAsia="仿宋" w:cs="仿宋"/>
                <w:kern w:val="0"/>
                <w:sz w:val="24"/>
                <w:szCs w:val="24"/>
                <w:highlight w:val="none"/>
              </w:rPr>
              <w:t>分</w:t>
            </w:r>
          </w:p>
        </w:tc>
        <w:tc>
          <w:tcPr>
            <w:tcW w:w="6232" w:type="dxa"/>
            <w:tcBorders>
              <w:top w:val="single" w:color="auto" w:sz="4" w:space="0"/>
              <w:bottom w:val="single" w:color="auto" w:sz="4" w:space="0"/>
            </w:tcBorders>
            <w:noWrap w:val="0"/>
            <w:vAlign w:val="center"/>
          </w:tcPr>
          <w:p w14:paraId="1B026FFA">
            <w:pPr>
              <w:pStyle w:val="13"/>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仿宋" w:hAnsi="仿宋" w:eastAsia="仿宋" w:cs="仿宋"/>
                <w:kern w:val="0"/>
                <w:sz w:val="24"/>
                <w:szCs w:val="24"/>
                <w:highlight w:val="none"/>
              </w:rPr>
            </w:pPr>
            <w:r>
              <w:rPr>
                <w:rFonts w:hint="eastAsia" w:ascii="仿宋" w:hAnsi="仿宋" w:eastAsia="仿宋" w:cs="仿宋"/>
                <w:sz w:val="24"/>
                <w:szCs w:val="24"/>
                <w:highlight w:val="none"/>
              </w:rPr>
              <w:t>投标人自20</w:t>
            </w:r>
            <w:r>
              <w:rPr>
                <w:rFonts w:hint="eastAsia" w:ascii="仿宋" w:hAnsi="仿宋" w:eastAsia="仿宋" w:cs="仿宋"/>
                <w:sz w:val="24"/>
                <w:szCs w:val="24"/>
                <w:highlight w:val="none"/>
                <w:lang w:val="en-US" w:eastAsia="zh-CN"/>
              </w:rPr>
              <w:t>23</w:t>
            </w:r>
            <w:r>
              <w:rPr>
                <w:rFonts w:hint="eastAsia" w:ascii="仿宋" w:hAnsi="仿宋" w:eastAsia="仿宋" w:cs="仿宋"/>
                <w:sz w:val="24"/>
                <w:szCs w:val="24"/>
                <w:highlight w:val="none"/>
              </w:rPr>
              <w:t>年1月1日至今有同类项目业绩的，每提供一项业绩得1分，最高得5分。（须提供业绩合同书扫描件并加盖公章）</w:t>
            </w:r>
          </w:p>
        </w:tc>
      </w:tr>
      <w:tr w14:paraId="276B359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666" w:hRule="atLeast"/>
          <w:jc w:val="center"/>
        </w:trPr>
        <w:tc>
          <w:tcPr>
            <w:tcW w:w="1996" w:type="dxa"/>
            <w:tcBorders>
              <w:right w:val="single" w:color="auto" w:sz="4" w:space="0"/>
            </w:tcBorders>
            <w:noWrap w:val="0"/>
            <w:vAlign w:val="center"/>
          </w:tcPr>
          <w:p w14:paraId="559AF040">
            <w:pPr>
              <w:pStyle w:val="13"/>
              <w:keepNext w:val="0"/>
              <w:keepLines w:val="0"/>
              <w:pageBreakBefore w:val="0"/>
              <w:widowControl w:val="0"/>
              <w:kinsoku/>
              <w:wordWrap/>
              <w:overflowPunct/>
              <w:topLinePunct w:val="0"/>
              <w:autoSpaceDE/>
              <w:autoSpaceDN/>
              <w:bidi w:val="0"/>
              <w:adjustRightInd/>
              <w:snapToGrid w:val="0"/>
              <w:spacing w:line="400" w:lineRule="exact"/>
              <w:ind w:left="0" w:leftChars="0" w:firstLine="0" w:firstLineChars="0"/>
              <w:jc w:val="center"/>
              <w:textAlignment w:val="auto"/>
              <w:rPr>
                <w:rFonts w:hint="eastAsia" w:ascii="仿宋" w:hAnsi="仿宋" w:eastAsia="仿宋" w:cs="仿宋"/>
                <w:kern w:val="0"/>
                <w:sz w:val="24"/>
                <w:szCs w:val="24"/>
                <w:highlight w:val="none"/>
                <w:lang w:val="en-US" w:eastAsia="zh-CN"/>
              </w:rPr>
            </w:pPr>
            <w:r>
              <w:rPr>
                <w:rFonts w:hint="eastAsia" w:ascii="仿宋" w:hAnsi="仿宋" w:eastAsia="仿宋" w:cs="仿宋"/>
                <w:sz w:val="24"/>
                <w:szCs w:val="24"/>
                <w:highlight w:val="none"/>
              </w:rPr>
              <w:t>油品来源及质量保证措施</w:t>
            </w:r>
          </w:p>
        </w:tc>
        <w:tc>
          <w:tcPr>
            <w:tcW w:w="835" w:type="dxa"/>
            <w:tcBorders>
              <w:top w:val="single" w:color="auto" w:sz="4" w:space="0"/>
              <w:left w:val="single" w:color="auto" w:sz="4" w:space="0"/>
            </w:tcBorders>
            <w:noWrap w:val="0"/>
            <w:vAlign w:val="center"/>
          </w:tcPr>
          <w:p w14:paraId="4C4A16A1">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15分</w:t>
            </w:r>
          </w:p>
        </w:tc>
        <w:tc>
          <w:tcPr>
            <w:tcW w:w="6232" w:type="dxa"/>
            <w:tcBorders>
              <w:top w:val="single" w:color="auto" w:sz="4" w:space="0"/>
            </w:tcBorders>
            <w:noWrap w:val="0"/>
            <w:vAlign w:val="center"/>
          </w:tcPr>
          <w:p w14:paraId="6F1E474C">
            <w:pPr>
              <w:pStyle w:val="13"/>
              <w:keepNext w:val="0"/>
              <w:keepLines w:val="0"/>
              <w:pageBreakBefore w:val="0"/>
              <w:widowControl w:val="0"/>
              <w:kinsoku/>
              <w:wordWrap/>
              <w:overflowPunct/>
              <w:topLinePunct w:val="0"/>
              <w:autoSpaceDE/>
              <w:autoSpaceDN/>
              <w:bidi w:val="0"/>
              <w:adjustRightInd/>
              <w:snapToGrid w:val="0"/>
              <w:spacing w:line="400" w:lineRule="exact"/>
              <w:ind w:firstLine="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由评委审核各投标人的投标文件后根据以下标准进行打分：</w:t>
            </w:r>
          </w:p>
          <w:p w14:paraId="292A7EDE">
            <w:pPr>
              <w:pStyle w:val="13"/>
              <w:keepNext w:val="0"/>
              <w:keepLines w:val="0"/>
              <w:pageBreakBefore w:val="0"/>
              <w:widowControl w:val="0"/>
              <w:kinsoku/>
              <w:wordWrap/>
              <w:overflowPunct/>
              <w:topLinePunct w:val="0"/>
              <w:autoSpaceDE/>
              <w:autoSpaceDN/>
              <w:bidi w:val="0"/>
              <w:adjustRightInd/>
              <w:snapToGrid w:val="0"/>
              <w:spacing w:line="400" w:lineRule="exact"/>
              <w:ind w:firstLine="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【11分-15分】：投标人提报的油品来源好，质量保证措施完善性、可行性较高。</w:t>
            </w:r>
          </w:p>
          <w:p w14:paraId="0216A40D">
            <w:pPr>
              <w:pStyle w:val="13"/>
              <w:keepNext w:val="0"/>
              <w:keepLines w:val="0"/>
              <w:pageBreakBefore w:val="0"/>
              <w:widowControl w:val="0"/>
              <w:kinsoku/>
              <w:wordWrap/>
              <w:overflowPunct/>
              <w:topLinePunct w:val="0"/>
              <w:autoSpaceDE/>
              <w:autoSpaceDN/>
              <w:bidi w:val="0"/>
              <w:adjustRightInd/>
              <w:snapToGrid w:val="0"/>
              <w:spacing w:line="400" w:lineRule="exact"/>
              <w:ind w:firstLine="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【6分-10分】：投标人提报的油品来源较好，质量保证措施完善性、可行性一般。</w:t>
            </w:r>
          </w:p>
          <w:p w14:paraId="083E6498">
            <w:pPr>
              <w:pStyle w:val="13"/>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仿宋" w:hAnsi="仿宋" w:eastAsia="仿宋" w:cs="仿宋"/>
                <w:kern w:val="0"/>
                <w:sz w:val="24"/>
                <w:szCs w:val="24"/>
                <w:highlight w:val="none"/>
                <w:lang w:val="en-US" w:eastAsia="zh-CN"/>
              </w:rPr>
            </w:pPr>
            <w:r>
              <w:rPr>
                <w:rFonts w:hint="eastAsia" w:ascii="仿宋" w:hAnsi="仿宋" w:eastAsia="仿宋" w:cs="仿宋"/>
                <w:sz w:val="24"/>
                <w:szCs w:val="24"/>
                <w:highlight w:val="none"/>
              </w:rPr>
              <w:t>【1分-5分】：投标人提报的油品来一般，质量保证措施完善性、可行性一般，存在瑕疵。</w:t>
            </w:r>
          </w:p>
        </w:tc>
      </w:tr>
      <w:tr w14:paraId="48751536">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311" w:hRule="atLeast"/>
          <w:jc w:val="center"/>
        </w:trPr>
        <w:tc>
          <w:tcPr>
            <w:tcW w:w="1996" w:type="dxa"/>
            <w:tcBorders>
              <w:right w:val="single" w:color="auto" w:sz="4" w:space="0"/>
            </w:tcBorders>
            <w:shd w:val="clear" w:color="auto" w:fill="auto"/>
            <w:noWrap w:val="0"/>
            <w:vAlign w:val="center"/>
          </w:tcPr>
          <w:p w14:paraId="329ACCEF">
            <w:pPr>
              <w:pStyle w:val="13"/>
              <w:keepNext w:val="0"/>
              <w:keepLines w:val="0"/>
              <w:pageBreakBefore w:val="0"/>
              <w:widowControl w:val="0"/>
              <w:kinsoku/>
              <w:wordWrap/>
              <w:overflowPunct/>
              <w:topLinePunct w:val="0"/>
              <w:autoSpaceDE/>
              <w:autoSpaceDN/>
              <w:bidi w:val="0"/>
              <w:adjustRightInd/>
              <w:snapToGrid w:val="0"/>
              <w:spacing w:line="400" w:lineRule="exact"/>
              <w:ind w:left="0" w:leftChars="0" w:firstLine="0" w:firstLineChars="0"/>
              <w:jc w:val="center"/>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sz w:val="24"/>
                <w:highlight w:val="none"/>
              </w:rPr>
              <w:t>加油网点布局情况、位置及规模</w:t>
            </w:r>
          </w:p>
        </w:tc>
        <w:tc>
          <w:tcPr>
            <w:tcW w:w="835" w:type="dxa"/>
            <w:tcBorders>
              <w:top w:val="single" w:color="auto" w:sz="4" w:space="0"/>
              <w:left w:val="single" w:color="auto" w:sz="4" w:space="0"/>
            </w:tcBorders>
            <w:noWrap w:val="0"/>
            <w:vAlign w:val="center"/>
          </w:tcPr>
          <w:p w14:paraId="7A7FFA7D">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25分</w:t>
            </w:r>
          </w:p>
        </w:tc>
        <w:tc>
          <w:tcPr>
            <w:tcW w:w="6232" w:type="dxa"/>
            <w:tcBorders>
              <w:top w:val="single" w:color="auto" w:sz="4" w:space="0"/>
            </w:tcBorders>
            <w:shd w:val="clear" w:color="auto" w:fill="auto"/>
            <w:noWrap w:val="0"/>
            <w:vAlign w:val="center"/>
          </w:tcPr>
          <w:p w14:paraId="371B4650">
            <w:pPr>
              <w:pStyle w:val="13"/>
              <w:keepNext w:val="0"/>
              <w:keepLines w:val="0"/>
              <w:pageBreakBefore w:val="0"/>
              <w:widowControl w:val="0"/>
              <w:kinsoku/>
              <w:wordWrap/>
              <w:overflowPunct/>
              <w:topLinePunct w:val="0"/>
              <w:autoSpaceDE/>
              <w:autoSpaceDN/>
              <w:bidi w:val="0"/>
              <w:adjustRightInd/>
              <w:snapToGrid w:val="0"/>
              <w:spacing w:line="400" w:lineRule="exact"/>
              <w:ind w:firstLine="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由评委审核各投标人的投标文件后根据以下标准进行打分：</w:t>
            </w:r>
          </w:p>
          <w:p w14:paraId="6360EE66">
            <w:pPr>
              <w:pStyle w:val="13"/>
              <w:keepNext w:val="0"/>
              <w:keepLines w:val="0"/>
              <w:pageBreakBefore w:val="0"/>
              <w:widowControl w:val="0"/>
              <w:kinsoku/>
              <w:wordWrap/>
              <w:overflowPunct/>
              <w:topLinePunct w:val="0"/>
              <w:autoSpaceDE/>
              <w:autoSpaceDN/>
              <w:bidi w:val="0"/>
              <w:adjustRightInd/>
              <w:snapToGrid w:val="0"/>
              <w:spacing w:line="400" w:lineRule="exact"/>
              <w:ind w:firstLine="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【17分-25分】：投标人的加油网点数量多</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全部或大部分为直营网点，</w:t>
            </w:r>
            <w:r>
              <w:rPr>
                <w:rFonts w:hint="eastAsia" w:ascii="仿宋" w:hAnsi="仿宋" w:eastAsia="仿宋" w:cs="仿宋"/>
                <w:sz w:val="24"/>
                <w:szCs w:val="24"/>
                <w:highlight w:val="none"/>
              </w:rPr>
              <w:t>覆盖山东省所有地级市</w:t>
            </w:r>
            <w:r>
              <w:rPr>
                <w:rFonts w:hint="eastAsia" w:ascii="仿宋" w:hAnsi="仿宋" w:eastAsia="仿宋" w:cs="仿宋"/>
                <w:sz w:val="24"/>
                <w:szCs w:val="24"/>
                <w:highlight w:val="none"/>
                <w:lang w:eastAsia="zh-CN"/>
              </w:rPr>
              <w:t>，在</w:t>
            </w:r>
            <w:r>
              <w:rPr>
                <w:rFonts w:hint="eastAsia" w:ascii="仿宋" w:hAnsi="仿宋" w:eastAsia="仿宋" w:cs="仿宋"/>
                <w:sz w:val="24"/>
                <w:szCs w:val="24"/>
                <w:highlight w:val="none"/>
                <w:lang w:val="en-US" w:eastAsia="zh-CN"/>
              </w:rPr>
              <w:t>主城区、</w:t>
            </w:r>
            <w:r>
              <w:rPr>
                <w:rFonts w:hint="eastAsia" w:ascii="仿宋" w:hAnsi="仿宋" w:eastAsia="仿宋" w:cs="仿宋"/>
                <w:sz w:val="24"/>
                <w:szCs w:val="24"/>
                <w:highlight w:val="none"/>
              </w:rPr>
              <w:t>高速服务区、重点交通枢纽站点密集</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，所处地理位置优越、交通便利、有突出的位置和配套优势。</w:t>
            </w:r>
          </w:p>
          <w:p w14:paraId="1EFB7FCB">
            <w:pPr>
              <w:pStyle w:val="13"/>
              <w:keepNext w:val="0"/>
              <w:keepLines w:val="0"/>
              <w:pageBreakBefore w:val="0"/>
              <w:widowControl w:val="0"/>
              <w:kinsoku/>
              <w:wordWrap/>
              <w:overflowPunct/>
              <w:topLinePunct w:val="0"/>
              <w:autoSpaceDE/>
              <w:autoSpaceDN/>
              <w:bidi w:val="0"/>
              <w:adjustRightInd/>
              <w:snapToGrid w:val="0"/>
              <w:spacing w:line="400" w:lineRule="exact"/>
              <w:ind w:firstLine="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【9分-16分】：投标人加油网点数量较多</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其中直营网点较多，不能完全</w:t>
            </w:r>
            <w:r>
              <w:rPr>
                <w:rFonts w:hint="eastAsia" w:ascii="仿宋" w:hAnsi="仿宋" w:eastAsia="仿宋" w:cs="仿宋"/>
                <w:sz w:val="24"/>
                <w:szCs w:val="24"/>
                <w:highlight w:val="none"/>
              </w:rPr>
              <w:t>覆盖山东省所有地级市</w:t>
            </w:r>
            <w:r>
              <w:rPr>
                <w:rFonts w:hint="eastAsia" w:ascii="仿宋" w:hAnsi="仿宋" w:eastAsia="仿宋" w:cs="仿宋"/>
                <w:sz w:val="24"/>
                <w:szCs w:val="24"/>
                <w:highlight w:val="none"/>
                <w:lang w:eastAsia="zh-CN"/>
              </w:rPr>
              <w:t>，在</w:t>
            </w:r>
            <w:r>
              <w:rPr>
                <w:rFonts w:hint="eastAsia" w:ascii="仿宋" w:hAnsi="仿宋" w:eastAsia="仿宋" w:cs="仿宋"/>
                <w:sz w:val="24"/>
                <w:szCs w:val="24"/>
                <w:highlight w:val="none"/>
                <w:lang w:val="en-US" w:eastAsia="zh-CN"/>
              </w:rPr>
              <w:t>主城区、</w:t>
            </w:r>
            <w:r>
              <w:rPr>
                <w:rFonts w:hint="eastAsia" w:ascii="仿宋" w:hAnsi="仿宋" w:eastAsia="仿宋" w:cs="仿宋"/>
                <w:sz w:val="24"/>
                <w:szCs w:val="24"/>
                <w:highlight w:val="none"/>
              </w:rPr>
              <w:t>高速服务区、重点交通枢纽站点</w:t>
            </w:r>
            <w:r>
              <w:rPr>
                <w:rFonts w:hint="eastAsia" w:ascii="仿宋" w:hAnsi="仿宋" w:eastAsia="仿宋" w:cs="仿宋"/>
                <w:sz w:val="24"/>
                <w:szCs w:val="24"/>
                <w:highlight w:val="none"/>
                <w:lang w:val="en-US" w:eastAsia="zh-CN"/>
              </w:rPr>
              <w:t>稀疏</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，所处地理位置及环境较好，交通较方便，能够较好的满足定点加油服务的要求。</w:t>
            </w:r>
          </w:p>
          <w:p w14:paraId="562FD0E9">
            <w:pPr>
              <w:pStyle w:val="13"/>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【1分-8分】：投标人的加油网点数量、布局及地理位置等情况，</w:t>
            </w:r>
            <w:r>
              <w:rPr>
                <w:rFonts w:hint="eastAsia" w:ascii="仿宋" w:hAnsi="仿宋" w:eastAsia="仿宋" w:cs="仿宋"/>
                <w:sz w:val="24"/>
                <w:szCs w:val="24"/>
                <w:highlight w:val="none"/>
                <w:lang w:val="en-US" w:eastAsia="zh-CN"/>
              </w:rPr>
              <w:t>无法</w:t>
            </w:r>
            <w:r>
              <w:rPr>
                <w:rFonts w:hint="eastAsia" w:ascii="仿宋" w:hAnsi="仿宋" w:eastAsia="仿宋" w:cs="仿宋"/>
                <w:sz w:val="24"/>
                <w:szCs w:val="24"/>
                <w:highlight w:val="none"/>
              </w:rPr>
              <w:t>满足采购人车辆日常、跨区域、应急加油需求。</w:t>
            </w:r>
          </w:p>
        </w:tc>
      </w:tr>
      <w:tr w14:paraId="1F6E5223">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666" w:hRule="atLeast"/>
          <w:jc w:val="center"/>
        </w:trPr>
        <w:tc>
          <w:tcPr>
            <w:tcW w:w="1996" w:type="dxa"/>
            <w:tcBorders>
              <w:right w:val="single" w:color="auto" w:sz="4" w:space="0"/>
            </w:tcBorders>
            <w:shd w:val="clear" w:color="auto" w:fill="auto"/>
            <w:noWrap w:val="0"/>
            <w:vAlign w:val="center"/>
          </w:tcPr>
          <w:p w14:paraId="7BCAB863">
            <w:pPr>
              <w:pStyle w:val="13"/>
              <w:keepNext w:val="0"/>
              <w:keepLines w:val="0"/>
              <w:pageBreakBefore w:val="0"/>
              <w:widowControl w:val="0"/>
              <w:kinsoku/>
              <w:wordWrap/>
              <w:overflowPunct/>
              <w:topLinePunct w:val="0"/>
              <w:autoSpaceDE/>
              <w:autoSpaceDN/>
              <w:bidi w:val="0"/>
              <w:adjustRightInd/>
              <w:snapToGrid w:val="0"/>
              <w:spacing w:line="400" w:lineRule="exact"/>
              <w:ind w:left="0" w:leftChars="0" w:firstLine="0" w:firstLineChars="0"/>
              <w:jc w:val="center"/>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sz w:val="24"/>
                <w:highlight w:val="none"/>
              </w:rPr>
              <w:t>加油服务软硬件设备、设施状况</w:t>
            </w:r>
          </w:p>
        </w:tc>
        <w:tc>
          <w:tcPr>
            <w:tcW w:w="835" w:type="dxa"/>
            <w:tcBorders>
              <w:top w:val="single" w:color="auto" w:sz="4" w:space="0"/>
              <w:left w:val="single" w:color="auto" w:sz="4" w:space="0"/>
            </w:tcBorders>
            <w:noWrap w:val="0"/>
            <w:vAlign w:val="center"/>
          </w:tcPr>
          <w:p w14:paraId="03C77DD1">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20分</w:t>
            </w:r>
          </w:p>
        </w:tc>
        <w:tc>
          <w:tcPr>
            <w:tcW w:w="6232" w:type="dxa"/>
            <w:tcBorders>
              <w:top w:val="single" w:color="auto" w:sz="4" w:space="0"/>
            </w:tcBorders>
            <w:shd w:val="clear" w:color="auto" w:fill="auto"/>
            <w:noWrap w:val="0"/>
            <w:vAlign w:val="center"/>
          </w:tcPr>
          <w:p w14:paraId="1B90BF83">
            <w:pPr>
              <w:pStyle w:val="13"/>
              <w:keepNext w:val="0"/>
              <w:keepLines w:val="0"/>
              <w:pageBreakBefore w:val="0"/>
              <w:widowControl w:val="0"/>
              <w:kinsoku/>
              <w:wordWrap/>
              <w:overflowPunct/>
              <w:topLinePunct w:val="0"/>
              <w:autoSpaceDE/>
              <w:autoSpaceDN/>
              <w:bidi w:val="0"/>
              <w:adjustRightInd/>
              <w:snapToGrid w:val="0"/>
              <w:spacing w:line="400" w:lineRule="exact"/>
              <w:ind w:firstLine="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由评委审核各投标人的投标文件后根据以下标准按进行打分：</w:t>
            </w:r>
          </w:p>
          <w:p w14:paraId="4CC2D7FC">
            <w:pPr>
              <w:pStyle w:val="13"/>
              <w:keepNext w:val="0"/>
              <w:keepLines w:val="0"/>
              <w:pageBreakBefore w:val="0"/>
              <w:widowControl w:val="0"/>
              <w:kinsoku/>
              <w:wordWrap/>
              <w:overflowPunct/>
              <w:topLinePunct w:val="0"/>
              <w:autoSpaceDE/>
              <w:autoSpaceDN/>
              <w:bidi w:val="0"/>
              <w:adjustRightInd/>
              <w:snapToGrid w:val="0"/>
              <w:spacing w:line="400" w:lineRule="exact"/>
              <w:ind w:firstLine="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【15分-20分】：投标人的软、硬件服务设施完备，智能化管理系统先进，网络硬件配备完善，采用加油IC卡方式，</w:t>
            </w:r>
            <w:r>
              <w:rPr>
                <w:rFonts w:hint="eastAsia" w:ascii="仿宋" w:hAnsi="仿宋" w:eastAsia="仿宋" w:cs="仿宋"/>
                <w:sz w:val="24"/>
                <w:szCs w:val="24"/>
                <w:highlight w:val="none"/>
                <w:lang w:eastAsia="zh-CN"/>
              </w:rPr>
              <w:t>并实行联网统计、加油数据实时同步、台账可查、账目清晰，</w:t>
            </w:r>
            <w:r>
              <w:rPr>
                <w:rFonts w:hint="eastAsia" w:ascii="仿宋" w:hAnsi="仿宋" w:eastAsia="仿宋" w:cs="仿宋"/>
                <w:sz w:val="24"/>
                <w:szCs w:val="24"/>
                <w:highlight w:val="none"/>
              </w:rPr>
              <w:t>有突出的软硬件优势。</w:t>
            </w:r>
          </w:p>
          <w:p w14:paraId="645AF33F">
            <w:pPr>
              <w:pStyle w:val="13"/>
              <w:keepNext w:val="0"/>
              <w:keepLines w:val="0"/>
              <w:pageBreakBefore w:val="0"/>
              <w:widowControl w:val="0"/>
              <w:kinsoku/>
              <w:wordWrap/>
              <w:overflowPunct/>
              <w:topLinePunct w:val="0"/>
              <w:autoSpaceDE/>
              <w:autoSpaceDN/>
              <w:bidi w:val="0"/>
              <w:adjustRightInd/>
              <w:snapToGrid w:val="0"/>
              <w:spacing w:line="400" w:lineRule="exact"/>
              <w:ind w:firstLine="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【7分-14分】：投标人的软、硬件服务设施齐全，智能化管理系统完备，网络硬件配备得当。</w:t>
            </w:r>
          </w:p>
          <w:p w14:paraId="6B8991CC">
            <w:pPr>
              <w:pStyle w:val="13"/>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sz w:val="24"/>
                <w:szCs w:val="24"/>
                <w:highlight w:val="none"/>
              </w:rPr>
              <w:t>【1分-6分】：投标人的软、硬件服务设施及智能化管理系统、网络硬件配备等情况能基本满足定点加油服务的要求。</w:t>
            </w:r>
          </w:p>
        </w:tc>
      </w:tr>
      <w:tr w14:paraId="20D947F9">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666" w:hRule="atLeast"/>
          <w:jc w:val="center"/>
        </w:trPr>
        <w:tc>
          <w:tcPr>
            <w:tcW w:w="1996" w:type="dxa"/>
            <w:tcBorders>
              <w:right w:val="single" w:color="auto" w:sz="4" w:space="0"/>
            </w:tcBorders>
            <w:noWrap w:val="0"/>
            <w:vAlign w:val="center"/>
          </w:tcPr>
          <w:p w14:paraId="57C6CD4D">
            <w:pPr>
              <w:pStyle w:val="13"/>
              <w:keepNext w:val="0"/>
              <w:keepLines w:val="0"/>
              <w:pageBreakBefore w:val="0"/>
              <w:widowControl w:val="0"/>
              <w:kinsoku/>
              <w:wordWrap/>
              <w:overflowPunct/>
              <w:topLinePunct w:val="0"/>
              <w:autoSpaceDE/>
              <w:autoSpaceDN/>
              <w:bidi w:val="0"/>
              <w:adjustRightInd/>
              <w:snapToGrid w:val="0"/>
              <w:spacing w:line="400" w:lineRule="exact"/>
              <w:ind w:left="0" w:leftChars="0" w:firstLine="0" w:firstLineChars="0"/>
              <w:jc w:val="center"/>
              <w:textAlignment w:val="auto"/>
              <w:rPr>
                <w:rFonts w:hint="eastAsia" w:ascii="仿宋" w:hAnsi="仿宋" w:eastAsia="仿宋" w:cs="仿宋"/>
                <w:kern w:val="0"/>
                <w:sz w:val="24"/>
                <w:szCs w:val="24"/>
                <w:highlight w:val="none"/>
                <w:lang w:eastAsia="zh-CN"/>
              </w:rPr>
            </w:pPr>
            <w:r>
              <w:rPr>
                <w:rFonts w:hint="eastAsia" w:ascii="仿宋" w:hAnsi="仿宋" w:eastAsia="仿宋" w:cs="仿宋"/>
                <w:sz w:val="24"/>
                <w:highlight w:val="none"/>
              </w:rPr>
              <w:t>管理措施</w:t>
            </w:r>
          </w:p>
        </w:tc>
        <w:tc>
          <w:tcPr>
            <w:tcW w:w="835" w:type="dxa"/>
            <w:tcBorders>
              <w:top w:val="single" w:color="auto" w:sz="4" w:space="0"/>
              <w:left w:val="single" w:color="auto" w:sz="4" w:space="0"/>
              <w:bottom w:val="single" w:color="auto" w:sz="4" w:space="0"/>
            </w:tcBorders>
            <w:noWrap w:val="0"/>
            <w:vAlign w:val="center"/>
          </w:tcPr>
          <w:p w14:paraId="78B175A9">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8分</w:t>
            </w:r>
          </w:p>
        </w:tc>
        <w:tc>
          <w:tcPr>
            <w:tcW w:w="6232" w:type="dxa"/>
            <w:tcBorders>
              <w:top w:val="single" w:color="auto" w:sz="4" w:space="0"/>
              <w:bottom w:val="single" w:color="auto" w:sz="4" w:space="0"/>
            </w:tcBorders>
            <w:shd w:val="clear" w:color="auto" w:fill="auto"/>
            <w:noWrap w:val="0"/>
            <w:vAlign w:val="center"/>
          </w:tcPr>
          <w:p w14:paraId="3F4B48F3">
            <w:pPr>
              <w:pStyle w:val="13"/>
              <w:keepNext w:val="0"/>
              <w:keepLines w:val="0"/>
              <w:pageBreakBefore w:val="0"/>
              <w:widowControl w:val="0"/>
              <w:kinsoku/>
              <w:wordWrap/>
              <w:overflowPunct/>
              <w:topLinePunct w:val="0"/>
              <w:autoSpaceDE/>
              <w:autoSpaceDN/>
              <w:bidi w:val="0"/>
              <w:adjustRightInd/>
              <w:snapToGrid w:val="0"/>
              <w:spacing w:line="400" w:lineRule="exact"/>
              <w:ind w:firstLine="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由评委审核各投标人的投标文件后根据以下标准进行打分：</w:t>
            </w:r>
          </w:p>
          <w:p w14:paraId="21AABAA3">
            <w:pPr>
              <w:pStyle w:val="13"/>
              <w:keepNext w:val="0"/>
              <w:keepLines w:val="0"/>
              <w:pageBreakBefore w:val="0"/>
              <w:widowControl w:val="0"/>
              <w:kinsoku/>
              <w:wordWrap/>
              <w:overflowPunct/>
              <w:topLinePunct w:val="0"/>
              <w:autoSpaceDE/>
              <w:autoSpaceDN/>
              <w:bidi w:val="0"/>
              <w:adjustRightInd/>
              <w:snapToGrid w:val="0"/>
              <w:spacing w:line="400" w:lineRule="exact"/>
              <w:ind w:firstLine="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【6分-8分】：投标人投标文件中提报的服务、油品质量控制、财务、消防等方面的管理措施全面、内容完备，有较突出的优势。</w:t>
            </w:r>
          </w:p>
          <w:p w14:paraId="7D483F5A">
            <w:pPr>
              <w:pStyle w:val="13"/>
              <w:keepNext w:val="0"/>
              <w:keepLines w:val="0"/>
              <w:pageBreakBefore w:val="0"/>
              <w:widowControl w:val="0"/>
              <w:kinsoku/>
              <w:wordWrap/>
              <w:overflowPunct/>
              <w:topLinePunct w:val="0"/>
              <w:autoSpaceDE/>
              <w:autoSpaceDN/>
              <w:bidi w:val="0"/>
              <w:adjustRightInd/>
              <w:snapToGrid w:val="0"/>
              <w:spacing w:line="400" w:lineRule="exact"/>
              <w:ind w:firstLine="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【3分-5分】：投标人投标文件中提报的服务、油品质量控制、财务、消防等方面的管理措施和内容比较全面。</w:t>
            </w:r>
          </w:p>
          <w:p w14:paraId="4040FF36">
            <w:pPr>
              <w:pStyle w:val="13"/>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sz w:val="24"/>
                <w:szCs w:val="24"/>
                <w:highlight w:val="none"/>
              </w:rPr>
              <w:t>【1分-2分】：投标人投标文件中提报的各项管理措施能够基本满足定点加油服务的要求。</w:t>
            </w:r>
          </w:p>
        </w:tc>
      </w:tr>
      <w:tr w14:paraId="2B4E4EF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666" w:hRule="atLeast"/>
          <w:jc w:val="center"/>
        </w:trPr>
        <w:tc>
          <w:tcPr>
            <w:tcW w:w="1996" w:type="dxa"/>
            <w:tcBorders>
              <w:right w:val="single" w:color="auto" w:sz="4" w:space="0"/>
            </w:tcBorders>
            <w:shd w:val="clear" w:color="auto" w:fill="auto"/>
            <w:noWrap w:val="0"/>
            <w:vAlign w:val="center"/>
          </w:tcPr>
          <w:p w14:paraId="14A4890C">
            <w:pPr>
              <w:pStyle w:val="13"/>
              <w:keepNext w:val="0"/>
              <w:keepLines w:val="0"/>
              <w:pageBreakBefore w:val="0"/>
              <w:widowControl w:val="0"/>
              <w:kinsoku/>
              <w:wordWrap/>
              <w:overflowPunct/>
              <w:topLinePunct w:val="0"/>
              <w:autoSpaceDE/>
              <w:autoSpaceDN/>
              <w:bidi w:val="0"/>
              <w:adjustRightInd/>
              <w:snapToGrid w:val="0"/>
              <w:spacing w:line="400" w:lineRule="exact"/>
              <w:ind w:left="0" w:leftChars="0" w:firstLine="0" w:firstLineChars="0"/>
              <w:jc w:val="center"/>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sz w:val="24"/>
                <w:highlight w:val="none"/>
              </w:rPr>
              <w:t>服务承诺</w:t>
            </w:r>
          </w:p>
        </w:tc>
        <w:tc>
          <w:tcPr>
            <w:tcW w:w="835" w:type="dxa"/>
            <w:tcBorders>
              <w:top w:val="single" w:color="auto" w:sz="4" w:space="0"/>
              <w:left w:val="single" w:color="auto" w:sz="4" w:space="0"/>
            </w:tcBorders>
            <w:noWrap w:val="0"/>
            <w:vAlign w:val="center"/>
          </w:tcPr>
          <w:p w14:paraId="4118908B">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7分</w:t>
            </w:r>
          </w:p>
        </w:tc>
        <w:tc>
          <w:tcPr>
            <w:tcW w:w="6232" w:type="dxa"/>
            <w:tcBorders>
              <w:top w:val="single" w:color="auto" w:sz="4" w:space="0"/>
            </w:tcBorders>
            <w:shd w:val="clear" w:color="auto" w:fill="auto"/>
            <w:noWrap w:val="0"/>
            <w:vAlign w:val="center"/>
          </w:tcPr>
          <w:p w14:paraId="350772E7">
            <w:pPr>
              <w:pStyle w:val="13"/>
              <w:keepNext w:val="0"/>
              <w:keepLines w:val="0"/>
              <w:pageBreakBefore w:val="0"/>
              <w:widowControl w:val="0"/>
              <w:kinsoku/>
              <w:wordWrap/>
              <w:overflowPunct/>
              <w:topLinePunct w:val="0"/>
              <w:autoSpaceDE/>
              <w:autoSpaceDN/>
              <w:bidi w:val="0"/>
              <w:adjustRightInd/>
              <w:snapToGrid w:val="0"/>
              <w:spacing w:line="400" w:lineRule="exact"/>
              <w:ind w:firstLine="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由评委审核各投标人的投标文件后根据以下标准进行打分：</w:t>
            </w:r>
          </w:p>
          <w:p w14:paraId="60646965">
            <w:pPr>
              <w:pStyle w:val="13"/>
              <w:keepNext w:val="0"/>
              <w:keepLines w:val="0"/>
              <w:pageBreakBefore w:val="0"/>
              <w:widowControl w:val="0"/>
              <w:kinsoku/>
              <w:wordWrap/>
              <w:overflowPunct/>
              <w:topLinePunct w:val="0"/>
              <w:autoSpaceDE/>
              <w:autoSpaceDN/>
              <w:bidi w:val="0"/>
              <w:adjustRightInd/>
              <w:snapToGrid w:val="0"/>
              <w:spacing w:line="400" w:lineRule="exact"/>
              <w:ind w:firstLine="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【5分-7分】：投标人投标文件中提报的服务内容全面、工作安排合理有序，承诺的服务水平高，有突出的服务优势。</w:t>
            </w:r>
          </w:p>
          <w:p w14:paraId="5101F03C">
            <w:pPr>
              <w:pStyle w:val="13"/>
              <w:keepNext w:val="0"/>
              <w:keepLines w:val="0"/>
              <w:pageBreakBefore w:val="0"/>
              <w:widowControl w:val="0"/>
              <w:kinsoku/>
              <w:wordWrap/>
              <w:overflowPunct/>
              <w:topLinePunct w:val="0"/>
              <w:autoSpaceDE/>
              <w:autoSpaceDN/>
              <w:bidi w:val="0"/>
              <w:adjustRightInd/>
              <w:snapToGrid w:val="0"/>
              <w:spacing w:line="400" w:lineRule="exact"/>
              <w:ind w:firstLine="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【3分-4分】：投标人投标文件中提报的服务内容比较全面，工作安排较为合理，能够较好的满足定点加油服务的要求。</w:t>
            </w:r>
          </w:p>
          <w:p w14:paraId="1BEA2252">
            <w:pPr>
              <w:pStyle w:val="13"/>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sz w:val="24"/>
                <w:szCs w:val="24"/>
                <w:highlight w:val="none"/>
              </w:rPr>
              <w:t>【1分-2分】：投标人投标文件中提报的服务内容，能够基本满足定点加油服务的要求。</w:t>
            </w:r>
          </w:p>
        </w:tc>
      </w:tr>
    </w:tbl>
    <w:p w14:paraId="2B7DC8F3">
      <w:pPr>
        <w:spacing w:line="440" w:lineRule="exact"/>
        <w:contextualSpacing/>
        <w:rPr>
          <w:rFonts w:hint="eastAsia" w:ascii="仿宋" w:hAnsi="仿宋" w:eastAsia="仿宋" w:cs="仿宋"/>
          <w:b/>
          <w:sz w:val="24"/>
          <w:szCs w:val="24"/>
          <w:highlight w:val="none"/>
        </w:rPr>
      </w:pPr>
      <w:r>
        <w:rPr>
          <w:rFonts w:hint="eastAsia" w:ascii="仿宋" w:hAnsi="仿宋" w:eastAsia="仿宋" w:cs="仿宋"/>
          <w:b/>
          <w:sz w:val="24"/>
          <w:szCs w:val="24"/>
          <w:highlight w:val="none"/>
        </w:rPr>
        <w:t>注：①本细则只针对有效投标文件予以评分。</w:t>
      </w:r>
    </w:p>
    <w:p w14:paraId="5E50C430">
      <w:pPr>
        <w:spacing w:line="440" w:lineRule="exact"/>
        <w:contextualSpacing/>
        <w:rPr>
          <w:rFonts w:hint="eastAsia" w:ascii="仿宋" w:hAnsi="仿宋" w:eastAsia="仿宋" w:cs="仿宋"/>
          <w:b/>
          <w:sz w:val="24"/>
          <w:szCs w:val="24"/>
          <w:highlight w:val="none"/>
        </w:rPr>
      </w:pPr>
      <w:r>
        <w:rPr>
          <w:rFonts w:hint="eastAsia" w:ascii="仿宋" w:hAnsi="仿宋" w:eastAsia="仿宋" w:cs="仿宋"/>
          <w:b/>
          <w:sz w:val="24"/>
          <w:szCs w:val="24"/>
          <w:highlight w:val="none"/>
        </w:rPr>
        <w:t>②计算得分时，四舍五入</w:t>
      </w:r>
      <w:r>
        <w:rPr>
          <w:rFonts w:hint="eastAsia" w:ascii="仿宋" w:hAnsi="仿宋" w:eastAsia="仿宋" w:cs="仿宋"/>
          <w:b/>
          <w:sz w:val="24"/>
          <w:szCs w:val="24"/>
          <w:highlight w:val="none"/>
          <w:lang w:eastAsia="zh-CN"/>
        </w:rPr>
        <w:t>保留至小数点后两位</w:t>
      </w:r>
      <w:r>
        <w:rPr>
          <w:rFonts w:hint="eastAsia" w:ascii="仿宋" w:hAnsi="仿宋" w:eastAsia="仿宋" w:cs="仿宋"/>
          <w:b/>
          <w:sz w:val="24"/>
          <w:szCs w:val="24"/>
          <w:highlight w:val="none"/>
        </w:rPr>
        <w:t>。</w:t>
      </w:r>
    </w:p>
    <w:p w14:paraId="28B72EF9">
      <w:pPr>
        <w:spacing w:line="440" w:lineRule="exact"/>
        <w:contextualSpacing/>
        <w:rPr>
          <w:rFonts w:hint="eastAsia" w:ascii="仿宋" w:hAnsi="仿宋" w:eastAsia="仿宋" w:cs="仿宋"/>
          <w:b/>
          <w:sz w:val="24"/>
          <w:szCs w:val="24"/>
          <w:highlight w:val="none"/>
        </w:rPr>
      </w:pPr>
      <w:r>
        <w:rPr>
          <w:rFonts w:hint="eastAsia" w:ascii="仿宋" w:hAnsi="仿宋" w:eastAsia="仿宋" w:cs="仿宋"/>
          <w:b/>
          <w:sz w:val="24"/>
          <w:szCs w:val="24"/>
          <w:highlight w:val="none"/>
        </w:rPr>
        <w:t>③汇总各评委打分进行算术平均，计算出各投标人的综合得分。</w:t>
      </w:r>
    </w:p>
    <w:p w14:paraId="3105AF55">
      <w:pPr>
        <w:spacing w:line="440" w:lineRule="exact"/>
        <w:contextualSpacing/>
        <w:rPr>
          <w:rFonts w:ascii="仿宋" w:hAnsi="仿宋" w:eastAsia="仿宋" w:cs="仿宋"/>
          <w:b/>
          <w:sz w:val="24"/>
          <w:szCs w:val="24"/>
          <w:highlight w:val="none"/>
        </w:rPr>
      </w:pPr>
      <w:r>
        <w:rPr>
          <w:rFonts w:hint="eastAsia" w:ascii="仿宋" w:hAnsi="仿宋" w:eastAsia="仿宋" w:cs="仿宋"/>
          <w:b/>
          <w:sz w:val="24"/>
          <w:szCs w:val="24"/>
          <w:highlight w:val="none"/>
        </w:rPr>
        <w:t>四、定标</w:t>
      </w:r>
    </w:p>
    <w:p w14:paraId="5ED5999F">
      <w:pPr>
        <w:keepNext w:val="0"/>
        <w:keepLines w:val="0"/>
        <w:pageBreakBefore w:val="0"/>
        <w:widowControl w:val="0"/>
        <w:kinsoku/>
        <w:wordWrap/>
        <w:overflowPunct/>
        <w:topLinePunct w:val="0"/>
        <w:autoSpaceDE/>
        <w:autoSpaceDN/>
        <w:bidi w:val="0"/>
        <w:adjustRightInd/>
        <w:snapToGrid/>
        <w:spacing w:line="420" w:lineRule="exact"/>
        <w:ind w:firstLine="480" w:firstLineChars="200"/>
        <w:contextualSpacing/>
        <w:textAlignment w:val="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1、评标委员会根据招标文件载明的评标细则进行综合评审，并按评审后得分由高到低顺序排列，确定排序前</w:t>
      </w:r>
      <w:r>
        <w:rPr>
          <w:rFonts w:hint="eastAsia" w:ascii="仿宋" w:hAnsi="仿宋" w:eastAsia="仿宋" w:cs="仿宋"/>
          <w:bCs/>
          <w:sz w:val="24"/>
          <w:szCs w:val="24"/>
          <w:highlight w:val="none"/>
          <w:lang w:val="en-US" w:eastAsia="zh-CN"/>
        </w:rPr>
        <w:t>三</w:t>
      </w:r>
      <w:r>
        <w:rPr>
          <w:rFonts w:hint="eastAsia" w:ascii="仿宋" w:hAnsi="仿宋" w:eastAsia="仿宋" w:cs="仿宋"/>
          <w:bCs/>
          <w:sz w:val="24"/>
          <w:szCs w:val="24"/>
          <w:highlight w:val="none"/>
        </w:rPr>
        <w:t>名的为中标候选人。</w:t>
      </w:r>
    </w:p>
    <w:p w14:paraId="30AF746A">
      <w:pPr>
        <w:keepNext w:val="0"/>
        <w:keepLines w:val="0"/>
        <w:pageBreakBefore w:val="0"/>
        <w:widowControl w:val="0"/>
        <w:kinsoku/>
        <w:wordWrap/>
        <w:overflowPunct/>
        <w:topLinePunct w:val="0"/>
        <w:autoSpaceDE/>
        <w:autoSpaceDN/>
        <w:bidi w:val="0"/>
        <w:adjustRightInd/>
        <w:snapToGrid/>
        <w:spacing w:line="420" w:lineRule="exact"/>
        <w:ind w:firstLine="480" w:firstLineChars="200"/>
        <w:contextualSpacing/>
        <w:textAlignment w:val="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2、评标结束后，公示无异议标包</w:t>
      </w:r>
      <w:r>
        <w:rPr>
          <w:rFonts w:hint="eastAsia" w:ascii="仿宋" w:hAnsi="仿宋" w:eastAsia="仿宋" w:cs="仿宋"/>
          <w:bCs/>
          <w:sz w:val="24"/>
          <w:szCs w:val="24"/>
          <w:highlight w:val="none"/>
          <w:lang w:val="en-US" w:eastAsia="zh-CN"/>
        </w:rPr>
        <w:t>二</w:t>
      </w:r>
      <w:r>
        <w:rPr>
          <w:rFonts w:hint="eastAsia" w:ascii="仿宋" w:hAnsi="仿宋" w:eastAsia="仿宋" w:cs="仿宋"/>
          <w:bCs/>
          <w:sz w:val="24"/>
          <w:szCs w:val="24"/>
          <w:highlight w:val="none"/>
        </w:rPr>
        <w:t>确定排</w:t>
      </w:r>
      <w:r>
        <w:rPr>
          <w:rFonts w:hint="eastAsia" w:ascii="仿宋" w:hAnsi="仿宋" w:eastAsia="仿宋" w:cs="仿宋"/>
          <w:bCs/>
          <w:sz w:val="24"/>
          <w:szCs w:val="24"/>
          <w:highlight w:val="none"/>
          <w:lang w:val="en-US" w:eastAsia="zh-CN"/>
        </w:rPr>
        <w:t>名第一</w:t>
      </w:r>
      <w:r>
        <w:rPr>
          <w:rFonts w:hint="eastAsia" w:ascii="仿宋" w:hAnsi="仿宋" w:eastAsia="仿宋" w:cs="仿宋"/>
          <w:bCs/>
          <w:sz w:val="24"/>
          <w:szCs w:val="24"/>
          <w:highlight w:val="none"/>
        </w:rPr>
        <w:t>的中标候选人为中标人。如发现中标候选人存在与招标文件、投标文件不符或弄虚作假等其它违法行为，经招标单位同意：取消中标候选人资格，由排名次之的候选人中标，依次类推或重新招标。</w:t>
      </w:r>
    </w:p>
    <w:p w14:paraId="591B43F8">
      <w:pPr>
        <w:keepNext w:val="0"/>
        <w:keepLines w:val="0"/>
        <w:pageBreakBefore w:val="0"/>
        <w:widowControl w:val="0"/>
        <w:kinsoku/>
        <w:wordWrap/>
        <w:overflowPunct/>
        <w:topLinePunct w:val="0"/>
        <w:autoSpaceDE/>
        <w:autoSpaceDN/>
        <w:bidi w:val="0"/>
        <w:adjustRightInd/>
        <w:snapToGrid/>
        <w:spacing w:line="420" w:lineRule="exact"/>
        <w:ind w:firstLine="480" w:firstLineChars="200"/>
        <w:contextualSpacing/>
        <w:textAlignment w:val="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3、评标结果将在原招标公告发布媒介予以公告。</w:t>
      </w:r>
    </w:p>
    <w:p w14:paraId="1DC29272">
      <w:pPr>
        <w:keepNext w:val="0"/>
        <w:keepLines w:val="0"/>
        <w:pageBreakBefore w:val="0"/>
        <w:widowControl w:val="0"/>
        <w:kinsoku/>
        <w:wordWrap/>
        <w:overflowPunct/>
        <w:topLinePunct w:val="0"/>
        <w:autoSpaceDE/>
        <w:autoSpaceDN/>
        <w:bidi w:val="0"/>
        <w:adjustRightInd/>
        <w:snapToGrid/>
        <w:spacing w:line="420" w:lineRule="exact"/>
        <w:contextualSpacing/>
        <w:textAlignment w:val="auto"/>
        <w:rPr>
          <w:rFonts w:ascii="仿宋" w:hAnsi="仿宋" w:eastAsia="仿宋" w:cs="仿宋"/>
          <w:b/>
          <w:sz w:val="24"/>
          <w:szCs w:val="24"/>
          <w:highlight w:val="none"/>
        </w:rPr>
      </w:pPr>
      <w:r>
        <w:rPr>
          <w:rFonts w:hint="eastAsia" w:ascii="仿宋" w:hAnsi="仿宋" w:eastAsia="仿宋" w:cs="仿宋"/>
          <w:b/>
          <w:sz w:val="24"/>
          <w:szCs w:val="24"/>
          <w:highlight w:val="none"/>
        </w:rPr>
        <w:t>五、编写评标报告</w:t>
      </w:r>
    </w:p>
    <w:p w14:paraId="554521E0">
      <w:pPr>
        <w:keepNext w:val="0"/>
        <w:keepLines w:val="0"/>
        <w:pageBreakBefore w:val="0"/>
        <w:widowControl w:val="0"/>
        <w:kinsoku/>
        <w:wordWrap/>
        <w:overflowPunct/>
        <w:topLinePunct w:val="0"/>
        <w:autoSpaceDE/>
        <w:autoSpaceDN/>
        <w:bidi w:val="0"/>
        <w:adjustRightInd/>
        <w:snapToGrid/>
        <w:spacing w:line="420" w:lineRule="exact"/>
        <w:ind w:firstLine="480" w:firstLineChars="200"/>
        <w:contextualSpacing/>
        <w:textAlignment w:val="auto"/>
        <w:rPr>
          <w:rFonts w:ascii="仿宋" w:hAnsi="仿宋" w:eastAsia="仿宋" w:cs="仿宋"/>
          <w:bCs/>
          <w:sz w:val="24"/>
          <w:szCs w:val="24"/>
          <w:highlight w:val="none"/>
        </w:rPr>
      </w:pPr>
      <w:r>
        <w:rPr>
          <w:rFonts w:hint="eastAsia" w:ascii="仿宋" w:hAnsi="仿宋" w:eastAsia="仿宋" w:cs="仿宋"/>
          <w:bCs/>
          <w:sz w:val="24"/>
          <w:szCs w:val="24"/>
          <w:highlight w:val="none"/>
        </w:rPr>
        <w:t>依据评委评标签字的原始记录和评标结果，按照规定的内容要求编写评标报告，并由全体评委签名。</w:t>
      </w:r>
    </w:p>
    <w:p w14:paraId="77335CB1">
      <w:pPr>
        <w:keepNext w:val="0"/>
        <w:keepLines w:val="0"/>
        <w:pageBreakBefore w:val="0"/>
        <w:widowControl w:val="0"/>
        <w:kinsoku/>
        <w:wordWrap/>
        <w:overflowPunct/>
        <w:topLinePunct w:val="0"/>
        <w:autoSpaceDE/>
        <w:autoSpaceDN/>
        <w:bidi w:val="0"/>
        <w:adjustRightInd/>
        <w:snapToGrid/>
        <w:spacing w:line="420" w:lineRule="exact"/>
        <w:contextualSpacing/>
        <w:textAlignment w:val="auto"/>
        <w:rPr>
          <w:rFonts w:ascii="仿宋" w:hAnsi="仿宋" w:eastAsia="仿宋" w:cs="仿宋"/>
          <w:b/>
          <w:sz w:val="24"/>
          <w:szCs w:val="24"/>
          <w:highlight w:val="none"/>
        </w:rPr>
      </w:pPr>
      <w:r>
        <w:rPr>
          <w:rFonts w:hint="eastAsia" w:ascii="仿宋" w:hAnsi="仿宋" w:eastAsia="仿宋" w:cs="仿宋"/>
          <w:b/>
          <w:sz w:val="24"/>
          <w:szCs w:val="24"/>
          <w:highlight w:val="none"/>
        </w:rPr>
        <w:t xml:space="preserve">六、签订合同 </w:t>
      </w:r>
    </w:p>
    <w:p w14:paraId="4FD03D53">
      <w:pPr>
        <w:keepNext w:val="0"/>
        <w:keepLines w:val="0"/>
        <w:pageBreakBefore w:val="0"/>
        <w:widowControl w:val="0"/>
        <w:kinsoku/>
        <w:wordWrap/>
        <w:overflowPunct/>
        <w:topLinePunct w:val="0"/>
        <w:autoSpaceDE/>
        <w:autoSpaceDN/>
        <w:bidi w:val="0"/>
        <w:adjustRightInd/>
        <w:snapToGrid/>
        <w:spacing w:line="420" w:lineRule="exact"/>
        <w:ind w:firstLine="480" w:firstLineChars="200"/>
        <w:contextualSpacing/>
        <w:textAlignment w:val="auto"/>
        <w:rPr>
          <w:rFonts w:ascii="仿宋" w:hAnsi="仿宋" w:eastAsia="仿宋" w:cs="仿宋"/>
          <w:bCs/>
          <w:sz w:val="24"/>
          <w:szCs w:val="24"/>
          <w:highlight w:val="none"/>
        </w:rPr>
      </w:pPr>
      <w:r>
        <w:rPr>
          <w:rFonts w:hint="eastAsia" w:ascii="仿宋" w:hAnsi="仿宋" w:eastAsia="仿宋" w:cs="仿宋"/>
          <w:bCs/>
          <w:sz w:val="24"/>
          <w:szCs w:val="24"/>
          <w:highlight w:val="none"/>
        </w:rPr>
        <w:t>1.评标结果公告后，由</w:t>
      </w:r>
      <w:r>
        <w:rPr>
          <w:rFonts w:hint="eastAsia" w:ascii="仿宋" w:hAnsi="仿宋" w:eastAsia="仿宋" w:cs="仿宋"/>
          <w:bCs/>
          <w:sz w:val="24"/>
          <w:szCs w:val="24"/>
          <w:highlight w:val="none"/>
          <w:lang w:eastAsia="zh-CN"/>
        </w:rPr>
        <w:t>招标人</w:t>
      </w:r>
      <w:r>
        <w:rPr>
          <w:rFonts w:hint="eastAsia" w:ascii="仿宋" w:hAnsi="仿宋" w:eastAsia="仿宋" w:cs="仿宋"/>
          <w:bCs/>
          <w:sz w:val="24"/>
          <w:szCs w:val="24"/>
          <w:highlight w:val="none"/>
        </w:rPr>
        <w:t>、</w:t>
      </w:r>
      <w:r>
        <w:rPr>
          <w:rFonts w:hint="eastAsia" w:ascii="仿宋" w:hAnsi="仿宋" w:eastAsia="仿宋" w:cs="仿宋"/>
          <w:bCs/>
          <w:sz w:val="24"/>
          <w:szCs w:val="24"/>
          <w:highlight w:val="none"/>
          <w:lang w:eastAsia="zh-CN"/>
        </w:rPr>
        <w:t>招标代理</w:t>
      </w:r>
      <w:r>
        <w:rPr>
          <w:rFonts w:hint="eastAsia" w:ascii="仿宋" w:hAnsi="仿宋" w:eastAsia="仿宋" w:cs="仿宋"/>
          <w:bCs/>
          <w:sz w:val="24"/>
          <w:szCs w:val="24"/>
          <w:highlight w:val="none"/>
        </w:rPr>
        <w:t>向中标人签发中标通知书。</w:t>
      </w:r>
    </w:p>
    <w:p w14:paraId="5C855416">
      <w:pPr>
        <w:keepNext w:val="0"/>
        <w:keepLines w:val="0"/>
        <w:pageBreakBefore w:val="0"/>
        <w:widowControl w:val="0"/>
        <w:kinsoku/>
        <w:wordWrap/>
        <w:overflowPunct/>
        <w:topLinePunct w:val="0"/>
        <w:autoSpaceDE/>
        <w:autoSpaceDN/>
        <w:bidi w:val="0"/>
        <w:adjustRightInd/>
        <w:snapToGrid/>
        <w:spacing w:line="420" w:lineRule="exact"/>
        <w:ind w:firstLine="480" w:firstLineChars="200"/>
        <w:contextualSpacing/>
        <w:textAlignment w:val="auto"/>
        <w:rPr>
          <w:rFonts w:ascii="仿宋" w:hAnsi="仿宋" w:eastAsia="仿宋" w:cs="仿宋"/>
          <w:bCs/>
          <w:sz w:val="24"/>
          <w:szCs w:val="24"/>
          <w:highlight w:val="none"/>
        </w:rPr>
      </w:pPr>
      <w:r>
        <w:rPr>
          <w:rFonts w:hint="eastAsia" w:ascii="仿宋" w:hAnsi="仿宋" w:eastAsia="仿宋" w:cs="仿宋"/>
          <w:bCs/>
          <w:sz w:val="24"/>
          <w:szCs w:val="24"/>
          <w:highlight w:val="none"/>
        </w:rPr>
        <w:t>2.中标合同原则以第六部分 合同（范本）为基础，并根据投标、答疑情况进行修改补充，自签订之日起生效。</w:t>
      </w:r>
    </w:p>
    <w:p w14:paraId="3736EE56">
      <w:pPr>
        <w:keepNext w:val="0"/>
        <w:keepLines w:val="0"/>
        <w:pageBreakBefore w:val="0"/>
        <w:widowControl w:val="0"/>
        <w:kinsoku/>
        <w:wordWrap/>
        <w:overflowPunct/>
        <w:topLinePunct w:val="0"/>
        <w:autoSpaceDE/>
        <w:autoSpaceDN/>
        <w:bidi w:val="0"/>
        <w:adjustRightInd/>
        <w:snapToGrid/>
        <w:spacing w:line="420" w:lineRule="exact"/>
        <w:ind w:firstLine="480" w:firstLineChars="200"/>
        <w:contextualSpacing/>
        <w:textAlignment w:val="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3.中标人在规定的期限内无正当理由拒绝签订合同,取消原中标决定，与排名次之的中标候选人签订合同或重新组织招标。</w:t>
      </w:r>
    </w:p>
    <w:p w14:paraId="123CEB18">
      <w:pPr>
        <w:jc w:val="center"/>
        <w:outlineLvl w:val="0"/>
        <w:rPr>
          <w:rStyle w:val="105"/>
          <w:highlight w:val="none"/>
        </w:rPr>
      </w:pPr>
      <w:r>
        <w:rPr>
          <w:rFonts w:hint="eastAsia" w:ascii="仿宋" w:hAnsi="仿宋" w:eastAsia="仿宋" w:cs="仿宋"/>
          <w:bCs/>
          <w:sz w:val="24"/>
          <w:szCs w:val="24"/>
          <w:highlight w:val="none"/>
        </w:rPr>
        <w:br w:type="page"/>
      </w:r>
      <w:bookmarkStart w:id="17" w:name="_Toc5498"/>
      <w:r>
        <w:rPr>
          <w:rStyle w:val="105"/>
          <w:rFonts w:hint="eastAsia"/>
          <w:highlight w:val="none"/>
        </w:rPr>
        <w:t>第五部分    投标文件（格式）</w:t>
      </w:r>
      <w:bookmarkEnd w:id="17"/>
    </w:p>
    <w:p w14:paraId="6C462680">
      <w:pPr>
        <w:jc w:val="center"/>
        <w:rPr>
          <w:rFonts w:hint="eastAsia" w:ascii="仿宋" w:hAnsi="仿宋" w:eastAsia="仿宋" w:cs="仿宋"/>
          <w:bCs/>
          <w:sz w:val="30"/>
          <w:szCs w:val="30"/>
          <w:highlight w:val="none"/>
        </w:rPr>
      </w:pPr>
    </w:p>
    <w:p w14:paraId="6D503C27">
      <w:pPr>
        <w:jc w:val="center"/>
        <w:rPr>
          <w:rFonts w:hint="eastAsia" w:ascii="仿宋" w:hAnsi="仿宋" w:eastAsia="仿宋" w:cs="仿宋"/>
          <w:bCs/>
          <w:sz w:val="30"/>
          <w:szCs w:val="30"/>
          <w:highlight w:val="none"/>
        </w:rPr>
      </w:pPr>
    </w:p>
    <w:p w14:paraId="171786DD">
      <w:pPr>
        <w:jc w:val="center"/>
        <w:rPr>
          <w:rFonts w:hint="eastAsia" w:ascii="仿宋" w:hAnsi="仿宋" w:eastAsia="仿宋" w:cs="仿宋"/>
          <w:bCs/>
          <w:sz w:val="30"/>
          <w:szCs w:val="30"/>
          <w:highlight w:val="none"/>
        </w:rPr>
      </w:pPr>
    </w:p>
    <w:p w14:paraId="203F3E1E">
      <w:pPr>
        <w:jc w:val="center"/>
        <w:rPr>
          <w:rFonts w:ascii="仿宋" w:hAnsi="仿宋" w:eastAsia="仿宋" w:cs="仿宋"/>
          <w:bCs/>
          <w:sz w:val="30"/>
          <w:szCs w:val="30"/>
          <w:highlight w:val="none"/>
        </w:rPr>
      </w:pPr>
      <w:r>
        <w:rPr>
          <w:rFonts w:hint="eastAsia" w:ascii="仿宋" w:hAnsi="仿宋" w:eastAsia="仿宋" w:cs="仿宋"/>
          <w:bCs/>
          <w:sz w:val="30"/>
          <w:szCs w:val="30"/>
          <w:highlight w:val="none"/>
        </w:rPr>
        <w:t>投 标 文 件</w:t>
      </w:r>
    </w:p>
    <w:p w14:paraId="0EA24A59">
      <w:pPr>
        <w:jc w:val="center"/>
        <w:rPr>
          <w:rFonts w:ascii="仿宋" w:hAnsi="仿宋" w:eastAsia="仿宋" w:cs="仿宋"/>
          <w:sz w:val="30"/>
          <w:szCs w:val="30"/>
          <w:highlight w:val="none"/>
        </w:rPr>
      </w:pPr>
      <w:r>
        <w:rPr>
          <w:rFonts w:hint="eastAsia" w:ascii="仿宋" w:hAnsi="仿宋" w:eastAsia="仿宋" w:cs="仿宋"/>
          <w:sz w:val="30"/>
          <w:szCs w:val="30"/>
          <w:highlight w:val="none"/>
        </w:rPr>
        <w:t>（第一册）</w:t>
      </w:r>
    </w:p>
    <w:p w14:paraId="44202607">
      <w:pPr>
        <w:ind w:firstLine="900" w:firstLineChars="300"/>
        <w:jc w:val="left"/>
        <w:rPr>
          <w:rFonts w:ascii="仿宋" w:hAnsi="仿宋" w:eastAsia="仿宋" w:cs="仿宋"/>
          <w:bCs/>
          <w:sz w:val="30"/>
          <w:szCs w:val="30"/>
          <w:highlight w:val="none"/>
        </w:rPr>
      </w:pPr>
    </w:p>
    <w:p w14:paraId="3553024D">
      <w:pPr>
        <w:ind w:firstLine="900" w:firstLineChars="300"/>
        <w:jc w:val="left"/>
        <w:rPr>
          <w:rFonts w:ascii="仿宋" w:hAnsi="仿宋" w:eastAsia="仿宋" w:cs="仿宋"/>
          <w:sz w:val="30"/>
          <w:szCs w:val="30"/>
          <w:highlight w:val="none"/>
        </w:rPr>
      </w:pPr>
      <w:r>
        <w:rPr>
          <w:rFonts w:hint="eastAsia" w:ascii="仿宋" w:hAnsi="仿宋" w:eastAsia="仿宋" w:cs="仿宋"/>
          <w:bCs/>
          <w:sz w:val="30"/>
          <w:szCs w:val="30"/>
          <w:highlight w:val="none"/>
        </w:rPr>
        <w:t>项目名称：</w:t>
      </w:r>
    </w:p>
    <w:p w14:paraId="654EE462">
      <w:pPr>
        <w:ind w:firstLine="900" w:firstLineChars="300"/>
        <w:jc w:val="left"/>
        <w:rPr>
          <w:rFonts w:ascii="仿宋" w:hAnsi="仿宋" w:eastAsia="仿宋" w:cs="仿宋"/>
          <w:bCs/>
          <w:sz w:val="30"/>
          <w:szCs w:val="30"/>
          <w:highlight w:val="none"/>
        </w:rPr>
      </w:pPr>
    </w:p>
    <w:p w14:paraId="6238D047">
      <w:pPr>
        <w:ind w:firstLine="900" w:firstLineChars="300"/>
        <w:jc w:val="left"/>
        <w:rPr>
          <w:rFonts w:hint="eastAsia" w:ascii="仿宋" w:hAnsi="仿宋" w:eastAsia="仿宋" w:cs="仿宋"/>
          <w:bCs/>
          <w:sz w:val="30"/>
          <w:szCs w:val="30"/>
          <w:highlight w:val="none"/>
        </w:rPr>
      </w:pPr>
      <w:r>
        <w:rPr>
          <w:rFonts w:hint="eastAsia" w:ascii="仿宋" w:hAnsi="仿宋" w:eastAsia="仿宋" w:cs="仿宋"/>
          <w:bCs/>
          <w:sz w:val="30"/>
          <w:szCs w:val="30"/>
          <w:highlight w:val="none"/>
          <w:lang w:val="en-US" w:eastAsia="zh-CN"/>
        </w:rPr>
        <w:t>招标</w:t>
      </w:r>
      <w:r>
        <w:rPr>
          <w:rFonts w:hint="eastAsia" w:ascii="仿宋" w:hAnsi="仿宋" w:eastAsia="仿宋" w:cs="仿宋"/>
          <w:bCs/>
          <w:sz w:val="30"/>
          <w:szCs w:val="30"/>
          <w:highlight w:val="none"/>
        </w:rPr>
        <w:t>编号：</w:t>
      </w:r>
    </w:p>
    <w:p w14:paraId="6A695AED">
      <w:pPr>
        <w:ind w:firstLine="900" w:firstLineChars="300"/>
        <w:jc w:val="left"/>
        <w:rPr>
          <w:rFonts w:hint="eastAsia" w:ascii="仿宋" w:hAnsi="仿宋" w:eastAsia="仿宋" w:cs="仿宋"/>
          <w:bCs/>
          <w:sz w:val="30"/>
          <w:szCs w:val="30"/>
          <w:highlight w:val="none"/>
        </w:rPr>
      </w:pPr>
    </w:p>
    <w:p w14:paraId="4241D1BD">
      <w:pPr>
        <w:ind w:firstLine="900" w:firstLineChars="300"/>
        <w:jc w:val="left"/>
        <w:rPr>
          <w:rFonts w:hint="eastAsia" w:ascii="仿宋" w:hAnsi="仿宋" w:eastAsia="仿宋" w:cs="仿宋"/>
          <w:bCs/>
          <w:sz w:val="30"/>
          <w:szCs w:val="30"/>
          <w:highlight w:val="none"/>
        </w:rPr>
      </w:pPr>
      <w:r>
        <w:rPr>
          <w:rFonts w:hint="eastAsia" w:ascii="仿宋" w:hAnsi="仿宋" w:eastAsia="仿宋" w:cs="仿宋"/>
          <w:bCs/>
          <w:sz w:val="30"/>
          <w:szCs w:val="30"/>
          <w:highlight w:val="none"/>
          <w:lang w:val="en-US" w:eastAsia="zh-CN"/>
        </w:rPr>
        <w:t>标包</w:t>
      </w:r>
      <w:r>
        <w:rPr>
          <w:rFonts w:hint="eastAsia" w:ascii="仿宋" w:hAnsi="仿宋" w:eastAsia="仿宋" w:cs="仿宋"/>
          <w:bCs/>
          <w:sz w:val="30"/>
          <w:szCs w:val="30"/>
          <w:highlight w:val="none"/>
        </w:rPr>
        <w:t>号：</w:t>
      </w:r>
    </w:p>
    <w:p w14:paraId="3C5BF481">
      <w:pPr>
        <w:ind w:firstLine="900" w:firstLineChars="300"/>
        <w:jc w:val="left"/>
        <w:rPr>
          <w:rFonts w:hint="eastAsia" w:ascii="仿宋" w:hAnsi="仿宋" w:eastAsia="仿宋" w:cs="仿宋"/>
          <w:bCs/>
          <w:sz w:val="30"/>
          <w:szCs w:val="30"/>
          <w:highlight w:val="none"/>
        </w:rPr>
      </w:pPr>
    </w:p>
    <w:p w14:paraId="61849DA9">
      <w:pPr>
        <w:pStyle w:val="58"/>
        <w:rPr>
          <w:rFonts w:hint="eastAsia"/>
          <w:highlight w:val="none"/>
        </w:rPr>
      </w:pPr>
    </w:p>
    <w:p w14:paraId="62A43C8D">
      <w:pPr>
        <w:ind w:firstLine="900" w:firstLineChars="300"/>
        <w:jc w:val="left"/>
        <w:rPr>
          <w:rFonts w:hint="eastAsia" w:ascii="仿宋" w:hAnsi="仿宋" w:eastAsia="仿宋" w:cs="仿宋"/>
          <w:bCs/>
          <w:sz w:val="30"/>
          <w:szCs w:val="30"/>
          <w:highlight w:val="none"/>
        </w:rPr>
      </w:pPr>
    </w:p>
    <w:p w14:paraId="5C63DEF3">
      <w:pPr>
        <w:pStyle w:val="23"/>
        <w:rPr>
          <w:rFonts w:ascii="仿宋" w:hAnsi="仿宋" w:eastAsia="仿宋" w:cs="仿宋"/>
          <w:kern w:val="0"/>
          <w:sz w:val="30"/>
          <w:szCs w:val="30"/>
          <w:highlight w:val="none"/>
        </w:rPr>
      </w:pPr>
    </w:p>
    <w:p w14:paraId="773C9120">
      <w:pPr>
        <w:pStyle w:val="36"/>
        <w:rPr>
          <w:rFonts w:ascii="仿宋" w:hAnsi="仿宋" w:eastAsia="仿宋" w:cs="仿宋"/>
          <w:sz w:val="30"/>
          <w:szCs w:val="30"/>
          <w:highlight w:val="none"/>
        </w:rPr>
      </w:pPr>
    </w:p>
    <w:p w14:paraId="3E469438">
      <w:pPr>
        <w:pStyle w:val="36"/>
        <w:rPr>
          <w:rFonts w:ascii="仿宋" w:hAnsi="仿宋" w:eastAsia="仿宋" w:cs="仿宋"/>
          <w:sz w:val="30"/>
          <w:szCs w:val="30"/>
          <w:highlight w:val="none"/>
        </w:rPr>
      </w:pPr>
    </w:p>
    <w:p w14:paraId="3A677E89">
      <w:pPr>
        <w:pStyle w:val="36"/>
        <w:rPr>
          <w:rFonts w:ascii="仿宋" w:hAnsi="仿宋" w:eastAsia="仿宋" w:cs="仿宋"/>
          <w:sz w:val="30"/>
          <w:szCs w:val="30"/>
          <w:highlight w:val="none"/>
        </w:rPr>
      </w:pPr>
      <w:r>
        <w:rPr>
          <w:rFonts w:hint="eastAsia" w:ascii="仿宋" w:hAnsi="仿宋" w:eastAsia="仿宋" w:cs="仿宋"/>
          <w:sz w:val="30"/>
          <w:szCs w:val="30"/>
          <w:highlight w:val="none"/>
        </w:rPr>
        <w:t xml:space="preserve">       </w:t>
      </w:r>
    </w:p>
    <w:p w14:paraId="172C1F3E">
      <w:pPr>
        <w:tabs>
          <w:tab w:val="left" w:pos="580"/>
        </w:tabs>
        <w:jc w:val="center"/>
        <w:rPr>
          <w:rFonts w:ascii="仿宋" w:hAnsi="仿宋" w:eastAsia="仿宋" w:cs="仿宋"/>
          <w:kern w:val="0"/>
          <w:sz w:val="30"/>
          <w:szCs w:val="30"/>
          <w:highlight w:val="none"/>
        </w:rPr>
      </w:pPr>
      <w:r>
        <w:rPr>
          <w:rFonts w:hint="eastAsia" w:ascii="仿宋" w:hAnsi="仿宋" w:eastAsia="仿宋" w:cs="仿宋"/>
          <w:kern w:val="0"/>
          <w:sz w:val="30"/>
          <w:szCs w:val="30"/>
          <w:highlight w:val="none"/>
        </w:rPr>
        <w:t>投标人名称： ***有限公司</w:t>
      </w:r>
    </w:p>
    <w:p w14:paraId="7AD92F62">
      <w:pPr>
        <w:tabs>
          <w:tab w:val="left" w:pos="580"/>
        </w:tabs>
        <w:jc w:val="center"/>
        <w:rPr>
          <w:rFonts w:hint="eastAsia" w:ascii="仿宋" w:hAnsi="仿宋" w:eastAsia="仿宋" w:cs="仿宋"/>
          <w:kern w:val="0"/>
          <w:sz w:val="30"/>
          <w:szCs w:val="30"/>
          <w:highlight w:val="none"/>
        </w:rPr>
      </w:pPr>
      <w:r>
        <w:rPr>
          <w:rFonts w:hint="eastAsia" w:ascii="仿宋" w:hAnsi="仿宋" w:eastAsia="仿宋" w:cs="仿宋"/>
          <w:kern w:val="0"/>
          <w:sz w:val="30"/>
          <w:szCs w:val="30"/>
          <w:highlight w:val="none"/>
        </w:rPr>
        <w:t>日      期：   年  月  日</w:t>
      </w:r>
    </w:p>
    <w:p w14:paraId="7B0766C6">
      <w:pPr>
        <w:rPr>
          <w:rFonts w:hint="eastAsia" w:ascii="仿宋" w:hAnsi="仿宋" w:eastAsia="仿宋" w:cs="仿宋"/>
          <w:kern w:val="0"/>
          <w:sz w:val="30"/>
          <w:szCs w:val="30"/>
          <w:highlight w:val="none"/>
        </w:rPr>
      </w:pPr>
      <w:r>
        <w:rPr>
          <w:rFonts w:hint="eastAsia" w:ascii="仿宋" w:hAnsi="仿宋" w:eastAsia="仿宋" w:cs="仿宋"/>
          <w:kern w:val="0"/>
          <w:sz w:val="30"/>
          <w:szCs w:val="30"/>
          <w:highlight w:val="none"/>
        </w:rPr>
        <w:br w:type="page"/>
      </w:r>
    </w:p>
    <w:p w14:paraId="6A530C60">
      <w:pPr>
        <w:pStyle w:val="13"/>
        <w:rPr>
          <w:rFonts w:hint="eastAsia"/>
          <w:highlight w:val="none"/>
        </w:rPr>
      </w:pPr>
    </w:p>
    <w:p w14:paraId="09B1BE0D">
      <w:pPr>
        <w:jc w:val="center"/>
        <w:rPr>
          <w:rFonts w:ascii="仿宋" w:hAnsi="仿宋" w:eastAsia="仿宋" w:cs="仿宋"/>
          <w:b/>
          <w:bCs/>
          <w:sz w:val="30"/>
          <w:szCs w:val="30"/>
          <w:highlight w:val="none"/>
        </w:rPr>
      </w:pPr>
      <w:r>
        <w:rPr>
          <w:rFonts w:hint="eastAsia" w:ascii="仿宋" w:hAnsi="仿宋" w:eastAsia="仿宋" w:cs="仿宋"/>
          <w:b/>
          <w:bCs/>
          <w:sz w:val="30"/>
          <w:szCs w:val="30"/>
          <w:highlight w:val="none"/>
        </w:rPr>
        <w:t>目  录</w:t>
      </w:r>
    </w:p>
    <w:p w14:paraId="5E8DC0C4">
      <w:pPr>
        <w:jc w:val="center"/>
        <w:rPr>
          <w:rFonts w:ascii="仿宋" w:hAnsi="仿宋" w:eastAsia="仿宋" w:cs="仿宋"/>
          <w:sz w:val="24"/>
          <w:szCs w:val="24"/>
          <w:highlight w:val="none"/>
        </w:rPr>
      </w:pPr>
      <w:r>
        <w:rPr>
          <w:rFonts w:hint="eastAsia" w:ascii="仿宋" w:hAnsi="仿宋" w:eastAsia="仿宋" w:cs="仿宋"/>
          <w:sz w:val="24"/>
          <w:szCs w:val="24"/>
          <w:highlight w:val="none"/>
        </w:rPr>
        <w:t>（由投标人自行编制）</w:t>
      </w:r>
    </w:p>
    <w:p w14:paraId="4DC75B59">
      <w:pPr>
        <w:jc w:val="center"/>
        <w:rPr>
          <w:rFonts w:ascii="仿宋" w:hAnsi="仿宋" w:eastAsia="仿宋" w:cs="仿宋"/>
          <w:b/>
          <w:bCs/>
          <w:sz w:val="24"/>
          <w:szCs w:val="24"/>
          <w:highlight w:val="none"/>
        </w:rPr>
      </w:pPr>
    </w:p>
    <w:p w14:paraId="7C86D2F8">
      <w:pPr>
        <w:jc w:val="center"/>
        <w:rPr>
          <w:rFonts w:ascii="仿宋" w:hAnsi="仿宋" w:eastAsia="仿宋" w:cs="仿宋"/>
          <w:sz w:val="36"/>
          <w:szCs w:val="36"/>
          <w:highlight w:val="none"/>
        </w:rPr>
      </w:pPr>
      <w:r>
        <w:rPr>
          <w:rFonts w:ascii="仿宋" w:hAnsi="仿宋" w:eastAsia="仿宋" w:cs="仿宋"/>
          <w:b/>
          <w:sz w:val="24"/>
          <w:szCs w:val="24"/>
          <w:highlight w:val="none"/>
        </w:rPr>
        <w:br w:type="page"/>
      </w:r>
      <w:r>
        <w:rPr>
          <w:rFonts w:hint="eastAsia" w:ascii="仿宋" w:hAnsi="仿宋" w:eastAsia="仿宋" w:cs="仿宋"/>
          <w:b/>
          <w:bCs/>
          <w:sz w:val="30"/>
          <w:szCs w:val="30"/>
          <w:highlight w:val="none"/>
        </w:rPr>
        <w:t>投标承诺函</w:t>
      </w:r>
    </w:p>
    <w:p w14:paraId="21774470">
      <w:pPr>
        <w:snapToGrid w:val="0"/>
        <w:spacing w:line="360" w:lineRule="auto"/>
        <w:rPr>
          <w:rFonts w:ascii="仿宋" w:hAnsi="仿宋" w:eastAsia="仿宋" w:cs="仿宋"/>
          <w:kern w:val="0"/>
          <w:sz w:val="24"/>
          <w:szCs w:val="24"/>
          <w:highlight w:val="none"/>
        </w:rPr>
      </w:pPr>
      <w:r>
        <w:rPr>
          <w:rFonts w:hint="eastAsia" w:ascii="仿宋" w:hAnsi="仿宋" w:eastAsia="仿宋" w:cs="仿宋"/>
          <w:sz w:val="24"/>
          <w:szCs w:val="24"/>
          <w:highlight w:val="none"/>
        </w:rPr>
        <w:t>山东富尔工程咨询管理有限公司</w:t>
      </w:r>
      <w:r>
        <w:rPr>
          <w:rFonts w:hint="eastAsia" w:ascii="仿宋" w:hAnsi="仿宋" w:eastAsia="仿宋" w:cs="仿宋"/>
          <w:kern w:val="0"/>
          <w:sz w:val="24"/>
          <w:szCs w:val="24"/>
          <w:highlight w:val="none"/>
        </w:rPr>
        <w:t>：</w:t>
      </w:r>
    </w:p>
    <w:p w14:paraId="50ADCBD2">
      <w:pPr>
        <w:snapToGrid w:val="0"/>
        <w:spacing w:line="360" w:lineRule="auto"/>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我方根据编号为</w:t>
      </w:r>
      <w:r>
        <w:rPr>
          <w:rFonts w:hint="eastAsia" w:ascii="仿宋" w:hAnsi="仿宋" w:eastAsia="仿宋" w:cs="仿宋"/>
          <w:kern w:val="0"/>
          <w:sz w:val="24"/>
          <w:szCs w:val="24"/>
          <w:highlight w:val="none"/>
          <w:u w:val="single"/>
        </w:rPr>
        <w:t xml:space="preserve">     </w:t>
      </w:r>
      <w:r>
        <w:rPr>
          <w:rFonts w:hint="eastAsia" w:ascii="仿宋" w:hAnsi="仿宋" w:eastAsia="仿宋" w:cs="仿宋"/>
          <w:kern w:val="0"/>
          <w:sz w:val="24"/>
          <w:szCs w:val="24"/>
          <w:highlight w:val="none"/>
        </w:rPr>
        <w:t>的招标文件的要求，经详细研究决定参加</w:t>
      </w:r>
      <w:r>
        <w:rPr>
          <w:rFonts w:hint="eastAsia" w:ascii="仿宋" w:hAnsi="仿宋" w:eastAsia="仿宋" w:cs="仿宋"/>
          <w:kern w:val="0"/>
          <w:sz w:val="24"/>
          <w:szCs w:val="24"/>
          <w:highlight w:val="none"/>
          <w:lang w:val="en-US" w:eastAsia="zh-CN"/>
        </w:rPr>
        <w:t>标包</w:t>
      </w:r>
      <w:r>
        <w:rPr>
          <w:rFonts w:hint="eastAsia" w:ascii="仿宋" w:hAnsi="仿宋" w:eastAsia="仿宋" w:cs="仿宋"/>
          <w:kern w:val="0"/>
          <w:sz w:val="24"/>
          <w:szCs w:val="24"/>
          <w:highlight w:val="none"/>
          <w:u w:val="single"/>
          <w:lang w:val="en-US" w:eastAsia="zh-CN"/>
        </w:rPr>
        <w:t xml:space="preserve">  </w:t>
      </w:r>
      <w:r>
        <w:rPr>
          <w:rFonts w:hint="eastAsia" w:ascii="仿宋" w:hAnsi="仿宋" w:eastAsia="仿宋" w:cs="仿宋"/>
          <w:kern w:val="0"/>
          <w:sz w:val="24"/>
          <w:szCs w:val="24"/>
          <w:highlight w:val="none"/>
        </w:rPr>
        <w:t>投标。</w:t>
      </w:r>
    </w:p>
    <w:p w14:paraId="0C985AC7">
      <w:pPr>
        <w:snapToGrid w:val="0"/>
        <w:spacing w:line="360" w:lineRule="auto"/>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1.我方接受本招标文件中关于电子招投标的各项规定，遵守《中华人民共和国电子签名法》关于电子签名的各项规定。我方愿意按照招标文件的规定和要求提供货物及服务，报价详见《开标（报价）一览表》。</w:t>
      </w:r>
    </w:p>
    <w:p w14:paraId="28A77390">
      <w:pPr>
        <w:snapToGrid w:val="0"/>
        <w:spacing w:line="360" w:lineRule="auto"/>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2.我方同意90天的投标有效期，严格遵守投标文件的各项承诺。在此期限届满之前，本投标文件始终对我方具有约束力，并随时接受中标。我方承诺在投标有效期内不修改、撤销投标文件。</w:t>
      </w:r>
    </w:p>
    <w:p w14:paraId="34C13E43">
      <w:pPr>
        <w:snapToGrid w:val="0"/>
        <w:spacing w:line="360" w:lineRule="auto"/>
        <w:ind w:firstLine="480" w:firstLineChars="200"/>
        <w:rPr>
          <w:rFonts w:ascii="仿宋" w:hAnsi="仿宋" w:eastAsia="仿宋" w:cs="仿宋"/>
          <w:b/>
          <w:strike/>
          <w:kern w:val="0"/>
          <w:sz w:val="24"/>
          <w:szCs w:val="24"/>
          <w:highlight w:val="none"/>
        </w:rPr>
      </w:pPr>
      <w:r>
        <w:rPr>
          <w:rFonts w:hint="eastAsia" w:ascii="仿宋" w:hAnsi="仿宋" w:eastAsia="仿宋" w:cs="仿宋"/>
          <w:kern w:val="0"/>
          <w:sz w:val="24"/>
          <w:szCs w:val="24"/>
          <w:highlight w:val="none"/>
        </w:rPr>
        <w:t>3. 我方愿意遵守本招标文件的规定和要求并提供招标文件中要求的所有资料，若投标文件中存在虚假资料的，则视为我方隐瞒真实情况、提供虚假资料，我方愿意接受主管部门做出的行政处罚。</w:t>
      </w:r>
    </w:p>
    <w:p w14:paraId="6578BD69">
      <w:pPr>
        <w:snapToGrid w:val="0"/>
        <w:spacing w:line="360" w:lineRule="auto"/>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4.我方同意价格是中标的主要选择标准，但不是唯一的选择标准。</w:t>
      </w:r>
    </w:p>
    <w:p w14:paraId="594F472F">
      <w:pPr>
        <w:snapToGrid w:val="0"/>
        <w:spacing w:line="360" w:lineRule="auto"/>
        <w:ind w:firstLine="360" w:firstLineChars="150"/>
        <w:rPr>
          <w:rFonts w:ascii="仿宋" w:hAnsi="仿宋" w:eastAsia="仿宋" w:cs="仿宋"/>
          <w:kern w:val="0"/>
          <w:sz w:val="24"/>
          <w:szCs w:val="24"/>
          <w:highlight w:val="none"/>
        </w:rPr>
      </w:pPr>
      <w:r>
        <w:rPr>
          <w:rFonts w:hint="eastAsia" w:ascii="仿宋" w:hAnsi="仿宋" w:eastAsia="仿宋" w:cs="仿宋"/>
          <w:kern w:val="0"/>
          <w:sz w:val="24"/>
          <w:szCs w:val="24"/>
          <w:highlight w:val="none"/>
        </w:rPr>
        <w:t xml:space="preserve"> 5.如果我方中标：</w:t>
      </w:r>
    </w:p>
    <w:p w14:paraId="6CFCB0F6">
      <w:pPr>
        <w:snapToGrid w:val="0"/>
        <w:spacing w:line="360" w:lineRule="auto"/>
        <w:ind w:firstLine="360" w:firstLineChars="150"/>
        <w:rPr>
          <w:rFonts w:ascii="仿宋" w:hAnsi="仿宋" w:eastAsia="仿宋" w:cs="仿宋"/>
          <w:kern w:val="0"/>
          <w:sz w:val="24"/>
          <w:szCs w:val="24"/>
          <w:highlight w:val="none"/>
        </w:rPr>
      </w:pPr>
      <w:r>
        <w:rPr>
          <w:rFonts w:hint="eastAsia" w:ascii="仿宋" w:hAnsi="仿宋" w:eastAsia="仿宋" w:cs="仿宋"/>
          <w:kern w:val="0"/>
          <w:sz w:val="24"/>
          <w:szCs w:val="24"/>
          <w:highlight w:val="none"/>
        </w:rPr>
        <w:t>（1）我方承诺在中标通知书发出后，在规定期限内与</w:t>
      </w:r>
      <w:r>
        <w:rPr>
          <w:rFonts w:hint="eastAsia" w:ascii="仿宋" w:hAnsi="仿宋" w:eastAsia="仿宋" w:cs="仿宋"/>
          <w:kern w:val="0"/>
          <w:sz w:val="24"/>
          <w:szCs w:val="24"/>
          <w:highlight w:val="none"/>
          <w:lang w:eastAsia="zh-CN"/>
        </w:rPr>
        <w:t>招标人</w:t>
      </w:r>
      <w:r>
        <w:rPr>
          <w:rFonts w:hint="eastAsia" w:ascii="仿宋" w:hAnsi="仿宋" w:eastAsia="仿宋" w:cs="仿宋"/>
          <w:kern w:val="0"/>
          <w:sz w:val="24"/>
          <w:szCs w:val="24"/>
          <w:highlight w:val="none"/>
        </w:rPr>
        <w:t>签订合同；</w:t>
      </w:r>
    </w:p>
    <w:p w14:paraId="248AA1C3">
      <w:pPr>
        <w:snapToGrid w:val="0"/>
        <w:spacing w:line="360" w:lineRule="auto"/>
        <w:ind w:firstLine="360" w:firstLineChars="150"/>
        <w:rPr>
          <w:rFonts w:ascii="仿宋" w:hAnsi="仿宋" w:eastAsia="仿宋" w:cs="仿宋"/>
          <w:kern w:val="0"/>
          <w:sz w:val="24"/>
          <w:szCs w:val="24"/>
          <w:highlight w:val="none"/>
        </w:rPr>
      </w:pPr>
      <w:r>
        <w:rPr>
          <w:rFonts w:hint="eastAsia" w:ascii="仿宋" w:hAnsi="仿宋" w:eastAsia="仿宋" w:cs="仿宋"/>
          <w:kern w:val="0"/>
          <w:sz w:val="24"/>
          <w:szCs w:val="24"/>
          <w:highlight w:val="none"/>
        </w:rPr>
        <w:t>（2）我方承诺在合同约定的期限内，按期、保质、保量完成</w:t>
      </w:r>
      <w:r>
        <w:rPr>
          <w:rFonts w:hint="eastAsia" w:ascii="仿宋" w:hAnsi="仿宋" w:eastAsia="仿宋" w:cs="仿宋"/>
          <w:kern w:val="0"/>
          <w:sz w:val="24"/>
          <w:szCs w:val="24"/>
          <w:highlight w:val="none"/>
          <w:lang w:val="en-US" w:eastAsia="zh-CN"/>
        </w:rPr>
        <w:t>本项目</w:t>
      </w:r>
      <w:r>
        <w:rPr>
          <w:rFonts w:hint="eastAsia" w:ascii="仿宋" w:hAnsi="仿宋" w:eastAsia="仿宋" w:cs="仿宋"/>
          <w:kern w:val="0"/>
          <w:sz w:val="24"/>
          <w:szCs w:val="24"/>
          <w:highlight w:val="none"/>
        </w:rPr>
        <w:t>任务；</w:t>
      </w:r>
    </w:p>
    <w:p w14:paraId="1A4D2740">
      <w:pPr>
        <w:snapToGrid w:val="0"/>
        <w:spacing w:line="360" w:lineRule="auto"/>
        <w:ind w:firstLine="360" w:firstLineChars="150"/>
        <w:rPr>
          <w:rFonts w:eastAsia="仿宋"/>
          <w:highlight w:val="none"/>
        </w:rPr>
      </w:pPr>
      <w:r>
        <w:rPr>
          <w:rFonts w:hint="eastAsia" w:ascii="仿宋" w:hAnsi="仿宋" w:eastAsia="仿宋" w:cs="仿宋"/>
          <w:kern w:val="0"/>
          <w:sz w:val="24"/>
          <w:szCs w:val="24"/>
          <w:highlight w:val="none"/>
        </w:rPr>
        <w:t>（3）我方承诺响应招标文件中的付款方式；</w:t>
      </w:r>
    </w:p>
    <w:p w14:paraId="61DC4ADA">
      <w:pPr>
        <w:snapToGrid w:val="0"/>
        <w:spacing w:line="360" w:lineRule="auto"/>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6.</w:t>
      </w:r>
      <w:r>
        <w:rPr>
          <w:rFonts w:hint="eastAsia" w:ascii="仿宋" w:hAnsi="仿宋" w:eastAsia="仿宋" w:cs="仿宋"/>
          <w:sz w:val="24"/>
          <w:szCs w:val="24"/>
          <w:highlight w:val="none"/>
        </w:rPr>
        <w:t xml:space="preserve"> </w:t>
      </w:r>
      <w:r>
        <w:rPr>
          <w:rFonts w:hint="eastAsia" w:ascii="仿宋" w:hAnsi="仿宋" w:eastAsia="仿宋" w:cs="仿宋"/>
          <w:kern w:val="0"/>
          <w:sz w:val="24"/>
          <w:szCs w:val="24"/>
          <w:highlight w:val="none"/>
        </w:rPr>
        <w:t>我方在此声明，所递交的投标文件及有关资料内容完整、真实和准确，如有弄虚作假，一旦中标将取消中标资格。</w:t>
      </w:r>
    </w:p>
    <w:p w14:paraId="71848307">
      <w:pPr>
        <w:snapToGrid w:val="0"/>
        <w:spacing w:line="360" w:lineRule="auto"/>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7.所有有关本</w:t>
      </w:r>
      <w:r>
        <w:rPr>
          <w:rFonts w:hint="eastAsia" w:ascii="仿宋" w:hAnsi="仿宋" w:eastAsia="仿宋" w:cs="仿宋"/>
          <w:kern w:val="0"/>
          <w:sz w:val="24"/>
          <w:szCs w:val="24"/>
          <w:highlight w:val="none"/>
          <w:lang w:val="en-US" w:eastAsia="zh-CN"/>
        </w:rPr>
        <w:t>投标</w:t>
      </w:r>
      <w:r>
        <w:rPr>
          <w:rFonts w:hint="eastAsia" w:ascii="仿宋" w:hAnsi="仿宋" w:eastAsia="仿宋" w:cs="仿宋"/>
          <w:kern w:val="0"/>
          <w:sz w:val="24"/>
          <w:szCs w:val="24"/>
          <w:highlight w:val="none"/>
        </w:rPr>
        <w:t>的函电，请按下列地址联系：</w:t>
      </w:r>
    </w:p>
    <w:p w14:paraId="743BCBBF">
      <w:pPr>
        <w:snapToGrid w:val="0"/>
        <w:spacing w:line="360" w:lineRule="auto"/>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单    位：                     邮政编码：</w:t>
      </w:r>
    </w:p>
    <w:p w14:paraId="6EFC0B6F">
      <w:pPr>
        <w:snapToGrid w:val="0"/>
        <w:spacing w:line="360" w:lineRule="auto"/>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地    址：                     联 系 人：</w:t>
      </w:r>
    </w:p>
    <w:p w14:paraId="631FE8C9">
      <w:pPr>
        <w:snapToGrid w:val="0"/>
        <w:spacing w:line="360" w:lineRule="auto"/>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电    话：                     传    真：</w:t>
      </w:r>
    </w:p>
    <w:p w14:paraId="2F0B4F45">
      <w:pPr>
        <w:snapToGrid w:val="0"/>
        <w:spacing w:line="360" w:lineRule="auto"/>
        <w:ind w:firstLine="480" w:firstLineChars="2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开户名称：                     开户银行：</w:t>
      </w:r>
    </w:p>
    <w:p w14:paraId="21ED9595">
      <w:pPr>
        <w:snapToGrid w:val="0"/>
        <w:spacing w:line="360" w:lineRule="auto"/>
        <w:ind w:firstLine="480" w:firstLineChars="2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开户账号：</w:t>
      </w:r>
    </w:p>
    <w:p w14:paraId="009AA044">
      <w:pPr>
        <w:snapToGrid w:val="0"/>
        <w:spacing w:line="360" w:lineRule="auto"/>
        <w:ind w:firstLine="480" w:firstLineChars="2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投标人（盖章）：</w:t>
      </w:r>
    </w:p>
    <w:p w14:paraId="7CE1259C">
      <w:pPr>
        <w:snapToGrid w:val="0"/>
        <w:spacing w:line="360" w:lineRule="auto"/>
        <w:ind w:firstLine="480" w:firstLineChars="2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法定代表人</w:t>
      </w:r>
      <w:r>
        <w:rPr>
          <w:rFonts w:hint="eastAsia" w:ascii="仿宋" w:hAnsi="仿宋" w:eastAsia="仿宋" w:cs="仿宋"/>
          <w:spacing w:val="8"/>
          <w:sz w:val="24"/>
          <w:szCs w:val="24"/>
          <w:highlight w:val="none"/>
          <w:lang w:eastAsia="zh-CN"/>
        </w:rPr>
        <w:t>（</w:t>
      </w:r>
      <w:r>
        <w:rPr>
          <w:rFonts w:hint="eastAsia" w:ascii="仿宋" w:hAnsi="仿宋" w:eastAsia="仿宋" w:cs="仿宋"/>
          <w:spacing w:val="8"/>
          <w:sz w:val="24"/>
          <w:szCs w:val="24"/>
          <w:highlight w:val="none"/>
          <w:lang w:val="en-US" w:eastAsia="zh-CN"/>
        </w:rPr>
        <w:t>负责人</w:t>
      </w:r>
      <w:r>
        <w:rPr>
          <w:rFonts w:hint="eastAsia" w:ascii="仿宋" w:hAnsi="仿宋" w:eastAsia="仿宋" w:cs="仿宋"/>
          <w:spacing w:val="8"/>
          <w:sz w:val="24"/>
          <w:szCs w:val="24"/>
          <w:highlight w:val="none"/>
          <w:lang w:eastAsia="zh-CN"/>
        </w:rPr>
        <w:t>）</w:t>
      </w:r>
      <w:r>
        <w:rPr>
          <w:rFonts w:hint="eastAsia" w:ascii="仿宋" w:hAnsi="仿宋" w:eastAsia="仿宋" w:cs="仿宋"/>
          <w:kern w:val="0"/>
          <w:sz w:val="24"/>
          <w:szCs w:val="24"/>
          <w:highlight w:val="none"/>
        </w:rPr>
        <w:t>或被授权人（签字或盖章）：</w:t>
      </w:r>
    </w:p>
    <w:p w14:paraId="759F5827">
      <w:pPr>
        <w:snapToGrid w:val="0"/>
        <w:spacing w:line="360" w:lineRule="auto"/>
        <w:ind w:firstLine="480" w:firstLineChars="2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开标日期：××年××月××日</w:t>
      </w:r>
    </w:p>
    <w:p w14:paraId="42F3A306">
      <w:pPr>
        <w:jc w:val="center"/>
        <w:rPr>
          <w:rFonts w:ascii="仿宋" w:hAnsi="仿宋" w:eastAsia="仿宋" w:cs="仿宋"/>
          <w:sz w:val="36"/>
          <w:szCs w:val="36"/>
          <w:highlight w:val="none"/>
          <w:u w:val="single"/>
        </w:rPr>
      </w:pPr>
      <w:r>
        <w:rPr>
          <w:rFonts w:hint="eastAsia" w:ascii="仿宋" w:hAnsi="仿宋" w:eastAsia="仿宋" w:cs="仿宋"/>
          <w:sz w:val="24"/>
          <w:szCs w:val="24"/>
          <w:highlight w:val="none"/>
        </w:rPr>
        <w:br w:type="page"/>
      </w:r>
      <w:r>
        <w:rPr>
          <w:rFonts w:hint="eastAsia" w:ascii="仿宋" w:hAnsi="仿宋" w:eastAsia="仿宋" w:cs="仿宋"/>
          <w:b/>
          <w:bCs/>
          <w:sz w:val="30"/>
          <w:szCs w:val="30"/>
          <w:highlight w:val="none"/>
        </w:rPr>
        <w:t>开标一览表</w:t>
      </w:r>
    </w:p>
    <w:p w14:paraId="0A9DBBFC">
      <w:pPr>
        <w:pStyle w:val="23"/>
        <w:wordWrap w:val="0"/>
        <w:spacing w:line="520" w:lineRule="exact"/>
        <w:rPr>
          <w:rFonts w:hint="eastAsia" w:ascii="仿宋" w:hAnsi="仿宋" w:eastAsia="仿宋" w:cs="Times New Roman"/>
          <w:color w:val="auto"/>
          <w:sz w:val="24"/>
          <w:szCs w:val="24"/>
          <w:highlight w:val="none"/>
        </w:rPr>
      </w:pPr>
      <w:r>
        <w:rPr>
          <w:rFonts w:hint="eastAsia" w:ascii="仿宋" w:hAnsi="仿宋" w:eastAsia="仿宋"/>
          <w:color w:val="auto"/>
          <w:sz w:val="24"/>
          <w:szCs w:val="24"/>
          <w:highlight w:val="none"/>
          <w:lang w:val="en-US" w:eastAsia="zh-CN"/>
        </w:rPr>
        <w:t>招标</w:t>
      </w:r>
      <w:r>
        <w:rPr>
          <w:rFonts w:hint="eastAsia" w:ascii="仿宋" w:hAnsi="仿宋" w:eastAsia="仿宋"/>
          <w:color w:val="auto"/>
          <w:sz w:val="24"/>
          <w:szCs w:val="24"/>
          <w:highlight w:val="none"/>
        </w:rPr>
        <w:t>编号：</w:t>
      </w:r>
      <w:r>
        <w:rPr>
          <w:rFonts w:hint="eastAsia" w:ascii="仿宋" w:hAnsi="仿宋" w:eastAsia="仿宋"/>
          <w:color w:val="auto"/>
          <w:sz w:val="24"/>
          <w:szCs w:val="24"/>
          <w:highlight w:val="none"/>
          <w:lang w:eastAsia="zh-CN"/>
        </w:rPr>
        <w:t>WHJTCZ2026-0007</w:t>
      </w:r>
    </w:p>
    <w:p w14:paraId="0A6269B1">
      <w:pPr>
        <w:pStyle w:val="23"/>
        <w:wordWrap w:val="0"/>
        <w:spacing w:line="520" w:lineRule="exact"/>
        <w:rPr>
          <w:rFonts w:hint="eastAsia"/>
          <w:highlight w:val="none"/>
        </w:rPr>
      </w:pPr>
      <w:r>
        <w:rPr>
          <w:rFonts w:hint="eastAsia" w:ascii="仿宋" w:hAnsi="仿宋" w:eastAsia="仿宋"/>
          <w:color w:val="auto"/>
          <w:sz w:val="24"/>
          <w:szCs w:val="24"/>
          <w:highlight w:val="none"/>
        </w:rPr>
        <w:t>项目名称：</w:t>
      </w:r>
      <w:r>
        <w:rPr>
          <w:rFonts w:hint="eastAsia" w:ascii="仿宋" w:hAnsi="仿宋" w:eastAsia="仿宋"/>
          <w:color w:val="auto"/>
          <w:sz w:val="24"/>
          <w:szCs w:val="24"/>
          <w:highlight w:val="none"/>
          <w:lang w:eastAsia="zh-CN"/>
        </w:rPr>
        <w:t>选定车辆定点加油服务单位</w:t>
      </w:r>
    </w:p>
    <w:tbl>
      <w:tblPr>
        <w:tblStyle w:val="41"/>
        <w:tblW w:w="96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88"/>
        <w:gridCol w:w="1124"/>
        <w:gridCol w:w="5267"/>
      </w:tblGrid>
      <w:tr w14:paraId="58D594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7" w:hRule="atLeast"/>
          <w:jc w:val="center"/>
        </w:trPr>
        <w:tc>
          <w:tcPr>
            <w:tcW w:w="3288" w:type="dxa"/>
            <w:noWrap w:val="0"/>
            <w:vAlign w:val="center"/>
          </w:tcPr>
          <w:p w14:paraId="5709F5B3">
            <w:pPr>
              <w:tabs>
                <w:tab w:val="left" w:pos="4860"/>
              </w:tabs>
              <w:spacing w:line="440" w:lineRule="exact"/>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标包号</w:t>
            </w:r>
          </w:p>
        </w:tc>
        <w:tc>
          <w:tcPr>
            <w:tcW w:w="6391" w:type="dxa"/>
            <w:gridSpan w:val="2"/>
            <w:noWrap w:val="0"/>
            <w:vAlign w:val="center"/>
          </w:tcPr>
          <w:p w14:paraId="36D1AC3D">
            <w:pPr>
              <w:tabs>
                <w:tab w:val="left" w:pos="4860"/>
              </w:tabs>
              <w:spacing w:line="440" w:lineRule="exact"/>
              <w:rPr>
                <w:rFonts w:hint="default" w:ascii="仿宋" w:hAnsi="仿宋" w:eastAsia="仿宋" w:cs="仿宋"/>
                <w:sz w:val="24"/>
                <w:highlight w:val="none"/>
                <w:u w:val="single"/>
                <w:lang w:val="en-US" w:eastAsia="zh-CN"/>
              </w:rPr>
            </w:pPr>
            <w:r>
              <w:rPr>
                <w:rFonts w:hint="eastAsia" w:ascii="仿宋" w:hAnsi="仿宋" w:eastAsia="仿宋" w:cs="仿宋"/>
                <w:sz w:val="24"/>
                <w:highlight w:val="none"/>
                <w:u w:val="none"/>
                <w:lang w:val="en-US" w:eastAsia="zh-CN"/>
              </w:rPr>
              <w:t>标包</w:t>
            </w:r>
            <w:r>
              <w:rPr>
                <w:rFonts w:hint="eastAsia" w:ascii="仿宋" w:hAnsi="仿宋" w:eastAsia="仿宋" w:cs="仿宋"/>
                <w:sz w:val="24"/>
                <w:highlight w:val="none"/>
                <w:u w:val="single"/>
                <w:lang w:val="en-US" w:eastAsia="zh-CN"/>
              </w:rPr>
              <w:t xml:space="preserve"> 二 </w:t>
            </w:r>
          </w:p>
        </w:tc>
      </w:tr>
      <w:tr w14:paraId="288B60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7" w:hRule="atLeast"/>
          <w:jc w:val="center"/>
        </w:trPr>
        <w:tc>
          <w:tcPr>
            <w:tcW w:w="3288" w:type="dxa"/>
            <w:noWrap w:val="0"/>
            <w:vAlign w:val="center"/>
          </w:tcPr>
          <w:p w14:paraId="44DD5E0D">
            <w:pPr>
              <w:tabs>
                <w:tab w:val="left" w:pos="4860"/>
              </w:tabs>
              <w:spacing w:line="440" w:lineRule="exact"/>
              <w:jc w:val="center"/>
              <w:rPr>
                <w:rFonts w:hint="eastAsia" w:ascii="仿宋" w:hAnsi="仿宋" w:eastAsia="仿宋" w:cs="仿宋"/>
                <w:sz w:val="24"/>
                <w:highlight w:val="none"/>
                <w:lang w:eastAsia="zh-CN"/>
              </w:rPr>
            </w:pPr>
            <w:r>
              <w:rPr>
                <w:rFonts w:hint="eastAsia" w:ascii="仿宋" w:hAnsi="仿宋" w:eastAsia="仿宋" w:cs="仿宋"/>
                <w:sz w:val="24"/>
                <w:highlight w:val="none"/>
                <w:lang w:eastAsia="zh-Hans"/>
              </w:rPr>
              <w:t>投标报价</w:t>
            </w:r>
          </w:p>
        </w:tc>
        <w:tc>
          <w:tcPr>
            <w:tcW w:w="1124" w:type="dxa"/>
            <w:noWrap w:val="0"/>
            <w:vAlign w:val="center"/>
          </w:tcPr>
          <w:p w14:paraId="2638DFB5">
            <w:pPr>
              <w:tabs>
                <w:tab w:val="left" w:pos="4860"/>
              </w:tabs>
              <w:spacing w:line="440" w:lineRule="exact"/>
              <w:rPr>
                <w:rFonts w:hint="eastAsia" w:ascii="仿宋" w:hAnsi="仿宋" w:eastAsia="仿宋" w:cs="仿宋"/>
                <w:sz w:val="24"/>
                <w:highlight w:val="none"/>
                <w:u w:val="none"/>
                <w:lang w:val="en-US" w:eastAsia="zh-CN"/>
              </w:rPr>
            </w:pPr>
            <w:r>
              <w:rPr>
                <w:rFonts w:hint="eastAsia" w:ascii="仿宋" w:hAnsi="仿宋" w:eastAsia="仿宋" w:cs="仿宋"/>
                <w:sz w:val="24"/>
                <w:highlight w:val="none"/>
                <w:u w:val="none"/>
                <w:lang w:val="en-US" w:eastAsia="zh-CN"/>
              </w:rPr>
              <w:t>标包二</w:t>
            </w:r>
          </w:p>
        </w:tc>
        <w:tc>
          <w:tcPr>
            <w:tcW w:w="5267" w:type="dxa"/>
            <w:noWrap w:val="0"/>
            <w:vAlign w:val="center"/>
          </w:tcPr>
          <w:p w14:paraId="6CBE8929">
            <w:pPr>
              <w:snapToGrid w:val="0"/>
              <w:spacing w:line="400" w:lineRule="exact"/>
              <w:jc w:val="left"/>
              <w:rPr>
                <w:rFonts w:hint="eastAsia" w:ascii="仿宋" w:hAnsi="仿宋" w:eastAsia="仿宋" w:cs="仿宋"/>
                <w:sz w:val="24"/>
                <w:highlight w:val="none"/>
                <w:u w:val="single"/>
                <w:lang w:val="en-US" w:eastAsia="zh-CN"/>
              </w:rPr>
            </w:pPr>
            <w:r>
              <w:rPr>
                <w:rFonts w:hint="eastAsia" w:ascii="仿宋" w:hAnsi="仿宋" w:eastAsia="仿宋" w:cs="仿宋"/>
                <w:b w:val="0"/>
                <w:bCs w:val="0"/>
                <w:color w:val="000000"/>
                <w:kern w:val="0"/>
                <w:sz w:val="24"/>
                <w:szCs w:val="24"/>
                <w:highlight w:val="none"/>
                <w:lang w:val="en-US" w:eastAsia="zh-CN"/>
              </w:rPr>
              <w:t>在</w:t>
            </w:r>
            <w:r>
              <w:rPr>
                <w:rFonts w:hint="eastAsia" w:ascii="仿宋" w:hAnsi="仿宋" w:eastAsia="仿宋" w:cs="仿宋"/>
                <w:b w:val="0"/>
                <w:bCs w:val="0"/>
                <w:color w:val="000000"/>
                <w:kern w:val="0"/>
                <w:sz w:val="24"/>
                <w:szCs w:val="24"/>
                <w:highlight w:val="none"/>
              </w:rPr>
              <w:t>国家发改委规定的当日成品油零售限价</w:t>
            </w:r>
            <w:r>
              <w:rPr>
                <w:rFonts w:hint="eastAsia" w:ascii="仿宋" w:hAnsi="仿宋" w:eastAsia="仿宋" w:cs="仿宋"/>
                <w:b w:val="0"/>
                <w:bCs w:val="0"/>
                <w:color w:val="000000"/>
                <w:kern w:val="0"/>
                <w:sz w:val="24"/>
                <w:szCs w:val="24"/>
                <w:highlight w:val="none"/>
                <w:lang w:val="en-US" w:eastAsia="zh-CN"/>
              </w:rPr>
              <w:t>的</w:t>
            </w:r>
            <w:r>
              <w:rPr>
                <w:rFonts w:hint="eastAsia" w:ascii="仿宋" w:hAnsi="仿宋" w:eastAsia="仿宋" w:cs="仿宋"/>
                <w:b w:val="0"/>
                <w:bCs w:val="0"/>
                <w:color w:val="000000"/>
                <w:kern w:val="0"/>
                <w:sz w:val="24"/>
                <w:szCs w:val="24"/>
                <w:highlight w:val="none"/>
              </w:rPr>
              <w:t>基础上</w:t>
            </w:r>
            <w:r>
              <w:rPr>
                <w:rFonts w:hint="eastAsia" w:ascii="仿宋" w:hAnsi="仿宋" w:eastAsia="仿宋" w:cs="仿宋"/>
                <w:b w:val="0"/>
                <w:bCs w:val="0"/>
                <w:color w:val="000000"/>
                <w:kern w:val="0"/>
                <w:sz w:val="24"/>
                <w:szCs w:val="24"/>
                <w:highlight w:val="none"/>
                <w:lang w:eastAsia="zh-CN"/>
              </w:rPr>
              <w:t>，</w:t>
            </w:r>
            <w:r>
              <w:rPr>
                <w:rFonts w:hint="eastAsia" w:ascii="仿宋" w:hAnsi="仿宋" w:eastAsia="仿宋" w:cs="仿宋"/>
                <w:b w:val="0"/>
                <w:bCs w:val="0"/>
                <w:color w:val="000000"/>
                <w:kern w:val="0"/>
                <w:sz w:val="24"/>
                <w:szCs w:val="24"/>
                <w:highlight w:val="none"/>
                <w:lang w:val="en-US" w:eastAsia="zh-CN"/>
              </w:rPr>
              <w:t>折扣率为</w:t>
            </w:r>
            <w:r>
              <w:rPr>
                <w:rFonts w:hint="eastAsia" w:ascii="仿宋" w:hAnsi="仿宋" w:eastAsia="仿宋" w:cs="仿宋"/>
                <w:b w:val="0"/>
                <w:bCs w:val="0"/>
                <w:kern w:val="0"/>
                <w:sz w:val="24"/>
                <w:szCs w:val="24"/>
                <w:highlight w:val="none"/>
                <w:u w:val="single"/>
                <w:lang w:val="en-US" w:eastAsia="zh-CN"/>
              </w:rPr>
              <w:t xml:space="preserve">     </w:t>
            </w:r>
            <w:r>
              <w:rPr>
                <w:rFonts w:hint="eastAsia" w:ascii="仿宋" w:hAnsi="仿宋" w:eastAsia="仿宋" w:cs="仿宋"/>
                <w:b w:val="0"/>
                <w:bCs w:val="0"/>
                <w:kern w:val="0"/>
                <w:sz w:val="24"/>
                <w:szCs w:val="24"/>
                <w:highlight w:val="none"/>
                <w:lang w:val="en-US" w:eastAsia="zh-CN"/>
              </w:rPr>
              <w:t>%</w:t>
            </w:r>
            <w:r>
              <w:rPr>
                <w:rFonts w:hint="eastAsia" w:ascii="仿宋" w:hAnsi="仿宋" w:eastAsia="仿宋" w:cs="仿宋"/>
                <w:b/>
                <w:bCs/>
                <w:kern w:val="0"/>
                <w:sz w:val="24"/>
                <w:szCs w:val="24"/>
                <w:highlight w:val="none"/>
                <w:lang w:val="en-US" w:eastAsia="zh-CN"/>
              </w:rPr>
              <w:t>（</w:t>
            </w:r>
            <w:r>
              <w:rPr>
                <w:rFonts w:hint="eastAsia" w:ascii="仿宋" w:hAnsi="仿宋" w:eastAsia="仿宋" w:cs="仿宋"/>
                <w:b/>
                <w:bCs/>
                <w:color w:val="000000"/>
                <w:kern w:val="0"/>
                <w:sz w:val="24"/>
                <w:szCs w:val="24"/>
                <w:highlight w:val="none"/>
                <w:lang w:val="en-US" w:eastAsia="zh-CN"/>
              </w:rPr>
              <w:t>仅在</w:t>
            </w:r>
            <w:r>
              <w:rPr>
                <w:rFonts w:hint="eastAsia" w:ascii="仿宋" w:hAnsi="仿宋" w:eastAsia="仿宋" w:cs="仿宋"/>
                <w:b/>
                <w:bCs/>
                <w:spacing w:val="8"/>
                <w:kern w:val="2"/>
                <w:sz w:val="24"/>
                <w:szCs w:val="24"/>
                <w:highlight w:val="none"/>
                <w:lang w:val="en-US" w:eastAsia="zh-CN" w:bidi="ar-SA"/>
              </w:rPr>
              <w:t>山东省内的加油站点执行折扣优惠</w:t>
            </w:r>
            <w:r>
              <w:rPr>
                <w:rFonts w:hint="eastAsia" w:ascii="仿宋" w:hAnsi="仿宋" w:eastAsia="仿宋" w:cs="仿宋"/>
                <w:b/>
                <w:bCs/>
                <w:kern w:val="0"/>
                <w:sz w:val="24"/>
                <w:szCs w:val="24"/>
                <w:highlight w:val="none"/>
                <w:lang w:val="en-US" w:eastAsia="zh-CN"/>
              </w:rPr>
              <w:t>）</w:t>
            </w:r>
          </w:p>
        </w:tc>
      </w:tr>
      <w:tr w14:paraId="204C82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0" w:hRule="atLeast"/>
          <w:jc w:val="center"/>
        </w:trPr>
        <w:tc>
          <w:tcPr>
            <w:tcW w:w="3288" w:type="dxa"/>
            <w:noWrap w:val="0"/>
            <w:vAlign w:val="center"/>
          </w:tcPr>
          <w:p w14:paraId="39BB4C40">
            <w:pPr>
              <w:tabs>
                <w:tab w:val="left" w:pos="4860"/>
              </w:tabs>
              <w:spacing w:line="440" w:lineRule="exact"/>
              <w:jc w:val="center"/>
              <w:rPr>
                <w:rFonts w:hint="eastAsia" w:ascii="仿宋" w:hAnsi="仿宋" w:eastAsia="仿宋" w:cs="仿宋"/>
                <w:sz w:val="24"/>
                <w:highlight w:val="none"/>
                <w:lang w:eastAsia="zh-CN"/>
              </w:rPr>
            </w:pPr>
            <w:r>
              <w:rPr>
                <w:rFonts w:hint="eastAsia" w:ascii="仿宋" w:hAnsi="仿宋" w:eastAsia="仿宋" w:cs="仿宋"/>
                <w:sz w:val="24"/>
                <w:highlight w:val="none"/>
                <w:lang w:val="en-US" w:eastAsia="zh-CN"/>
              </w:rPr>
              <w:t>服务期</w:t>
            </w:r>
          </w:p>
        </w:tc>
        <w:tc>
          <w:tcPr>
            <w:tcW w:w="6391" w:type="dxa"/>
            <w:gridSpan w:val="2"/>
            <w:noWrap w:val="0"/>
            <w:vAlign w:val="center"/>
          </w:tcPr>
          <w:p w14:paraId="494AFB2F">
            <w:pPr>
              <w:tabs>
                <w:tab w:val="left" w:pos="4860"/>
              </w:tabs>
              <w:spacing w:line="440" w:lineRule="exact"/>
              <w:ind w:hanging="4"/>
              <w:rPr>
                <w:rFonts w:hint="eastAsia" w:ascii="仿宋" w:hAnsi="仿宋" w:eastAsia="仿宋" w:cs="仿宋"/>
                <w:sz w:val="24"/>
                <w:highlight w:val="none"/>
              </w:rPr>
            </w:pPr>
            <w:r>
              <w:rPr>
                <w:rFonts w:hint="eastAsia" w:ascii="仿宋" w:hAnsi="仿宋" w:eastAsia="仿宋" w:cs="仿宋"/>
                <w:sz w:val="24"/>
                <w:highlight w:val="none"/>
              </w:rPr>
              <w:t>自合同签订之日起一年,合同期满双方无异议</w:t>
            </w:r>
            <w:r>
              <w:rPr>
                <w:rFonts w:hint="eastAsia" w:ascii="仿宋" w:hAnsi="仿宋" w:eastAsia="仿宋" w:cs="仿宋"/>
                <w:sz w:val="24"/>
                <w:highlight w:val="none"/>
                <w:lang w:val="en-US" w:eastAsia="zh-CN"/>
              </w:rPr>
              <w:t>后</w:t>
            </w:r>
            <w:r>
              <w:rPr>
                <w:rFonts w:hint="eastAsia" w:ascii="仿宋" w:hAnsi="仿宋" w:eastAsia="仿宋" w:cs="仿宋"/>
                <w:sz w:val="24"/>
                <w:highlight w:val="none"/>
              </w:rPr>
              <w:t>可以续签，但最长不超过三年</w:t>
            </w:r>
          </w:p>
        </w:tc>
      </w:tr>
      <w:tr w14:paraId="665FAE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3288" w:type="dxa"/>
            <w:noWrap w:val="0"/>
            <w:vAlign w:val="center"/>
          </w:tcPr>
          <w:p w14:paraId="414A0F65">
            <w:pPr>
              <w:tabs>
                <w:tab w:val="left" w:pos="4860"/>
              </w:tabs>
              <w:spacing w:line="440" w:lineRule="exact"/>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eastAsia="zh-Hans"/>
              </w:rPr>
              <w:t>报价声明</w:t>
            </w:r>
          </w:p>
        </w:tc>
        <w:tc>
          <w:tcPr>
            <w:tcW w:w="6391" w:type="dxa"/>
            <w:gridSpan w:val="2"/>
            <w:noWrap w:val="0"/>
            <w:vAlign w:val="center"/>
          </w:tcPr>
          <w:p w14:paraId="2DAF7FB9">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 w:hAnsi="仿宋" w:eastAsia="仿宋" w:cs="仿宋"/>
                <w:b/>
                <w:bCs/>
                <w:color w:val="auto"/>
                <w:kern w:val="2"/>
                <w:sz w:val="24"/>
                <w:szCs w:val="24"/>
                <w:highlight w:val="none"/>
                <w:shd w:val="clear" w:color="auto" w:fill="FFFFFF"/>
                <w:lang w:val="en-US" w:eastAsia="zh-CN" w:bidi="ar-SA"/>
              </w:rPr>
            </w:pPr>
          </w:p>
        </w:tc>
      </w:tr>
    </w:tbl>
    <w:p w14:paraId="464D3A24">
      <w:pPr>
        <w:snapToGrid w:val="0"/>
        <w:spacing w:line="360" w:lineRule="auto"/>
        <w:ind w:firstLine="240" w:firstLineChars="100"/>
        <w:jc w:val="left"/>
        <w:rPr>
          <w:rFonts w:hint="eastAsia" w:ascii="仿宋" w:hAnsi="仿宋" w:eastAsia="仿宋" w:cs="仿宋"/>
          <w:sz w:val="24"/>
          <w:szCs w:val="24"/>
          <w:highlight w:val="none"/>
          <w:lang w:val="en-US" w:eastAsia="zh-CN"/>
        </w:rPr>
      </w:pPr>
    </w:p>
    <w:p w14:paraId="576E2B3D">
      <w:pPr>
        <w:pStyle w:val="58"/>
        <w:rPr>
          <w:rFonts w:hint="eastAsia"/>
          <w:highlight w:val="none"/>
        </w:rPr>
      </w:pPr>
    </w:p>
    <w:p w14:paraId="027A6342">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投标单位：（盖章）</w:t>
      </w:r>
    </w:p>
    <w:p w14:paraId="7492D417">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法定代表人</w:t>
      </w:r>
      <w:r>
        <w:rPr>
          <w:rFonts w:hint="eastAsia" w:ascii="仿宋" w:hAnsi="仿宋" w:eastAsia="仿宋" w:cs="仿宋"/>
          <w:spacing w:val="8"/>
          <w:sz w:val="24"/>
          <w:szCs w:val="24"/>
          <w:highlight w:val="none"/>
          <w:lang w:eastAsia="zh-CN"/>
        </w:rPr>
        <w:t>（</w:t>
      </w:r>
      <w:r>
        <w:rPr>
          <w:rFonts w:hint="eastAsia" w:ascii="仿宋" w:hAnsi="仿宋" w:eastAsia="仿宋" w:cs="仿宋"/>
          <w:spacing w:val="8"/>
          <w:sz w:val="24"/>
          <w:szCs w:val="24"/>
          <w:highlight w:val="none"/>
          <w:lang w:val="en-US" w:eastAsia="zh-CN"/>
        </w:rPr>
        <w:t>负责人</w:t>
      </w:r>
      <w:r>
        <w:rPr>
          <w:rFonts w:hint="eastAsia" w:ascii="仿宋" w:hAnsi="仿宋" w:eastAsia="仿宋" w:cs="仿宋"/>
          <w:spacing w:val="8"/>
          <w:sz w:val="24"/>
          <w:szCs w:val="24"/>
          <w:highlight w:val="none"/>
          <w:lang w:eastAsia="zh-CN"/>
        </w:rPr>
        <w:t>）</w:t>
      </w:r>
      <w:r>
        <w:rPr>
          <w:rFonts w:hint="eastAsia" w:ascii="仿宋" w:hAnsi="仿宋" w:eastAsia="仿宋" w:cs="仿宋"/>
          <w:sz w:val="24"/>
          <w:szCs w:val="24"/>
          <w:highlight w:val="none"/>
        </w:rPr>
        <w:t xml:space="preserve">或委托代理人：      </w:t>
      </w:r>
      <w:r>
        <w:rPr>
          <w:rFonts w:hint="eastAsia" w:ascii="仿宋" w:hAnsi="仿宋" w:eastAsia="仿宋" w:cs="仿宋"/>
          <w:sz w:val="24"/>
          <w:szCs w:val="24"/>
          <w:highlight w:val="none"/>
          <w:lang w:val="zh-CN"/>
        </w:rPr>
        <w:t>（签字或盖章）</w:t>
      </w:r>
    </w:p>
    <w:p w14:paraId="38408573">
      <w:pPr>
        <w:snapToGrid w:val="0"/>
        <w:spacing w:line="360" w:lineRule="auto"/>
        <w:ind w:firstLine="240" w:firstLineChars="100"/>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日期：</w:t>
      </w:r>
    </w:p>
    <w:p w14:paraId="0E0983D6">
      <w:pPr>
        <w:snapToGrid w:val="0"/>
        <w:spacing w:line="360" w:lineRule="auto"/>
        <w:ind w:firstLine="301" w:firstLineChars="100"/>
        <w:jc w:val="center"/>
        <w:rPr>
          <w:rFonts w:hint="eastAsia" w:ascii="仿宋" w:hAnsi="仿宋" w:eastAsia="仿宋" w:cs="仿宋"/>
          <w:b/>
          <w:bCs/>
          <w:kern w:val="2"/>
          <w:sz w:val="30"/>
          <w:szCs w:val="30"/>
          <w:highlight w:val="none"/>
          <w:lang w:val="en-US" w:eastAsia="zh-CN" w:bidi="ar-SA"/>
        </w:rPr>
        <w:sectPr>
          <w:headerReference r:id="rId17" w:type="default"/>
          <w:pgSz w:w="11906" w:h="16838"/>
          <w:pgMar w:top="1440" w:right="1803" w:bottom="1440" w:left="1803" w:header="851" w:footer="992" w:gutter="0"/>
          <w:pgBorders>
            <w:top w:val="none" w:sz="0" w:space="0"/>
            <w:left w:val="none" w:sz="0" w:space="0"/>
            <w:bottom w:val="none" w:sz="0" w:space="0"/>
            <w:right w:val="none" w:sz="0" w:space="0"/>
          </w:pgBorders>
          <w:cols w:space="720" w:num="1"/>
          <w:docGrid w:type="lines" w:linePitch="312" w:charSpace="0"/>
        </w:sectPr>
      </w:pPr>
    </w:p>
    <w:p w14:paraId="61856B63">
      <w:pPr>
        <w:jc w:val="center"/>
        <w:rPr>
          <w:rFonts w:hint="eastAsia" w:ascii="仿宋" w:hAnsi="仿宋" w:eastAsia="仿宋" w:cs="仿宋"/>
          <w:b/>
          <w:bCs/>
          <w:sz w:val="36"/>
          <w:szCs w:val="36"/>
          <w:highlight w:val="none"/>
        </w:rPr>
      </w:pPr>
      <w:r>
        <w:rPr>
          <w:rFonts w:hint="eastAsia" w:ascii="仿宋" w:hAnsi="仿宋" w:eastAsia="仿宋" w:cs="仿宋"/>
          <w:b/>
          <w:bCs/>
          <w:sz w:val="30"/>
          <w:szCs w:val="30"/>
          <w:highlight w:val="none"/>
        </w:rPr>
        <w:t>投标人信用承诺书</w:t>
      </w:r>
    </w:p>
    <w:p w14:paraId="75630CAE">
      <w:pPr>
        <w:keepNext w:val="0"/>
        <w:keepLines w:val="0"/>
        <w:pageBreakBefore w:val="0"/>
        <w:widowControl w:val="0"/>
        <w:kinsoku/>
        <w:wordWrap/>
        <w:overflowPunct/>
        <w:topLinePunct w:val="0"/>
        <w:bidi w:val="0"/>
        <w:snapToGrid w:val="0"/>
        <w:spacing w:line="360" w:lineRule="auto"/>
        <w:ind w:firstLine="480" w:firstLineChars="200"/>
        <w:textAlignment w:va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为营造公平竞争、规范有序的市场环境，树立诚信守法经营形象。本单位郑重承诺：</w:t>
      </w:r>
    </w:p>
    <w:p w14:paraId="796E31D5">
      <w:pPr>
        <w:keepNext w:val="0"/>
        <w:keepLines w:val="0"/>
        <w:pageBreakBefore w:val="0"/>
        <w:widowControl w:val="0"/>
        <w:kinsoku/>
        <w:wordWrap/>
        <w:overflowPunct/>
        <w:topLinePunct w:val="0"/>
        <w:bidi w:val="0"/>
        <w:snapToGrid w:val="0"/>
        <w:spacing w:line="360" w:lineRule="auto"/>
        <w:ind w:firstLine="480" w:firstLineChars="200"/>
        <w:textAlignment w:va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一、我方在此声明，本次招标投标活动中申报的所有资料都是真实、准确完整的，如发现提供虚假资料，或与事实不符而导致投标无效，甚至造成任何法律和经济责任，完全由我方负责。</w:t>
      </w:r>
    </w:p>
    <w:p w14:paraId="63606D9A">
      <w:pPr>
        <w:keepNext w:val="0"/>
        <w:keepLines w:val="0"/>
        <w:pageBreakBefore w:val="0"/>
        <w:widowControl w:val="0"/>
        <w:kinsoku/>
        <w:wordWrap/>
        <w:overflowPunct/>
        <w:topLinePunct w:val="0"/>
        <w:bidi w:val="0"/>
        <w:snapToGrid w:val="0"/>
        <w:spacing w:line="360" w:lineRule="auto"/>
        <w:ind w:firstLine="480" w:firstLineChars="200"/>
        <w:textAlignment w:va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二、我方在本次投标活动中绝无资质挂靠、串标、围标情形，若经贵方查出，立即取消我方投标资格并承担相应的法律责任。</w:t>
      </w:r>
    </w:p>
    <w:p w14:paraId="6949212F">
      <w:pPr>
        <w:keepNext w:val="0"/>
        <w:keepLines w:val="0"/>
        <w:pageBreakBefore w:val="0"/>
        <w:widowControl w:val="0"/>
        <w:kinsoku/>
        <w:wordWrap/>
        <w:overflowPunct/>
        <w:topLinePunct w:val="0"/>
        <w:bidi w:val="0"/>
        <w:snapToGrid w:val="0"/>
        <w:spacing w:line="360" w:lineRule="auto"/>
        <w:ind w:firstLine="480" w:firstLineChars="200"/>
        <w:textAlignment w:va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三、我方在以往的招标投标活动中，无重大违法、违规的不良记录；或虽有不良记录，但已超过处理期限。</w:t>
      </w:r>
    </w:p>
    <w:p w14:paraId="72616DD4">
      <w:pPr>
        <w:keepNext w:val="0"/>
        <w:keepLines w:val="0"/>
        <w:pageBreakBefore w:val="0"/>
        <w:widowControl w:val="0"/>
        <w:kinsoku/>
        <w:wordWrap/>
        <w:overflowPunct/>
        <w:topLinePunct w:val="0"/>
        <w:bidi w:val="0"/>
        <w:snapToGrid w:val="0"/>
        <w:spacing w:line="360" w:lineRule="auto"/>
        <w:ind w:firstLine="480" w:firstLineChars="200"/>
        <w:textAlignment w:va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四、我方及参与本次投标的相关人员承诺近三年无行贿犯罪记录。如有不实，愿意承担一切后果。</w:t>
      </w:r>
    </w:p>
    <w:p w14:paraId="76795AA4">
      <w:pPr>
        <w:keepNext w:val="0"/>
        <w:keepLines w:val="0"/>
        <w:pageBreakBefore w:val="0"/>
        <w:widowControl w:val="0"/>
        <w:kinsoku/>
        <w:wordWrap/>
        <w:overflowPunct/>
        <w:topLinePunct w:val="0"/>
        <w:bidi w:val="0"/>
        <w:snapToGrid w:val="0"/>
        <w:spacing w:line="360" w:lineRule="auto"/>
        <w:ind w:firstLine="480" w:firstLineChars="200"/>
        <w:textAlignment w:va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五、我方一旦中标，将按规定及时与招标人签订合同，严格按照投标文件中所承诺的报价等内容组织实施。</w:t>
      </w:r>
    </w:p>
    <w:p w14:paraId="249D0039">
      <w:pPr>
        <w:keepNext w:val="0"/>
        <w:keepLines w:val="0"/>
        <w:pageBreakBefore w:val="0"/>
        <w:widowControl w:val="0"/>
        <w:kinsoku/>
        <w:wordWrap/>
        <w:overflowPunct/>
        <w:topLinePunct w:val="0"/>
        <w:bidi w:val="0"/>
        <w:snapToGrid w:val="0"/>
        <w:spacing w:line="360" w:lineRule="auto"/>
        <w:ind w:firstLine="480" w:firstLineChars="200"/>
        <w:textAlignment w:va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六、自觉接受社会各界的监督，依法接受有关行政机关的事中事后监管和执法检查，并如实提供有关情况和材料。</w:t>
      </w:r>
    </w:p>
    <w:p w14:paraId="57803798">
      <w:pPr>
        <w:keepNext w:val="0"/>
        <w:keepLines w:val="0"/>
        <w:pageBreakBefore w:val="0"/>
        <w:widowControl w:val="0"/>
        <w:kinsoku/>
        <w:wordWrap/>
        <w:overflowPunct/>
        <w:topLinePunct w:val="0"/>
        <w:bidi w:val="0"/>
        <w:snapToGrid w:val="0"/>
        <w:spacing w:line="360" w:lineRule="auto"/>
        <w:ind w:firstLine="480" w:firstLineChars="200"/>
        <w:textAlignment w:va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七、严格遵守国家法律、法规、规章和相关政策规定，积极参与社会信用体系建设，倡树以信笃行，以诚兴业的传统美德，争当信用市民，争创信用企业。</w:t>
      </w:r>
    </w:p>
    <w:p w14:paraId="70763BCB">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ascii="仿宋" w:hAnsi="仿宋" w:eastAsia="仿宋" w:cs="仿宋"/>
          <w:color w:val="000000"/>
          <w:kern w:val="0"/>
          <w:sz w:val="24"/>
          <w:szCs w:val="24"/>
          <w:highlight w:val="none"/>
        </w:rPr>
      </w:pPr>
      <w:r>
        <w:rPr>
          <w:rFonts w:hint="eastAsia" w:ascii="仿宋" w:hAnsi="仿宋" w:eastAsia="仿宋" w:cs="仿宋"/>
          <w:bCs/>
          <w:color w:val="000000"/>
          <w:sz w:val="24"/>
          <w:szCs w:val="24"/>
          <w:highlight w:val="none"/>
        </w:rPr>
        <w:t>八、本《信用承诺书》同意向社会公开。</w:t>
      </w:r>
    </w:p>
    <w:p w14:paraId="085D5248">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ascii="仿宋" w:hAnsi="仿宋" w:eastAsia="仿宋" w:cs="仿宋"/>
          <w:color w:val="000000"/>
          <w:kern w:val="0"/>
          <w:sz w:val="24"/>
          <w:szCs w:val="24"/>
          <w:highlight w:val="none"/>
        </w:rPr>
      </w:pPr>
    </w:p>
    <w:p w14:paraId="4210EA14">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 xml:space="preserve"> 承诺单位：                          （盖电子公章）</w:t>
      </w:r>
    </w:p>
    <w:p w14:paraId="7ADA3ECF">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rPr>
      </w:pPr>
    </w:p>
    <w:p w14:paraId="358A2532">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ascii="仿宋" w:hAnsi="仿宋" w:eastAsia="仿宋" w:cs="仿宋"/>
          <w:bCs/>
          <w:color w:val="000000"/>
          <w:sz w:val="24"/>
          <w:szCs w:val="24"/>
          <w:highlight w:val="none"/>
        </w:rPr>
      </w:pPr>
      <w:r>
        <w:rPr>
          <w:rFonts w:hint="eastAsia" w:ascii="仿宋" w:hAnsi="仿宋" w:eastAsia="仿宋" w:cs="仿宋"/>
          <w:color w:val="000000"/>
          <w:kern w:val="0"/>
          <w:sz w:val="24"/>
          <w:szCs w:val="24"/>
          <w:highlight w:val="none"/>
        </w:rPr>
        <w:t xml:space="preserve">                                     年    月    日</w:t>
      </w:r>
    </w:p>
    <w:p w14:paraId="02F3B23A">
      <w:pPr>
        <w:pStyle w:val="36"/>
        <w:jc w:val="center"/>
        <w:rPr>
          <w:rFonts w:hint="eastAsia" w:ascii="仿宋" w:hAnsi="仿宋" w:eastAsia="仿宋" w:cs="仿宋"/>
          <w:b/>
          <w:bCs/>
          <w:kern w:val="2"/>
          <w:sz w:val="36"/>
          <w:szCs w:val="36"/>
          <w:highlight w:val="none"/>
        </w:rPr>
      </w:pPr>
    </w:p>
    <w:p w14:paraId="2EEA7AA6">
      <w:pPr>
        <w:pStyle w:val="36"/>
        <w:jc w:val="both"/>
        <w:rPr>
          <w:rFonts w:hint="eastAsia" w:ascii="仿宋" w:hAnsi="仿宋" w:eastAsia="仿宋" w:cs="仿宋"/>
          <w:b/>
          <w:bCs/>
          <w:kern w:val="2"/>
          <w:sz w:val="36"/>
          <w:szCs w:val="36"/>
          <w:highlight w:val="none"/>
        </w:rPr>
      </w:pPr>
    </w:p>
    <w:p w14:paraId="75BB7D78">
      <w:pPr>
        <w:pStyle w:val="36"/>
        <w:jc w:val="center"/>
        <w:rPr>
          <w:rFonts w:ascii="仿宋" w:hAnsi="仿宋" w:eastAsia="仿宋" w:cs="仿宋"/>
          <w:b/>
          <w:bCs/>
          <w:sz w:val="30"/>
          <w:szCs w:val="30"/>
          <w:highlight w:val="none"/>
        </w:rPr>
      </w:pPr>
      <w:r>
        <w:rPr>
          <w:rFonts w:hint="eastAsia" w:ascii="仿宋" w:hAnsi="仿宋" w:eastAsia="仿宋" w:cs="仿宋"/>
          <w:b/>
          <w:bCs/>
          <w:kern w:val="2"/>
          <w:sz w:val="30"/>
          <w:szCs w:val="30"/>
          <w:highlight w:val="none"/>
        </w:rPr>
        <w:br w:type="page"/>
      </w:r>
      <w:r>
        <w:rPr>
          <w:rFonts w:hint="eastAsia" w:ascii="仿宋" w:hAnsi="仿宋" w:eastAsia="仿宋" w:cs="仿宋"/>
          <w:b/>
          <w:bCs/>
          <w:kern w:val="2"/>
          <w:sz w:val="30"/>
          <w:szCs w:val="30"/>
          <w:highlight w:val="none"/>
        </w:rPr>
        <w:t>投标人资格证明文件</w:t>
      </w:r>
    </w:p>
    <w:p w14:paraId="5729EBA2">
      <w:pPr>
        <w:pStyle w:val="23"/>
        <w:jc w:val="center"/>
        <w:rPr>
          <w:rFonts w:hint="eastAsia" w:ascii="仿宋" w:hAnsi="仿宋" w:eastAsia="仿宋" w:cs="仿宋"/>
          <w:b/>
          <w:bCs w:val="0"/>
          <w:kern w:val="2"/>
          <w:sz w:val="28"/>
          <w:szCs w:val="21"/>
          <w:highlight w:val="none"/>
        </w:rPr>
      </w:pPr>
      <w:r>
        <w:rPr>
          <w:rFonts w:hint="eastAsia" w:ascii="仿宋" w:hAnsi="仿宋" w:eastAsia="仿宋" w:cs="仿宋"/>
          <w:b/>
          <w:bCs w:val="0"/>
          <w:kern w:val="2"/>
          <w:sz w:val="28"/>
          <w:szCs w:val="21"/>
          <w:highlight w:val="none"/>
        </w:rPr>
        <w:t>投标人基本情况表</w:t>
      </w:r>
    </w:p>
    <w:tbl>
      <w:tblPr>
        <w:tblStyle w:val="41"/>
        <w:tblW w:w="87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5"/>
        <w:gridCol w:w="1915"/>
        <w:gridCol w:w="2260"/>
        <w:gridCol w:w="2140"/>
        <w:gridCol w:w="427"/>
        <w:gridCol w:w="1581"/>
      </w:tblGrid>
      <w:tr w14:paraId="7B86EB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5" w:hRule="atLeast"/>
          <w:jc w:val="center"/>
        </w:trPr>
        <w:tc>
          <w:tcPr>
            <w:tcW w:w="2350" w:type="dxa"/>
            <w:gridSpan w:val="2"/>
            <w:noWrap w:val="0"/>
            <w:vAlign w:val="center"/>
          </w:tcPr>
          <w:p w14:paraId="3FED7F30">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单位名称</w:t>
            </w:r>
          </w:p>
        </w:tc>
        <w:tc>
          <w:tcPr>
            <w:tcW w:w="2260" w:type="dxa"/>
            <w:noWrap w:val="0"/>
            <w:vAlign w:val="center"/>
          </w:tcPr>
          <w:p w14:paraId="6719F89B">
            <w:pPr>
              <w:spacing w:line="440" w:lineRule="exact"/>
              <w:jc w:val="center"/>
              <w:rPr>
                <w:rFonts w:hint="eastAsia" w:ascii="仿宋" w:hAnsi="仿宋" w:eastAsia="仿宋" w:cs="仿宋"/>
                <w:sz w:val="24"/>
                <w:szCs w:val="24"/>
                <w:highlight w:val="none"/>
              </w:rPr>
            </w:pPr>
          </w:p>
        </w:tc>
        <w:tc>
          <w:tcPr>
            <w:tcW w:w="2567" w:type="dxa"/>
            <w:gridSpan w:val="2"/>
            <w:noWrap w:val="0"/>
            <w:vAlign w:val="center"/>
          </w:tcPr>
          <w:p w14:paraId="608CA9C1">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地址</w:t>
            </w:r>
          </w:p>
        </w:tc>
        <w:tc>
          <w:tcPr>
            <w:tcW w:w="1581" w:type="dxa"/>
            <w:noWrap w:val="0"/>
            <w:vAlign w:val="center"/>
          </w:tcPr>
          <w:p w14:paraId="7C050ECC">
            <w:pPr>
              <w:spacing w:line="440" w:lineRule="exact"/>
              <w:jc w:val="center"/>
              <w:rPr>
                <w:rFonts w:hint="eastAsia" w:ascii="仿宋" w:hAnsi="仿宋" w:eastAsia="仿宋" w:cs="仿宋"/>
                <w:sz w:val="24"/>
                <w:szCs w:val="24"/>
                <w:highlight w:val="none"/>
              </w:rPr>
            </w:pPr>
          </w:p>
        </w:tc>
      </w:tr>
      <w:tr w14:paraId="119BD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88" w:hRule="atLeast"/>
          <w:jc w:val="center"/>
        </w:trPr>
        <w:tc>
          <w:tcPr>
            <w:tcW w:w="2350" w:type="dxa"/>
            <w:gridSpan w:val="2"/>
            <w:noWrap w:val="0"/>
            <w:vAlign w:val="center"/>
          </w:tcPr>
          <w:p w14:paraId="24240DF5">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办公电话/传真</w:t>
            </w:r>
          </w:p>
        </w:tc>
        <w:tc>
          <w:tcPr>
            <w:tcW w:w="2260" w:type="dxa"/>
            <w:noWrap w:val="0"/>
            <w:vAlign w:val="center"/>
          </w:tcPr>
          <w:p w14:paraId="06DE9216">
            <w:pPr>
              <w:spacing w:line="440" w:lineRule="exact"/>
              <w:jc w:val="center"/>
              <w:rPr>
                <w:rFonts w:hint="eastAsia" w:ascii="仿宋" w:hAnsi="仿宋" w:eastAsia="仿宋" w:cs="仿宋"/>
                <w:sz w:val="24"/>
                <w:szCs w:val="24"/>
                <w:highlight w:val="none"/>
              </w:rPr>
            </w:pPr>
          </w:p>
        </w:tc>
        <w:tc>
          <w:tcPr>
            <w:tcW w:w="2567" w:type="dxa"/>
            <w:gridSpan w:val="2"/>
            <w:noWrap w:val="0"/>
            <w:vAlign w:val="center"/>
          </w:tcPr>
          <w:p w14:paraId="5FA9C3BF">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联系人</w:t>
            </w:r>
          </w:p>
        </w:tc>
        <w:tc>
          <w:tcPr>
            <w:tcW w:w="1581" w:type="dxa"/>
            <w:noWrap w:val="0"/>
            <w:vAlign w:val="center"/>
          </w:tcPr>
          <w:p w14:paraId="0882170C">
            <w:pPr>
              <w:spacing w:line="440" w:lineRule="exact"/>
              <w:jc w:val="center"/>
              <w:rPr>
                <w:rFonts w:hint="eastAsia" w:ascii="仿宋" w:hAnsi="仿宋" w:eastAsia="仿宋" w:cs="仿宋"/>
                <w:sz w:val="24"/>
                <w:szCs w:val="24"/>
                <w:highlight w:val="none"/>
              </w:rPr>
            </w:pPr>
          </w:p>
        </w:tc>
      </w:tr>
      <w:tr w14:paraId="367D74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88" w:hRule="atLeast"/>
          <w:jc w:val="center"/>
        </w:trPr>
        <w:tc>
          <w:tcPr>
            <w:tcW w:w="2350" w:type="dxa"/>
            <w:gridSpan w:val="2"/>
            <w:noWrap w:val="0"/>
            <w:vAlign w:val="center"/>
          </w:tcPr>
          <w:p w14:paraId="5BE5ACDE">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总经理</w:t>
            </w:r>
          </w:p>
        </w:tc>
        <w:tc>
          <w:tcPr>
            <w:tcW w:w="2260" w:type="dxa"/>
            <w:noWrap w:val="0"/>
            <w:vAlign w:val="center"/>
          </w:tcPr>
          <w:p w14:paraId="1161304E">
            <w:pPr>
              <w:spacing w:line="440" w:lineRule="exact"/>
              <w:jc w:val="center"/>
              <w:rPr>
                <w:rFonts w:hint="eastAsia" w:ascii="仿宋" w:hAnsi="仿宋" w:eastAsia="仿宋" w:cs="仿宋"/>
                <w:sz w:val="24"/>
                <w:szCs w:val="24"/>
                <w:highlight w:val="none"/>
              </w:rPr>
            </w:pPr>
          </w:p>
        </w:tc>
        <w:tc>
          <w:tcPr>
            <w:tcW w:w="2567" w:type="dxa"/>
            <w:gridSpan w:val="2"/>
            <w:noWrap w:val="0"/>
            <w:vAlign w:val="center"/>
          </w:tcPr>
          <w:p w14:paraId="7179CB42">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固定办公面积</w:t>
            </w:r>
          </w:p>
          <w:p w14:paraId="2A251834">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（平米）</w:t>
            </w:r>
          </w:p>
        </w:tc>
        <w:tc>
          <w:tcPr>
            <w:tcW w:w="1581" w:type="dxa"/>
            <w:noWrap w:val="0"/>
            <w:vAlign w:val="center"/>
          </w:tcPr>
          <w:p w14:paraId="07562BD5">
            <w:pPr>
              <w:spacing w:line="440" w:lineRule="exact"/>
              <w:jc w:val="center"/>
              <w:rPr>
                <w:rFonts w:hint="eastAsia" w:ascii="仿宋" w:hAnsi="仿宋" w:eastAsia="仿宋" w:cs="仿宋"/>
                <w:sz w:val="24"/>
                <w:szCs w:val="24"/>
                <w:highlight w:val="none"/>
              </w:rPr>
            </w:pPr>
          </w:p>
        </w:tc>
      </w:tr>
      <w:tr w14:paraId="4E5009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7" w:hRule="atLeast"/>
          <w:jc w:val="center"/>
        </w:trPr>
        <w:tc>
          <w:tcPr>
            <w:tcW w:w="435" w:type="dxa"/>
            <w:vMerge w:val="restart"/>
            <w:noWrap w:val="0"/>
            <w:vAlign w:val="center"/>
          </w:tcPr>
          <w:p w14:paraId="65F6FF2C">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注册情况</w:t>
            </w:r>
          </w:p>
        </w:tc>
        <w:tc>
          <w:tcPr>
            <w:tcW w:w="1915" w:type="dxa"/>
            <w:noWrap w:val="0"/>
            <w:vAlign w:val="center"/>
          </w:tcPr>
          <w:p w14:paraId="346706FD">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工商注册号</w:t>
            </w:r>
          </w:p>
        </w:tc>
        <w:tc>
          <w:tcPr>
            <w:tcW w:w="6408" w:type="dxa"/>
            <w:gridSpan w:val="4"/>
            <w:noWrap w:val="0"/>
            <w:vAlign w:val="top"/>
          </w:tcPr>
          <w:p w14:paraId="3809099D">
            <w:pPr>
              <w:spacing w:line="440" w:lineRule="exact"/>
              <w:jc w:val="center"/>
              <w:rPr>
                <w:rFonts w:hint="eastAsia" w:ascii="仿宋" w:hAnsi="仿宋" w:eastAsia="仿宋" w:cs="仿宋"/>
                <w:sz w:val="24"/>
                <w:szCs w:val="24"/>
                <w:highlight w:val="none"/>
              </w:rPr>
            </w:pPr>
          </w:p>
        </w:tc>
      </w:tr>
      <w:tr w14:paraId="132AEF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88" w:hRule="atLeast"/>
          <w:jc w:val="center"/>
        </w:trPr>
        <w:tc>
          <w:tcPr>
            <w:tcW w:w="435" w:type="dxa"/>
            <w:vMerge w:val="continue"/>
            <w:noWrap w:val="0"/>
            <w:textDirection w:val="tbRlV"/>
            <w:vAlign w:val="center"/>
          </w:tcPr>
          <w:p w14:paraId="756B4384">
            <w:pPr>
              <w:spacing w:line="440" w:lineRule="exact"/>
              <w:jc w:val="center"/>
              <w:rPr>
                <w:rFonts w:hint="eastAsia" w:ascii="仿宋" w:hAnsi="仿宋" w:eastAsia="仿宋" w:cs="仿宋"/>
                <w:sz w:val="24"/>
                <w:szCs w:val="24"/>
                <w:highlight w:val="none"/>
              </w:rPr>
            </w:pPr>
          </w:p>
        </w:tc>
        <w:tc>
          <w:tcPr>
            <w:tcW w:w="1915" w:type="dxa"/>
            <w:noWrap w:val="0"/>
            <w:vAlign w:val="center"/>
          </w:tcPr>
          <w:p w14:paraId="1DE07471">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注册资本（万元）</w:t>
            </w:r>
          </w:p>
        </w:tc>
        <w:tc>
          <w:tcPr>
            <w:tcW w:w="6408" w:type="dxa"/>
            <w:gridSpan w:val="4"/>
            <w:noWrap w:val="0"/>
            <w:vAlign w:val="top"/>
          </w:tcPr>
          <w:p w14:paraId="1E3330BB">
            <w:pPr>
              <w:spacing w:line="440" w:lineRule="exact"/>
              <w:jc w:val="center"/>
              <w:rPr>
                <w:rFonts w:hint="eastAsia" w:ascii="仿宋" w:hAnsi="仿宋" w:eastAsia="仿宋" w:cs="仿宋"/>
                <w:sz w:val="24"/>
                <w:szCs w:val="24"/>
                <w:highlight w:val="none"/>
              </w:rPr>
            </w:pPr>
          </w:p>
        </w:tc>
      </w:tr>
      <w:tr w14:paraId="3FDABD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5" w:hRule="atLeast"/>
          <w:jc w:val="center"/>
        </w:trPr>
        <w:tc>
          <w:tcPr>
            <w:tcW w:w="435" w:type="dxa"/>
            <w:vMerge w:val="continue"/>
            <w:noWrap w:val="0"/>
            <w:textDirection w:val="tbRlV"/>
            <w:vAlign w:val="center"/>
          </w:tcPr>
          <w:p w14:paraId="095C6D12">
            <w:pPr>
              <w:spacing w:line="440" w:lineRule="exact"/>
              <w:jc w:val="center"/>
              <w:rPr>
                <w:rFonts w:hint="eastAsia" w:ascii="仿宋" w:hAnsi="仿宋" w:eastAsia="仿宋" w:cs="仿宋"/>
                <w:sz w:val="24"/>
                <w:szCs w:val="24"/>
                <w:highlight w:val="none"/>
              </w:rPr>
            </w:pPr>
          </w:p>
        </w:tc>
        <w:tc>
          <w:tcPr>
            <w:tcW w:w="1915" w:type="dxa"/>
            <w:noWrap w:val="0"/>
            <w:vAlign w:val="center"/>
          </w:tcPr>
          <w:p w14:paraId="59D5C052">
            <w:pPr>
              <w:spacing w:line="440" w:lineRule="exact"/>
              <w:jc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法定代表人</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负责人</w:t>
            </w:r>
            <w:r>
              <w:rPr>
                <w:rFonts w:hint="eastAsia" w:ascii="仿宋" w:hAnsi="仿宋" w:eastAsia="仿宋" w:cs="仿宋"/>
                <w:sz w:val="24"/>
                <w:szCs w:val="24"/>
                <w:highlight w:val="none"/>
                <w:lang w:eastAsia="zh-CN"/>
              </w:rPr>
              <w:t>）</w:t>
            </w:r>
          </w:p>
        </w:tc>
        <w:tc>
          <w:tcPr>
            <w:tcW w:w="2260" w:type="dxa"/>
            <w:noWrap w:val="0"/>
            <w:vAlign w:val="center"/>
          </w:tcPr>
          <w:p w14:paraId="692923DF">
            <w:pPr>
              <w:spacing w:line="440" w:lineRule="exact"/>
              <w:jc w:val="center"/>
              <w:rPr>
                <w:rFonts w:hint="eastAsia" w:ascii="仿宋" w:hAnsi="仿宋" w:eastAsia="仿宋" w:cs="仿宋"/>
                <w:sz w:val="24"/>
                <w:szCs w:val="24"/>
                <w:highlight w:val="none"/>
              </w:rPr>
            </w:pPr>
          </w:p>
        </w:tc>
        <w:tc>
          <w:tcPr>
            <w:tcW w:w="2140" w:type="dxa"/>
            <w:noWrap w:val="0"/>
            <w:vAlign w:val="center"/>
          </w:tcPr>
          <w:p w14:paraId="59E2C9D5">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单位类型</w:t>
            </w:r>
          </w:p>
        </w:tc>
        <w:tc>
          <w:tcPr>
            <w:tcW w:w="2008" w:type="dxa"/>
            <w:gridSpan w:val="2"/>
            <w:noWrap w:val="0"/>
            <w:vAlign w:val="center"/>
          </w:tcPr>
          <w:p w14:paraId="4D9DC98E">
            <w:pPr>
              <w:spacing w:line="440" w:lineRule="exact"/>
              <w:jc w:val="center"/>
              <w:rPr>
                <w:rFonts w:hint="eastAsia" w:ascii="仿宋" w:hAnsi="仿宋" w:eastAsia="仿宋" w:cs="仿宋"/>
                <w:sz w:val="24"/>
                <w:szCs w:val="24"/>
                <w:highlight w:val="none"/>
              </w:rPr>
            </w:pPr>
          </w:p>
        </w:tc>
      </w:tr>
      <w:tr w14:paraId="6A174C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9" w:hRule="atLeast"/>
          <w:jc w:val="center"/>
        </w:trPr>
        <w:tc>
          <w:tcPr>
            <w:tcW w:w="435" w:type="dxa"/>
            <w:vMerge w:val="continue"/>
            <w:noWrap w:val="0"/>
            <w:textDirection w:val="tbRlV"/>
            <w:vAlign w:val="center"/>
          </w:tcPr>
          <w:p w14:paraId="6B227ADC">
            <w:pPr>
              <w:spacing w:line="440" w:lineRule="exact"/>
              <w:jc w:val="center"/>
              <w:rPr>
                <w:rFonts w:hint="eastAsia" w:ascii="仿宋" w:hAnsi="仿宋" w:eastAsia="仿宋" w:cs="仿宋"/>
                <w:sz w:val="24"/>
                <w:szCs w:val="24"/>
                <w:highlight w:val="none"/>
              </w:rPr>
            </w:pPr>
          </w:p>
        </w:tc>
        <w:tc>
          <w:tcPr>
            <w:tcW w:w="1915" w:type="dxa"/>
            <w:noWrap w:val="0"/>
            <w:vAlign w:val="center"/>
          </w:tcPr>
          <w:p w14:paraId="70909981">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成立时间</w:t>
            </w:r>
          </w:p>
        </w:tc>
        <w:tc>
          <w:tcPr>
            <w:tcW w:w="2260" w:type="dxa"/>
            <w:noWrap w:val="0"/>
            <w:vAlign w:val="center"/>
          </w:tcPr>
          <w:p w14:paraId="5F0587EB">
            <w:pPr>
              <w:spacing w:line="440" w:lineRule="exact"/>
              <w:jc w:val="center"/>
              <w:rPr>
                <w:rFonts w:hint="eastAsia" w:ascii="仿宋" w:hAnsi="仿宋" w:eastAsia="仿宋" w:cs="仿宋"/>
                <w:sz w:val="24"/>
                <w:szCs w:val="24"/>
                <w:highlight w:val="none"/>
              </w:rPr>
            </w:pPr>
          </w:p>
        </w:tc>
        <w:tc>
          <w:tcPr>
            <w:tcW w:w="2140" w:type="dxa"/>
            <w:noWrap w:val="0"/>
            <w:vAlign w:val="center"/>
          </w:tcPr>
          <w:p w14:paraId="4B5DB753">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营业期限</w:t>
            </w:r>
          </w:p>
        </w:tc>
        <w:tc>
          <w:tcPr>
            <w:tcW w:w="2008" w:type="dxa"/>
            <w:gridSpan w:val="2"/>
            <w:noWrap w:val="0"/>
            <w:vAlign w:val="center"/>
          </w:tcPr>
          <w:p w14:paraId="6C54D7B1">
            <w:pPr>
              <w:spacing w:line="440" w:lineRule="exact"/>
              <w:jc w:val="center"/>
              <w:rPr>
                <w:rFonts w:hint="eastAsia" w:ascii="仿宋" w:hAnsi="仿宋" w:eastAsia="仿宋" w:cs="仿宋"/>
                <w:sz w:val="24"/>
                <w:szCs w:val="24"/>
                <w:highlight w:val="none"/>
              </w:rPr>
            </w:pPr>
          </w:p>
        </w:tc>
      </w:tr>
      <w:tr w14:paraId="60394D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3" w:hRule="atLeast"/>
          <w:jc w:val="center"/>
        </w:trPr>
        <w:tc>
          <w:tcPr>
            <w:tcW w:w="435" w:type="dxa"/>
            <w:vMerge w:val="continue"/>
            <w:noWrap w:val="0"/>
            <w:textDirection w:val="tbRlV"/>
            <w:vAlign w:val="center"/>
          </w:tcPr>
          <w:p w14:paraId="38EA163A">
            <w:pPr>
              <w:spacing w:line="440" w:lineRule="exact"/>
              <w:jc w:val="center"/>
              <w:rPr>
                <w:rFonts w:hint="eastAsia" w:ascii="仿宋" w:hAnsi="仿宋" w:eastAsia="仿宋" w:cs="仿宋"/>
                <w:sz w:val="24"/>
                <w:szCs w:val="24"/>
                <w:highlight w:val="none"/>
              </w:rPr>
            </w:pPr>
          </w:p>
        </w:tc>
        <w:tc>
          <w:tcPr>
            <w:tcW w:w="1915" w:type="dxa"/>
            <w:noWrap w:val="0"/>
            <w:vAlign w:val="center"/>
          </w:tcPr>
          <w:p w14:paraId="3733BD62">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经营范围</w:t>
            </w:r>
          </w:p>
        </w:tc>
        <w:tc>
          <w:tcPr>
            <w:tcW w:w="6408" w:type="dxa"/>
            <w:gridSpan w:val="4"/>
            <w:noWrap w:val="0"/>
            <w:vAlign w:val="top"/>
          </w:tcPr>
          <w:p w14:paraId="4929EAF0">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p>
        </w:tc>
      </w:tr>
      <w:tr w14:paraId="7D35A5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jc w:val="center"/>
        </w:trPr>
        <w:tc>
          <w:tcPr>
            <w:tcW w:w="8758" w:type="dxa"/>
            <w:gridSpan w:val="6"/>
            <w:noWrap w:val="0"/>
            <w:vAlign w:val="top"/>
          </w:tcPr>
          <w:p w14:paraId="623ED186">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投标人情况简介</w:t>
            </w:r>
          </w:p>
        </w:tc>
      </w:tr>
      <w:tr w14:paraId="2216EB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22" w:hRule="atLeast"/>
          <w:jc w:val="center"/>
        </w:trPr>
        <w:tc>
          <w:tcPr>
            <w:tcW w:w="8758" w:type="dxa"/>
            <w:gridSpan w:val="6"/>
            <w:noWrap w:val="0"/>
            <w:vAlign w:val="top"/>
          </w:tcPr>
          <w:p w14:paraId="4F075151">
            <w:pPr>
              <w:spacing w:line="440" w:lineRule="exact"/>
              <w:rPr>
                <w:rFonts w:hint="eastAsia" w:ascii="仿宋" w:hAnsi="仿宋" w:eastAsia="仿宋" w:cs="仿宋"/>
                <w:sz w:val="24"/>
                <w:szCs w:val="24"/>
                <w:highlight w:val="none"/>
              </w:rPr>
            </w:pPr>
          </w:p>
        </w:tc>
      </w:tr>
    </w:tbl>
    <w:p w14:paraId="17575A81">
      <w:pPr>
        <w:snapToGrid w:val="0"/>
        <w:spacing w:line="360" w:lineRule="auto"/>
        <w:ind w:firstLine="240" w:firstLineChars="100"/>
        <w:rPr>
          <w:rFonts w:hint="eastAsia" w:ascii="仿宋" w:hAnsi="仿宋" w:eastAsia="仿宋" w:cs="仿宋"/>
          <w:sz w:val="24"/>
          <w:szCs w:val="24"/>
          <w:highlight w:val="none"/>
        </w:rPr>
      </w:pPr>
    </w:p>
    <w:p w14:paraId="7BB74102">
      <w:pPr>
        <w:snapToGrid w:val="0"/>
        <w:spacing w:line="360" w:lineRule="auto"/>
        <w:ind w:left="0" w:leftChars="0" w:firstLine="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投标单位：（盖章）</w:t>
      </w:r>
    </w:p>
    <w:p w14:paraId="7E4DEE41">
      <w:pPr>
        <w:snapToGrid w:val="0"/>
        <w:spacing w:line="360" w:lineRule="auto"/>
        <w:ind w:left="0" w:leftChars="0" w:firstLine="0" w:firstLineChars="0"/>
        <w:rPr>
          <w:rFonts w:hint="eastAsia" w:ascii="仿宋" w:hAnsi="仿宋" w:eastAsia="仿宋" w:cs="仿宋"/>
          <w:sz w:val="24"/>
          <w:szCs w:val="24"/>
          <w:highlight w:val="none"/>
          <w:lang w:val="zh-CN"/>
        </w:rPr>
      </w:pPr>
      <w:r>
        <w:rPr>
          <w:rFonts w:hint="eastAsia" w:ascii="仿宋" w:hAnsi="仿宋" w:eastAsia="仿宋" w:cs="仿宋"/>
          <w:sz w:val="24"/>
          <w:szCs w:val="24"/>
          <w:highlight w:val="none"/>
        </w:rPr>
        <w:t>法定代表人</w:t>
      </w:r>
      <w:r>
        <w:rPr>
          <w:rFonts w:hint="eastAsia" w:ascii="仿宋" w:hAnsi="仿宋" w:eastAsia="仿宋" w:cs="仿宋"/>
          <w:spacing w:val="8"/>
          <w:sz w:val="24"/>
          <w:szCs w:val="24"/>
          <w:highlight w:val="none"/>
          <w:lang w:eastAsia="zh-CN"/>
        </w:rPr>
        <w:t>（</w:t>
      </w:r>
      <w:r>
        <w:rPr>
          <w:rFonts w:hint="eastAsia" w:ascii="仿宋" w:hAnsi="仿宋" w:eastAsia="仿宋" w:cs="仿宋"/>
          <w:spacing w:val="8"/>
          <w:sz w:val="24"/>
          <w:szCs w:val="24"/>
          <w:highlight w:val="none"/>
          <w:lang w:val="en-US" w:eastAsia="zh-CN"/>
        </w:rPr>
        <w:t>负责人</w:t>
      </w:r>
      <w:r>
        <w:rPr>
          <w:rFonts w:hint="eastAsia" w:ascii="仿宋" w:hAnsi="仿宋" w:eastAsia="仿宋" w:cs="仿宋"/>
          <w:spacing w:val="8"/>
          <w:sz w:val="24"/>
          <w:szCs w:val="24"/>
          <w:highlight w:val="none"/>
          <w:lang w:eastAsia="zh-CN"/>
        </w:rPr>
        <w:t>）</w:t>
      </w:r>
      <w:r>
        <w:rPr>
          <w:rFonts w:hint="eastAsia" w:ascii="仿宋" w:hAnsi="仿宋" w:eastAsia="仿宋" w:cs="仿宋"/>
          <w:sz w:val="24"/>
          <w:szCs w:val="24"/>
          <w:highlight w:val="none"/>
        </w:rPr>
        <w:t xml:space="preserve">或委托代理人：      </w:t>
      </w:r>
      <w:r>
        <w:rPr>
          <w:rFonts w:hint="eastAsia" w:ascii="仿宋" w:hAnsi="仿宋" w:eastAsia="仿宋" w:cs="仿宋"/>
          <w:sz w:val="24"/>
          <w:szCs w:val="24"/>
          <w:highlight w:val="none"/>
          <w:lang w:val="zh-CN"/>
        </w:rPr>
        <w:t>（签字或盖章）</w:t>
      </w:r>
    </w:p>
    <w:p w14:paraId="2062AA98">
      <w:pPr>
        <w:snapToGrid w:val="0"/>
        <w:spacing w:line="360" w:lineRule="auto"/>
        <w:ind w:left="0" w:leftChars="0" w:firstLine="0" w:firstLineChars="0"/>
        <w:rPr>
          <w:rFonts w:hint="eastAsia" w:ascii="仿宋" w:hAnsi="仿宋" w:eastAsia="仿宋" w:cs="仿宋"/>
          <w:sz w:val="32"/>
          <w:szCs w:val="32"/>
          <w:highlight w:val="none"/>
        </w:rPr>
      </w:pPr>
      <w:r>
        <w:rPr>
          <w:rFonts w:hint="eastAsia" w:ascii="仿宋" w:hAnsi="仿宋" w:eastAsia="仿宋" w:cs="仿宋"/>
          <w:sz w:val="24"/>
          <w:szCs w:val="24"/>
          <w:highlight w:val="none"/>
        </w:rPr>
        <w:t>日期：</w:t>
      </w:r>
      <w:r>
        <w:rPr>
          <w:rFonts w:hint="eastAsia" w:ascii="仿宋" w:hAnsi="仿宋" w:eastAsia="仿宋" w:cs="仿宋"/>
          <w:sz w:val="32"/>
          <w:szCs w:val="32"/>
          <w:highlight w:val="none"/>
        </w:rPr>
        <w:t xml:space="preserve"> </w:t>
      </w:r>
      <w:r>
        <w:rPr>
          <w:rFonts w:hint="eastAsia" w:ascii="仿宋" w:hAnsi="仿宋" w:eastAsia="仿宋" w:cs="仿宋"/>
          <w:sz w:val="28"/>
          <w:szCs w:val="28"/>
          <w:highlight w:val="none"/>
        </w:rPr>
        <w:t xml:space="preserve">  </w:t>
      </w:r>
      <w:r>
        <w:rPr>
          <w:rFonts w:hint="eastAsia" w:ascii="仿宋" w:hAnsi="仿宋" w:eastAsia="仿宋" w:cs="仿宋"/>
          <w:sz w:val="32"/>
          <w:szCs w:val="32"/>
          <w:highlight w:val="none"/>
        </w:rPr>
        <w:t xml:space="preserve">  </w:t>
      </w:r>
    </w:p>
    <w:p w14:paraId="46C7E83E">
      <w:pPr>
        <w:spacing w:line="600" w:lineRule="auto"/>
        <w:jc w:val="center"/>
        <w:rPr>
          <w:rFonts w:hint="eastAsia" w:ascii="仿宋" w:hAnsi="仿宋" w:eastAsia="仿宋" w:cs="仿宋"/>
          <w:b/>
          <w:bCs w:val="0"/>
          <w:kern w:val="2"/>
          <w:sz w:val="30"/>
          <w:szCs w:val="30"/>
          <w:highlight w:val="none"/>
          <w:lang w:eastAsia="zh-CN"/>
        </w:rPr>
      </w:pPr>
      <w:r>
        <w:rPr>
          <w:rFonts w:hint="eastAsia" w:ascii="仿宋" w:hAnsi="仿宋" w:eastAsia="仿宋" w:cs="仿宋"/>
          <w:b/>
          <w:bCs w:val="0"/>
          <w:kern w:val="2"/>
          <w:sz w:val="30"/>
          <w:szCs w:val="30"/>
          <w:highlight w:val="none"/>
          <w:lang w:eastAsia="zh-CN"/>
        </w:rPr>
        <w:br w:type="page"/>
      </w:r>
    </w:p>
    <w:p w14:paraId="4B9ECC7C">
      <w:pPr>
        <w:jc w:val="center"/>
        <w:rPr>
          <w:rFonts w:hint="eastAsia" w:ascii="仿宋" w:hAnsi="仿宋" w:eastAsia="仿宋" w:cs="仿宋"/>
          <w:b/>
          <w:bCs w:val="0"/>
          <w:kern w:val="2"/>
          <w:sz w:val="28"/>
          <w:szCs w:val="21"/>
          <w:highlight w:val="none"/>
          <w:lang w:val="en-US" w:eastAsia="zh-CN" w:bidi="ar-SA"/>
        </w:rPr>
      </w:pPr>
      <w:r>
        <w:rPr>
          <w:rFonts w:hint="eastAsia" w:ascii="仿宋" w:hAnsi="仿宋" w:eastAsia="仿宋" w:cs="仿宋"/>
          <w:b/>
          <w:bCs w:val="0"/>
          <w:kern w:val="2"/>
          <w:sz w:val="28"/>
          <w:szCs w:val="21"/>
          <w:highlight w:val="none"/>
          <w:lang w:val="en-US" w:eastAsia="zh-CN" w:bidi="ar-SA"/>
        </w:rPr>
        <w:t>有效的营业执照副本复印件（若分支机构参与投标的，分支机构还需提供总公司的授权书）</w:t>
      </w:r>
      <w:r>
        <w:rPr>
          <w:rFonts w:hint="eastAsia" w:ascii="仿宋" w:hAnsi="仿宋" w:eastAsia="仿宋" w:cs="仿宋"/>
          <w:b/>
          <w:bCs w:val="0"/>
          <w:kern w:val="2"/>
          <w:sz w:val="28"/>
          <w:szCs w:val="21"/>
          <w:highlight w:val="none"/>
          <w:lang w:val="en-US" w:eastAsia="zh-CN" w:bidi="ar-SA"/>
        </w:rPr>
        <w:br w:type="page"/>
      </w:r>
    </w:p>
    <w:p w14:paraId="37C29A73">
      <w:pPr>
        <w:jc w:val="center"/>
        <w:rPr>
          <w:rFonts w:hint="eastAsia" w:ascii="仿宋" w:hAnsi="仿宋" w:eastAsia="仿宋" w:cs="仿宋"/>
          <w:b/>
          <w:bCs/>
          <w:kern w:val="2"/>
          <w:sz w:val="30"/>
          <w:szCs w:val="30"/>
          <w:highlight w:val="none"/>
        </w:rPr>
      </w:pPr>
      <w:r>
        <w:rPr>
          <w:rFonts w:hint="eastAsia" w:ascii="仿宋" w:hAnsi="仿宋" w:eastAsia="仿宋" w:cs="仿宋"/>
          <w:b/>
          <w:bCs w:val="0"/>
          <w:color w:val="auto"/>
          <w:kern w:val="2"/>
          <w:sz w:val="30"/>
          <w:szCs w:val="30"/>
          <w:highlight w:val="none"/>
          <w:lang w:val="en-US" w:eastAsia="zh-CN" w:bidi="ar-SA"/>
        </w:rPr>
        <w:t>具有有效的《成品油零售经营批准证书》和《中华人民共和国危险化学品经营许可证》扫描件</w:t>
      </w:r>
    </w:p>
    <w:p w14:paraId="63AAFD49">
      <w:pPr>
        <w:rPr>
          <w:rFonts w:hint="eastAsia" w:ascii="仿宋" w:hAnsi="仿宋" w:eastAsia="仿宋" w:cs="仿宋"/>
          <w:b/>
          <w:bCs/>
          <w:kern w:val="2"/>
          <w:sz w:val="30"/>
          <w:szCs w:val="30"/>
          <w:highlight w:val="none"/>
        </w:rPr>
      </w:pPr>
      <w:r>
        <w:rPr>
          <w:rFonts w:hint="eastAsia" w:ascii="仿宋" w:hAnsi="仿宋" w:eastAsia="仿宋" w:cs="仿宋"/>
          <w:b/>
          <w:bCs/>
          <w:kern w:val="2"/>
          <w:sz w:val="30"/>
          <w:szCs w:val="30"/>
          <w:highlight w:val="none"/>
        </w:rPr>
        <w:br w:type="page"/>
      </w:r>
    </w:p>
    <w:p w14:paraId="28F0F1BC">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hint="eastAsia" w:ascii="仿宋" w:hAnsi="仿宋" w:eastAsia="仿宋" w:cs="仿宋"/>
          <w:b/>
          <w:bCs/>
          <w:kern w:val="2"/>
          <w:sz w:val="30"/>
          <w:szCs w:val="30"/>
          <w:highlight w:val="none"/>
        </w:rPr>
      </w:pPr>
      <w:r>
        <w:rPr>
          <w:rFonts w:hint="eastAsia" w:ascii="仿宋" w:hAnsi="仿宋" w:eastAsia="仿宋" w:cs="仿宋"/>
          <w:b/>
          <w:bCs/>
          <w:kern w:val="2"/>
          <w:sz w:val="30"/>
          <w:szCs w:val="30"/>
          <w:highlight w:val="none"/>
        </w:rPr>
        <w:t>法定代表人</w:t>
      </w:r>
      <w:r>
        <w:rPr>
          <w:rFonts w:hint="eastAsia" w:ascii="仿宋" w:hAnsi="仿宋" w:eastAsia="仿宋" w:cs="仿宋"/>
          <w:b/>
          <w:bCs/>
          <w:kern w:val="2"/>
          <w:sz w:val="30"/>
          <w:szCs w:val="30"/>
          <w:highlight w:val="none"/>
          <w:lang w:eastAsia="zh-CN"/>
        </w:rPr>
        <w:t>（</w:t>
      </w:r>
      <w:r>
        <w:rPr>
          <w:rFonts w:hint="eastAsia" w:ascii="仿宋" w:hAnsi="仿宋" w:eastAsia="仿宋" w:cs="仿宋"/>
          <w:b/>
          <w:bCs/>
          <w:kern w:val="2"/>
          <w:sz w:val="30"/>
          <w:szCs w:val="30"/>
          <w:highlight w:val="none"/>
          <w:lang w:val="en-US" w:eastAsia="zh-CN"/>
        </w:rPr>
        <w:t>负责人</w:t>
      </w:r>
      <w:r>
        <w:rPr>
          <w:rFonts w:hint="eastAsia" w:ascii="仿宋" w:hAnsi="仿宋" w:eastAsia="仿宋" w:cs="仿宋"/>
          <w:b/>
          <w:bCs/>
          <w:kern w:val="2"/>
          <w:sz w:val="30"/>
          <w:szCs w:val="30"/>
          <w:highlight w:val="none"/>
          <w:lang w:eastAsia="zh-CN"/>
        </w:rPr>
        <w:t>）</w:t>
      </w:r>
      <w:r>
        <w:rPr>
          <w:rFonts w:hint="eastAsia" w:ascii="仿宋" w:hAnsi="仿宋" w:eastAsia="仿宋" w:cs="仿宋"/>
          <w:b/>
          <w:bCs/>
          <w:kern w:val="2"/>
          <w:sz w:val="30"/>
          <w:szCs w:val="30"/>
          <w:highlight w:val="none"/>
        </w:rPr>
        <w:t>身份证明</w:t>
      </w:r>
    </w:p>
    <w:p w14:paraId="15F92446">
      <w:pPr>
        <w:spacing w:line="440" w:lineRule="exact"/>
        <w:rPr>
          <w:szCs w:val="20"/>
          <w:highlight w:val="none"/>
        </w:rPr>
      </w:pPr>
    </w:p>
    <w:p w14:paraId="61BE6E78">
      <w:pPr>
        <w:spacing w:line="440" w:lineRule="exact"/>
        <w:rPr>
          <w:szCs w:val="21"/>
          <w:highlight w:val="none"/>
        </w:rPr>
      </w:pPr>
    </w:p>
    <w:p w14:paraId="580031AA">
      <w:pPr>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投标人名称：</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w:t>
      </w:r>
    </w:p>
    <w:p w14:paraId="453814F0">
      <w:pPr>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单位性质：</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w:t>
      </w:r>
    </w:p>
    <w:p w14:paraId="3A1A525F">
      <w:pPr>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地址：</w:t>
      </w:r>
      <w:r>
        <w:rPr>
          <w:rFonts w:hint="eastAsia" w:ascii="仿宋" w:hAnsi="仿宋" w:eastAsia="仿宋" w:cs="仿宋"/>
          <w:sz w:val="24"/>
          <w:szCs w:val="24"/>
          <w:highlight w:val="none"/>
          <w:u w:val="single"/>
        </w:rPr>
        <w:t xml:space="preserve">                                   </w:t>
      </w:r>
    </w:p>
    <w:p w14:paraId="7ECC42AE">
      <w:pPr>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成立时间：</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年</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月</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日</w:t>
      </w:r>
    </w:p>
    <w:p w14:paraId="087667BD">
      <w:pPr>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经营期限：</w:t>
      </w:r>
      <w:r>
        <w:rPr>
          <w:rFonts w:hint="eastAsia" w:ascii="仿宋" w:hAnsi="仿宋" w:eastAsia="仿宋" w:cs="仿宋"/>
          <w:sz w:val="24"/>
          <w:szCs w:val="24"/>
          <w:highlight w:val="none"/>
          <w:u w:val="single"/>
        </w:rPr>
        <w:t xml:space="preserve">                               </w:t>
      </w:r>
    </w:p>
    <w:p w14:paraId="08F3CA42">
      <w:pPr>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姓名：</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性别：</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年龄：</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职务：</w:t>
      </w:r>
      <w:r>
        <w:rPr>
          <w:rFonts w:hint="eastAsia" w:ascii="仿宋" w:hAnsi="仿宋" w:eastAsia="仿宋" w:cs="仿宋"/>
          <w:sz w:val="24"/>
          <w:szCs w:val="24"/>
          <w:highlight w:val="none"/>
          <w:u w:val="single"/>
        </w:rPr>
        <w:t xml:space="preserve">        </w:t>
      </w:r>
    </w:p>
    <w:p w14:paraId="1E63BA8B">
      <w:pPr>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系</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（投标人名称）的法定代表人</w:t>
      </w:r>
      <w:r>
        <w:rPr>
          <w:rFonts w:hint="eastAsia" w:ascii="仿宋" w:hAnsi="仿宋" w:eastAsia="仿宋" w:cs="仿宋"/>
          <w:spacing w:val="8"/>
          <w:sz w:val="24"/>
          <w:szCs w:val="24"/>
          <w:highlight w:val="none"/>
          <w:lang w:eastAsia="zh-CN"/>
        </w:rPr>
        <w:t>（</w:t>
      </w:r>
      <w:r>
        <w:rPr>
          <w:rFonts w:hint="eastAsia" w:ascii="仿宋" w:hAnsi="仿宋" w:eastAsia="仿宋" w:cs="仿宋"/>
          <w:spacing w:val="8"/>
          <w:sz w:val="24"/>
          <w:szCs w:val="24"/>
          <w:highlight w:val="none"/>
          <w:lang w:val="en-US" w:eastAsia="zh-CN"/>
        </w:rPr>
        <w:t>负责人</w:t>
      </w:r>
      <w:r>
        <w:rPr>
          <w:rFonts w:hint="eastAsia" w:ascii="仿宋" w:hAnsi="仿宋" w:eastAsia="仿宋" w:cs="仿宋"/>
          <w:spacing w:val="8"/>
          <w:sz w:val="24"/>
          <w:szCs w:val="24"/>
          <w:highlight w:val="none"/>
          <w:lang w:eastAsia="zh-CN"/>
        </w:rPr>
        <w:t>）</w:t>
      </w:r>
      <w:r>
        <w:rPr>
          <w:rFonts w:hint="eastAsia" w:ascii="仿宋" w:hAnsi="仿宋" w:eastAsia="仿宋" w:cs="仿宋"/>
          <w:sz w:val="24"/>
          <w:szCs w:val="24"/>
          <w:highlight w:val="none"/>
        </w:rPr>
        <w:t>。</w:t>
      </w:r>
    </w:p>
    <w:p w14:paraId="61960827">
      <w:pPr>
        <w:spacing w:line="44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特此证明。</w:t>
      </w:r>
    </w:p>
    <w:p w14:paraId="2CE27C4A">
      <w:pPr>
        <w:spacing w:line="440" w:lineRule="exact"/>
        <w:rPr>
          <w:rFonts w:hint="eastAsia" w:ascii="仿宋" w:hAnsi="仿宋" w:eastAsia="仿宋" w:cs="仿宋"/>
          <w:sz w:val="24"/>
          <w:szCs w:val="24"/>
          <w:highlight w:val="none"/>
        </w:rPr>
      </w:pPr>
    </w:p>
    <w:p w14:paraId="5142F997">
      <w:pPr>
        <w:spacing w:line="440" w:lineRule="exact"/>
        <w:rPr>
          <w:rFonts w:hint="eastAsia" w:ascii="仿宋" w:hAnsi="仿宋" w:eastAsia="仿宋" w:cs="仿宋"/>
          <w:sz w:val="24"/>
          <w:szCs w:val="24"/>
          <w:highlight w:val="none"/>
        </w:rPr>
      </w:pPr>
    </w:p>
    <w:p w14:paraId="3E7A32A4">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投标单位：（盖章）</w:t>
      </w:r>
    </w:p>
    <w:p w14:paraId="09F0BED5">
      <w:pPr>
        <w:snapToGrid w:val="0"/>
        <w:spacing w:line="360" w:lineRule="auto"/>
        <w:ind w:firstLine="240" w:firstLineChars="100"/>
        <w:rPr>
          <w:rFonts w:ascii="仿宋" w:hAnsi="仿宋" w:eastAsia="仿宋" w:cs="仿宋"/>
          <w:sz w:val="24"/>
          <w:szCs w:val="24"/>
          <w:highlight w:val="none"/>
          <w:lang w:val="zh-CN"/>
        </w:rPr>
      </w:pPr>
      <w:r>
        <w:rPr>
          <w:rFonts w:hint="eastAsia" w:ascii="仿宋" w:hAnsi="仿宋" w:eastAsia="仿宋" w:cs="仿宋"/>
          <w:sz w:val="24"/>
          <w:szCs w:val="24"/>
          <w:highlight w:val="none"/>
        </w:rPr>
        <w:t>法定代表人</w:t>
      </w:r>
      <w:r>
        <w:rPr>
          <w:rFonts w:hint="eastAsia" w:ascii="仿宋" w:hAnsi="仿宋" w:eastAsia="仿宋" w:cs="仿宋"/>
          <w:spacing w:val="8"/>
          <w:sz w:val="24"/>
          <w:szCs w:val="24"/>
          <w:highlight w:val="none"/>
          <w:lang w:eastAsia="zh-CN"/>
        </w:rPr>
        <w:t>（</w:t>
      </w:r>
      <w:r>
        <w:rPr>
          <w:rFonts w:hint="eastAsia" w:ascii="仿宋" w:hAnsi="仿宋" w:eastAsia="仿宋" w:cs="仿宋"/>
          <w:spacing w:val="8"/>
          <w:sz w:val="24"/>
          <w:szCs w:val="24"/>
          <w:highlight w:val="none"/>
          <w:lang w:val="en-US" w:eastAsia="zh-CN"/>
        </w:rPr>
        <w:t>负责人</w:t>
      </w:r>
      <w:r>
        <w:rPr>
          <w:rFonts w:hint="eastAsia" w:ascii="仿宋" w:hAnsi="仿宋" w:eastAsia="仿宋" w:cs="仿宋"/>
          <w:spacing w:val="8"/>
          <w:sz w:val="24"/>
          <w:szCs w:val="24"/>
          <w:highlight w:val="none"/>
          <w:lang w:eastAsia="zh-CN"/>
        </w:rPr>
        <w:t>）</w:t>
      </w:r>
      <w:r>
        <w:rPr>
          <w:rFonts w:hint="eastAsia" w:ascii="仿宋" w:hAnsi="仿宋" w:eastAsia="仿宋" w:cs="仿宋"/>
          <w:sz w:val="24"/>
          <w:szCs w:val="24"/>
          <w:highlight w:val="none"/>
        </w:rPr>
        <w:t xml:space="preserve">或委托代理人：      </w:t>
      </w:r>
      <w:r>
        <w:rPr>
          <w:rFonts w:hint="eastAsia" w:ascii="仿宋" w:hAnsi="仿宋" w:eastAsia="仿宋" w:cs="仿宋"/>
          <w:sz w:val="24"/>
          <w:szCs w:val="24"/>
          <w:highlight w:val="none"/>
          <w:lang w:val="zh-CN"/>
        </w:rPr>
        <w:t>（签字或盖章）</w:t>
      </w:r>
    </w:p>
    <w:p w14:paraId="7D9DEA72">
      <w:pPr>
        <w:spacing w:line="440" w:lineRule="exact"/>
        <w:ind w:firstLine="240" w:firstLineChars="10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日期：    </w:t>
      </w:r>
    </w:p>
    <w:p w14:paraId="593D3182">
      <w:pPr>
        <w:spacing w:line="440" w:lineRule="exact"/>
        <w:rPr>
          <w:rFonts w:eastAsia="黑体"/>
          <w:szCs w:val="20"/>
          <w:highlight w:val="none"/>
        </w:rPr>
      </w:pPr>
    </w:p>
    <w:tbl>
      <w:tblPr>
        <w:tblStyle w:val="41"/>
        <w:tblpPr w:leftFromText="180" w:rightFromText="180" w:vertAnchor="text" w:horzAnchor="page" w:tblpXSpec="center" w:tblpY="968"/>
        <w:tblOverlap w:val="never"/>
        <w:tblW w:w="83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00"/>
      </w:tblGrid>
      <w:tr w14:paraId="17750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5" w:hRule="atLeast"/>
          <w:jc w:val="center"/>
        </w:trPr>
        <w:tc>
          <w:tcPr>
            <w:tcW w:w="8300" w:type="dxa"/>
            <w:noWrap w:val="0"/>
            <w:vAlign w:val="center"/>
          </w:tcPr>
          <w:p w14:paraId="39FA2784">
            <w:pPr>
              <w:pStyle w:val="37"/>
              <w:spacing w:line="440" w:lineRule="exact"/>
              <w:jc w:val="center"/>
              <w:rPr>
                <w:rFonts w:ascii="仿宋" w:hAnsi="仿宋" w:eastAsia="仿宋" w:cs="仿宋"/>
                <w:color w:val="auto"/>
                <w:highlight w:val="none"/>
              </w:rPr>
            </w:pPr>
            <w:r>
              <w:rPr>
                <w:rFonts w:hint="eastAsia" w:ascii="仿宋" w:hAnsi="仿宋" w:eastAsia="仿宋" w:cs="仿宋"/>
                <w:color w:val="auto"/>
                <w:kern w:val="2"/>
                <w:highlight w:val="none"/>
              </w:rPr>
              <w:t>（法定代表人</w:t>
            </w:r>
            <w:r>
              <w:rPr>
                <w:rFonts w:hint="eastAsia" w:ascii="仿宋" w:hAnsi="仿宋" w:eastAsia="仿宋" w:cs="仿宋"/>
                <w:spacing w:val="8"/>
                <w:sz w:val="24"/>
                <w:szCs w:val="24"/>
                <w:highlight w:val="none"/>
                <w:lang w:eastAsia="zh-CN"/>
              </w:rPr>
              <w:t>（</w:t>
            </w:r>
            <w:r>
              <w:rPr>
                <w:rFonts w:hint="eastAsia" w:ascii="仿宋" w:hAnsi="仿宋" w:eastAsia="仿宋" w:cs="仿宋"/>
                <w:spacing w:val="8"/>
                <w:sz w:val="24"/>
                <w:szCs w:val="24"/>
                <w:highlight w:val="none"/>
                <w:lang w:val="en-US" w:eastAsia="zh-CN"/>
              </w:rPr>
              <w:t>负责人</w:t>
            </w:r>
            <w:r>
              <w:rPr>
                <w:rFonts w:hint="eastAsia" w:ascii="仿宋" w:hAnsi="仿宋" w:eastAsia="仿宋" w:cs="仿宋"/>
                <w:spacing w:val="8"/>
                <w:sz w:val="24"/>
                <w:szCs w:val="24"/>
                <w:highlight w:val="none"/>
                <w:lang w:eastAsia="zh-CN"/>
              </w:rPr>
              <w:t>）</w:t>
            </w:r>
            <w:r>
              <w:rPr>
                <w:rFonts w:hint="eastAsia" w:ascii="仿宋" w:hAnsi="仿宋" w:eastAsia="仿宋" w:cs="仿宋"/>
                <w:color w:val="auto"/>
                <w:kern w:val="2"/>
                <w:highlight w:val="none"/>
              </w:rPr>
              <w:t>身份证</w:t>
            </w:r>
            <w:r>
              <w:rPr>
                <w:rFonts w:hint="eastAsia" w:ascii="仿宋" w:hAnsi="仿宋" w:eastAsia="仿宋" w:cs="仿宋"/>
                <w:color w:val="auto"/>
                <w:kern w:val="2"/>
                <w:highlight w:val="none"/>
                <w:lang w:eastAsia="zh-CN"/>
              </w:rPr>
              <w:t>正反面</w:t>
            </w:r>
            <w:r>
              <w:rPr>
                <w:rFonts w:hint="eastAsia" w:ascii="仿宋" w:hAnsi="仿宋" w:eastAsia="仿宋" w:cs="仿宋"/>
                <w:color w:val="auto"/>
                <w:kern w:val="2"/>
                <w:highlight w:val="none"/>
              </w:rPr>
              <w:t>扫描件）</w:t>
            </w:r>
          </w:p>
        </w:tc>
      </w:tr>
    </w:tbl>
    <w:p w14:paraId="55726914">
      <w:pPr>
        <w:spacing w:line="440" w:lineRule="exact"/>
        <w:jc w:val="center"/>
        <w:rPr>
          <w:rFonts w:ascii="仿宋" w:hAnsi="仿宋" w:eastAsia="仿宋" w:cs="仿宋"/>
          <w:sz w:val="30"/>
          <w:szCs w:val="30"/>
          <w:highlight w:val="none"/>
        </w:rPr>
      </w:pPr>
      <w:r>
        <w:rPr>
          <w:rFonts w:hint="eastAsia" w:ascii="仿宋" w:hAnsi="仿宋" w:eastAsia="仿宋" w:cs="仿宋"/>
          <w:sz w:val="24"/>
          <w:szCs w:val="24"/>
          <w:highlight w:val="none"/>
        </w:rPr>
        <w:br w:type="page"/>
      </w:r>
      <w:r>
        <w:rPr>
          <w:rFonts w:hint="eastAsia" w:ascii="仿宋" w:hAnsi="仿宋" w:eastAsia="仿宋" w:cs="仿宋"/>
          <w:b/>
          <w:bCs/>
          <w:sz w:val="30"/>
          <w:szCs w:val="30"/>
          <w:highlight w:val="none"/>
        </w:rPr>
        <w:t>法</w:t>
      </w:r>
      <w:r>
        <w:rPr>
          <w:rFonts w:hint="eastAsia" w:ascii="仿宋" w:hAnsi="仿宋" w:eastAsia="仿宋" w:cs="仿宋"/>
          <w:b/>
          <w:bCs/>
          <w:sz w:val="30"/>
          <w:szCs w:val="30"/>
          <w:highlight w:val="none"/>
          <w:lang w:val="en-US" w:eastAsia="zh-CN"/>
        </w:rPr>
        <w:t>定代表人（负责人）</w:t>
      </w:r>
      <w:r>
        <w:rPr>
          <w:rFonts w:hint="eastAsia" w:ascii="仿宋" w:hAnsi="仿宋" w:eastAsia="仿宋" w:cs="仿宋"/>
          <w:b/>
          <w:bCs/>
          <w:sz w:val="30"/>
          <w:szCs w:val="30"/>
          <w:highlight w:val="none"/>
        </w:rPr>
        <w:t>授权委托书</w:t>
      </w:r>
    </w:p>
    <w:p w14:paraId="20322A1F">
      <w:pPr>
        <w:pStyle w:val="23"/>
        <w:spacing w:line="520" w:lineRule="exact"/>
        <w:ind w:firstLine="1110"/>
        <w:jc w:val="center"/>
        <w:rPr>
          <w:rFonts w:ascii="仿宋" w:hAnsi="仿宋" w:eastAsia="仿宋" w:cs="仿宋"/>
          <w:b/>
          <w:bCs/>
          <w:sz w:val="24"/>
          <w:szCs w:val="24"/>
          <w:highlight w:val="none"/>
        </w:rPr>
      </w:pPr>
    </w:p>
    <w:p w14:paraId="3FB32681">
      <w:pPr>
        <w:pStyle w:val="23"/>
        <w:spacing w:line="52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本授权书声明：注册于</w:t>
      </w:r>
      <w:r>
        <w:rPr>
          <w:rFonts w:hint="eastAsia" w:ascii="仿宋" w:hAnsi="仿宋" w:eastAsia="仿宋" w:cs="仿宋"/>
          <w:sz w:val="24"/>
          <w:szCs w:val="24"/>
          <w:highlight w:val="none"/>
          <w:u w:val="single"/>
        </w:rPr>
        <w:t xml:space="preserve">   (国家或地区的名称)  </w:t>
      </w:r>
      <w:r>
        <w:rPr>
          <w:rFonts w:hint="eastAsia" w:ascii="仿宋" w:hAnsi="仿宋" w:eastAsia="仿宋" w:cs="仿宋"/>
          <w:sz w:val="24"/>
          <w:szCs w:val="24"/>
          <w:highlight w:val="none"/>
        </w:rPr>
        <w:t>的</w:t>
      </w:r>
      <w:r>
        <w:rPr>
          <w:rFonts w:hint="eastAsia" w:ascii="仿宋" w:hAnsi="仿宋" w:eastAsia="仿宋" w:cs="仿宋"/>
          <w:sz w:val="24"/>
          <w:szCs w:val="24"/>
          <w:highlight w:val="none"/>
          <w:u w:val="single"/>
        </w:rPr>
        <w:t xml:space="preserve">  (公司名称)  </w:t>
      </w:r>
      <w:r>
        <w:rPr>
          <w:rFonts w:hint="eastAsia" w:ascii="仿宋" w:hAnsi="仿宋" w:eastAsia="仿宋" w:cs="仿宋"/>
          <w:sz w:val="24"/>
          <w:szCs w:val="24"/>
          <w:highlight w:val="none"/>
        </w:rPr>
        <w:t>的</w:t>
      </w:r>
      <w:r>
        <w:rPr>
          <w:rFonts w:hint="eastAsia" w:ascii="仿宋" w:hAnsi="仿宋" w:eastAsia="仿宋" w:cs="仿宋"/>
          <w:sz w:val="24"/>
          <w:szCs w:val="24"/>
          <w:highlight w:val="none"/>
          <w:u w:val="single"/>
        </w:rPr>
        <w:t xml:space="preserve"> (法人代表</w:t>
      </w:r>
      <w:r>
        <w:rPr>
          <w:rFonts w:hint="eastAsia" w:ascii="仿宋" w:hAnsi="仿宋" w:eastAsia="仿宋" w:cs="仿宋"/>
          <w:sz w:val="24"/>
          <w:szCs w:val="24"/>
          <w:highlight w:val="none"/>
          <w:u w:val="single"/>
          <w:lang w:eastAsia="zh-CN"/>
        </w:rPr>
        <w:t>（</w:t>
      </w:r>
      <w:r>
        <w:rPr>
          <w:rFonts w:hint="eastAsia" w:ascii="仿宋" w:hAnsi="仿宋" w:eastAsia="仿宋" w:cs="仿宋"/>
          <w:sz w:val="24"/>
          <w:szCs w:val="24"/>
          <w:highlight w:val="none"/>
          <w:u w:val="single"/>
          <w:lang w:val="en-US" w:eastAsia="zh-CN"/>
        </w:rPr>
        <w:t>负责人</w:t>
      </w:r>
      <w:r>
        <w:rPr>
          <w:rFonts w:hint="eastAsia" w:ascii="仿宋" w:hAnsi="仿宋" w:eastAsia="仿宋" w:cs="仿宋"/>
          <w:sz w:val="24"/>
          <w:szCs w:val="24"/>
          <w:highlight w:val="none"/>
          <w:u w:val="single"/>
          <w:lang w:eastAsia="zh-CN"/>
        </w:rPr>
        <w:t>）</w:t>
      </w:r>
      <w:r>
        <w:rPr>
          <w:rFonts w:hint="eastAsia" w:ascii="仿宋" w:hAnsi="仿宋" w:eastAsia="仿宋" w:cs="仿宋"/>
          <w:sz w:val="24"/>
          <w:szCs w:val="24"/>
          <w:highlight w:val="none"/>
          <w:u w:val="single"/>
        </w:rPr>
        <w:t xml:space="preserve">姓名、职务)  </w:t>
      </w:r>
      <w:r>
        <w:rPr>
          <w:rFonts w:hint="eastAsia" w:ascii="仿宋" w:hAnsi="仿宋" w:eastAsia="仿宋" w:cs="仿宋"/>
          <w:sz w:val="24"/>
          <w:szCs w:val="24"/>
          <w:highlight w:val="none"/>
        </w:rPr>
        <w:t>，代表本公司授权</w:t>
      </w:r>
      <w:r>
        <w:rPr>
          <w:rFonts w:hint="eastAsia" w:ascii="仿宋" w:hAnsi="仿宋" w:eastAsia="仿宋" w:cs="仿宋"/>
          <w:sz w:val="24"/>
          <w:szCs w:val="24"/>
          <w:highlight w:val="none"/>
          <w:u w:val="single"/>
        </w:rPr>
        <w:t xml:space="preserve">  (被授权单位名称)  </w:t>
      </w:r>
      <w:r>
        <w:rPr>
          <w:rFonts w:hint="eastAsia" w:ascii="仿宋" w:hAnsi="仿宋" w:eastAsia="仿宋" w:cs="仿宋"/>
          <w:sz w:val="24"/>
          <w:szCs w:val="24"/>
          <w:highlight w:val="none"/>
        </w:rPr>
        <w:t>的</w:t>
      </w:r>
    </w:p>
    <w:p w14:paraId="48660FFA">
      <w:pPr>
        <w:pStyle w:val="23"/>
        <w:spacing w:line="520" w:lineRule="exact"/>
        <w:rPr>
          <w:rFonts w:hint="eastAsia" w:ascii="仿宋" w:hAnsi="仿宋" w:eastAsia="仿宋" w:cs="仿宋"/>
          <w:sz w:val="24"/>
          <w:szCs w:val="24"/>
          <w:highlight w:val="none"/>
        </w:rPr>
      </w:pPr>
      <w:r>
        <w:rPr>
          <w:rFonts w:hint="eastAsia" w:ascii="仿宋" w:hAnsi="仿宋" w:eastAsia="仿宋" w:cs="仿宋"/>
          <w:sz w:val="24"/>
          <w:szCs w:val="24"/>
          <w:highlight w:val="none"/>
          <w:u w:val="single"/>
        </w:rPr>
        <w:t xml:space="preserve">        (被授权人的姓名、职务)</w:t>
      </w:r>
      <w:r>
        <w:rPr>
          <w:rFonts w:hint="eastAsia" w:ascii="仿宋" w:hAnsi="仿宋" w:eastAsia="仿宋" w:cs="仿宋"/>
          <w:sz w:val="24"/>
          <w:szCs w:val="24"/>
          <w:highlight w:val="none"/>
        </w:rPr>
        <w:t>为本公司的合法代理人，参加编号为</w:t>
      </w:r>
    </w:p>
    <w:p w14:paraId="6F01D0D8">
      <w:pPr>
        <w:pStyle w:val="23"/>
        <w:spacing w:line="520" w:lineRule="exact"/>
        <w:rPr>
          <w:rFonts w:ascii="仿宋" w:hAnsi="仿宋" w:eastAsia="仿宋" w:cs="仿宋"/>
          <w:sz w:val="24"/>
          <w:szCs w:val="24"/>
          <w:highlight w:val="none"/>
        </w:rPr>
      </w:pP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号的公开招标活动，以本公司名义处理一切与之有关的事宜。</w:t>
      </w:r>
    </w:p>
    <w:p w14:paraId="7687BA03">
      <w:pPr>
        <w:pStyle w:val="23"/>
        <w:spacing w:line="520" w:lineRule="exact"/>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如果本公司在此次</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活动中中标，被授权人有权代表本公司签署合同。</w:t>
      </w:r>
    </w:p>
    <w:p w14:paraId="02003A98">
      <w:pPr>
        <w:pStyle w:val="23"/>
        <w:spacing w:line="520" w:lineRule="exact"/>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本授权书于</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年</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月</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日法定代表人</w:t>
      </w:r>
      <w:r>
        <w:rPr>
          <w:rFonts w:hint="eastAsia" w:ascii="仿宋" w:hAnsi="仿宋" w:eastAsia="仿宋" w:cs="仿宋"/>
          <w:spacing w:val="8"/>
          <w:sz w:val="24"/>
          <w:szCs w:val="24"/>
          <w:highlight w:val="none"/>
          <w:lang w:eastAsia="zh-CN"/>
        </w:rPr>
        <w:t>（</w:t>
      </w:r>
      <w:r>
        <w:rPr>
          <w:rFonts w:hint="eastAsia" w:ascii="仿宋" w:hAnsi="仿宋" w:eastAsia="仿宋" w:cs="仿宋"/>
          <w:spacing w:val="8"/>
          <w:sz w:val="24"/>
          <w:szCs w:val="24"/>
          <w:highlight w:val="none"/>
          <w:lang w:val="en-US" w:eastAsia="zh-CN"/>
        </w:rPr>
        <w:t>负责人</w:t>
      </w:r>
      <w:r>
        <w:rPr>
          <w:rFonts w:hint="eastAsia" w:ascii="仿宋" w:hAnsi="仿宋" w:eastAsia="仿宋" w:cs="仿宋"/>
          <w:spacing w:val="8"/>
          <w:sz w:val="24"/>
          <w:szCs w:val="24"/>
          <w:highlight w:val="none"/>
          <w:lang w:eastAsia="zh-CN"/>
        </w:rPr>
        <w:t>）</w:t>
      </w:r>
      <w:r>
        <w:rPr>
          <w:rFonts w:hint="eastAsia" w:ascii="仿宋" w:hAnsi="仿宋" w:eastAsia="仿宋" w:cs="仿宋"/>
          <w:sz w:val="24"/>
          <w:szCs w:val="24"/>
          <w:highlight w:val="none"/>
        </w:rPr>
        <w:t>签字或盖章并由被授权人签字、单位盖章生效，特此声明。</w:t>
      </w:r>
    </w:p>
    <w:p w14:paraId="4FF4CD93">
      <w:pPr>
        <w:pStyle w:val="23"/>
        <w:spacing w:line="52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    被授权人无转委托权。</w:t>
      </w:r>
    </w:p>
    <w:p w14:paraId="64A2D1B5">
      <w:pPr>
        <w:pStyle w:val="23"/>
        <w:spacing w:line="520" w:lineRule="exact"/>
        <w:ind w:firstLine="1111"/>
        <w:rPr>
          <w:rFonts w:ascii="仿宋" w:hAnsi="仿宋" w:eastAsia="仿宋" w:cs="仿宋"/>
          <w:sz w:val="24"/>
          <w:szCs w:val="24"/>
          <w:highlight w:val="none"/>
        </w:rPr>
      </w:pPr>
    </w:p>
    <w:p w14:paraId="6E6A9BF4">
      <w:pPr>
        <w:pStyle w:val="23"/>
        <w:spacing w:line="520" w:lineRule="exact"/>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法定代表人</w:t>
      </w:r>
      <w:r>
        <w:rPr>
          <w:rFonts w:hint="eastAsia" w:ascii="仿宋" w:hAnsi="仿宋" w:eastAsia="仿宋" w:cs="仿宋"/>
          <w:spacing w:val="8"/>
          <w:sz w:val="24"/>
          <w:szCs w:val="24"/>
          <w:highlight w:val="none"/>
          <w:lang w:eastAsia="zh-CN"/>
        </w:rPr>
        <w:t>（</w:t>
      </w:r>
      <w:r>
        <w:rPr>
          <w:rFonts w:hint="eastAsia" w:ascii="仿宋" w:hAnsi="仿宋" w:eastAsia="仿宋" w:cs="仿宋"/>
          <w:spacing w:val="8"/>
          <w:sz w:val="24"/>
          <w:szCs w:val="24"/>
          <w:highlight w:val="none"/>
          <w:lang w:val="en-US" w:eastAsia="zh-CN"/>
        </w:rPr>
        <w:t>负责人</w:t>
      </w:r>
      <w:r>
        <w:rPr>
          <w:rFonts w:hint="eastAsia" w:ascii="仿宋" w:hAnsi="仿宋" w:eastAsia="仿宋" w:cs="仿宋"/>
          <w:spacing w:val="8"/>
          <w:sz w:val="24"/>
          <w:szCs w:val="24"/>
          <w:highlight w:val="none"/>
          <w:lang w:eastAsia="zh-CN"/>
        </w:rPr>
        <w:t>）</w:t>
      </w:r>
      <w:r>
        <w:rPr>
          <w:rFonts w:hint="eastAsia" w:ascii="仿宋" w:hAnsi="仿宋" w:eastAsia="仿宋" w:cs="仿宋"/>
          <w:sz w:val="24"/>
          <w:szCs w:val="24"/>
          <w:highlight w:val="none"/>
        </w:rPr>
        <w:t>签字或盖章：</w:t>
      </w:r>
    </w:p>
    <w:p w14:paraId="6133645B">
      <w:pPr>
        <w:pStyle w:val="23"/>
        <w:spacing w:line="520" w:lineRule="exact"/>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被授权人签字：</w:t>
      </w:r>
    </w:p>
    <w:p w14:paraId="6C3892DC">
      <w:pPr>
        <w:pStyle w:val="23"/>
        <w:spacing w:line="520" w:lineRule="exact"/>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投标人公章:</w:t>
      </w:r>
    </w:p>
    <w:p w14:paraId="6D213173">
      <w:pPr>
        <w:pStyle w:val="23"/>
        <w:spacing w:line="520" w:lineRule="exact"/>
        <w:rPr>
          <w:rFonts w:ascii="仿宋" w:hAnsi="仿宋" w:eastAsia="仿宋" w:cs="仿宋"/>
          <w:sz w:val="24"/>
          <w:szCs w:val="24"/>
          <w:highlight w:val="none"/>
        </w:rPr>
      </w:pPr>
    </w:p>
    <w:p w14:paraId="3945FB80">
      <w:pPr>
        <w:pStyle w:val="23"/>
        <w:spacing w:line="520" w:lineRule="exact"/>
        <w:rPr>
          <w:rFonts w:ascii="仿宋" w:hAnsi="仿宋" w:eastAsia="仿宋" w:cs="仿宋"/>
          <w:sz w:val="24"/>
          <w:szCs w:val="24"/>
          <w:highlight w:val="none"/>
        </w:rPr>
      </w:pPr>
    </w:p>
    <w:tbl>
      <w:tblPr>
        <w:tblStyle w:val="41"/>
        <w:tblpPr w:leftFromText="180" w:rightFromText="180" w:vertAnchor="text" w:tblpXSpec="center" w:tblpY="1"/>
        <w:tblOverlap w:val="never"/>
        <w:tblW w:w="89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60"/>
      </w:tblGrid>
      <w:tr w14:paraId="44514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2" w:hRule="atLeast"/>
        </w:trPr>
        <w:tc>
          <w:tcPr>
            <w:tcW w:w="8960" w:type="dxa"/>
            <w:noWrap w:val="0"/>
            <w:vAlign w:val="center"/>
          </w:tcPr>
          <w:p w14:paraId="45D7A2BC">
            <w:pPr>
              <w:pStyle w:val="37"/>
              <w:spacing w:line="440" w:lineRule="exact"/>
              <w:jc w:val="center"/>
              <w:rPr>
                <w:rFonts w:ascii="仿宋" w:hAnsi="仿宋" w:eastAsia="仿宋" w:cs="仿宋"/>
                <w:color w:val="auto"/>
                <w:highlight w:val="none"/>
              </w:rPr>
            </w:pPr>
            <w:r>
              <w:rPr>
                <w:rFonts w:hint="eastAsia" w:ascii="仿宋" w:hAnsi="仿宋" w:eastAsia="仿宋" w:cs="仿宋"/>
                <w:color w:val="auto"/>
                <w:kern w:val="2"/>
                <w:highlight w:val="none"/>
              </w:rPr>
              <w:t>（被授权人身份证</w:t>
            </w:r>
            <w:r>
              <w:rPr>
                <w:rFonts w:hint="eastAsia" w:ascii="仿宋" w:hAnsi="仿宋" w:eastAsia="仿宋" w:cs="仿宋"/>
                <w:color w:val="auto"/>
                <w:kern w:val="2"/>
                <w:highlight w:val="none"/>
                <w:lang w:eastAsia="zh-CN"/>
              </w:rPr>
              <w:t>正反面</w:t>
            </w:r>
            <w:r>
              <w:rPr>
                <w:rFonts w:hint="eastAsia" w:ascii="仿宋" w:hAnsi="仿宋" w:eastAsia="仿宋" w:cs="仿宋"/>
                <w:color w:val="auto"/>
                <w:kern w:val="2"/>
                <w:highlight w:val="none"/>
              </w:rPr>
              <w:t>扫描件）</w:t>
            </w:r>
          </w:p>
        </w:tc>
      </w:tr>
    </w:tbl>
    <w:p w14:paraId="0361FFA5">
      <w:pPr>
        <w:snapToGrid w:val="0"/>
        <w:spacing w:line="360" w:lineRule="auto"/>
        <w:ind w:firstLine="480" w:firstLineChars="200"/>
        <w:jc w:val="left"/>
        <w:rPr>
          <w:rFonts w:hint="eastAsia" w:ascii="仿宋" w:hAnsi="仿宋" w:eastAsia="仿宋" w:cs="仿宋"/>
          <w:sz w:val="24"/>
          <w:szCs w:val="24"/>
          <w:highlight w:val="none"/>
        </w:rPr>
      </w:pPr>
    </w:p>
    <w:p w14:paraId="2128C35E">
      <w:pPr>
        <w:snapToGrid w:val="0"/>
        <w:spacing w:line="360" w:lineRule="auto"/>
        <w:ind w:firstLine="422" w:firstLineChars="200"/>
        <w:jc w:val="left"/>
        <w:rPr>
          <w:rFonts w:hint="eastAsia" w:ascii="仿宋" w:hAnsi="仿宋" w:eastAsia="仿宋" w:cs="仿宋"/>
          <w:b/>
          <w:bCs/>
          <w:sz w:val="21"/>
          <w:szCs w:val="21"/>
          <w:highlight w:val="none"/>
        </w:rPr>
      </w:pPr>
      <w:r>
        <w:rPr>
          <w:rFonts w:hint="eastAsia" w:ascii="仿宋" w:hAnsi="仿宋" w:eastAsia="仿宋" w:cs="仿宋"/>
          <w:b/>
          <w:bCs/>
          <w:sz w:val="21"/>
          <w:szCs w:val="21"/>
          <w:highlight w:val="none"/>
          <w:lang w:val="en-US" w:eastAsia="zh-CN"/>
        </w:rPr>
        <w:t>附</w:t>
      </w:r>
      <w:r>
        <w:rPr>
          <w:rFonts w:hint="eastAsia" w:ascii="仿宋" w:hAnsi="仿宋" w:eastAsia="仿宋" w:cs="仿宋"/>
          <w:b/>
          <w:bCs/>
          <w:sz w:val="21"/>
          <w:szCs w:val="21"/>
          <w:highlight w:val="none"/>
        </w:rPr>
        <w:t>授权代理人社保证明材料。</w:t>
      </w:r>
    </w:p>
    <w:p w14:paraId="1F40DCD2">
      <w:pPr>
        <w:snapToGrid w:val="0"/>
        <w:spacing w:line="360" w:lineRule="auto"/>
        <w:ind w:firstLine="422" w:firstLineChars="200"/>
        <w:jc w:val="left"/>
        <w:rPr>
          <w:rFonts w:ascii="仿宋" w:hAnsi="仿宋" w:eastAsia="仿宋" w:cs="仿宋"/>
          <w:b/>
          <w:bCs/>
          <w:sz w:val="24"/>
          <w:szCs w:val="24"/>
          <w:highlight w:val="none"/>
        </w:rPr>
      </w:pPr>
      <w:r>
        <w:rPr>
          <w:rFonts w:hint="eastAsia" w:ascii="仿宋" w:hAnsi="仿宋" w:eastAsia="仿宋" w:cs="仿宋"/>
          <w:b/>
          <w:bCs/>
          <w:sz w:val="21"/>
          <w:szCs w:val="21"/>
          <w:highlight w:val="none"/>
        </w:rPr>
        <w:t>注：若由法定代表人</w:t>
      </w:r>
      <w:r>
        <w:rPr>
          <w:rFonts w:hint="eastAsia" w:ascii="仿宋" w:hAnsi="仿宋" w:eastAsia="仿宋" w:cs="仿宋"/>
          <w:b/>
          <w:bCs/>
          <w:sz w:val="21"/>
          <w:szCs w:val="21"/>
          <w:highlight w:val="none"/>
          <w:lang w:eastAsia="zh-CN"/>
        </w:rPr>
        <w:t>（</w:t>
      </w:r>
      <w:r>
        <w:rPr>
          <w:rFonts w:hint="eastAsia" w:ascii="仿宋" w:hAnsi="仿宋" w:eastAsia="仿宋" w:cs="仿宋"/>
          <w:b/>
          <w:bCs/>
          <w:sz w:val="21"/>
          <w:szCs w:val="21"/>
          <w:highlight w:val="none"/>
          <w:lang w:val="en-US" w:eastAsia="zh-CN"/>
        </w:rPr>
        <w:t>负责人</w:t>
      </w:r>
      <w:r>
        <w:rPr>
          <w:rFonts w:hint="eastAsia" w:ascii="仿宋" w:hAnsi="仿宋" w:eastAsia="仿宋" w:cs="仿宋"/>
          <w:b/>
          <w:bCs/>
          <w:sz w:val="21"/>
          <w:szCs w:val="21"/>
          <w:highlight w:val="none"/>
          <w:lang w:eastAsia="zh-CN"/>
        </w:rPr>
        <w:t>）</w:t>
      </w:r>
      <w:r>
        <w:rPr>
          <w:rFonts w:hint="eastAsia" w:ascii="仿宋" w:hAnsi="仿宋" w:eastAsia="仿宋" w:cs="仿宋"/>
          <w:b/>
          <w:bCs/>
          <w:sz w:val="21"/>
          <w:szCs w:val="21"/>
          <w:highlight w:val="none"/>
        </w:rPr>
        <w:t>亲自签署投标文件并参与相关活动，则无需提供授权委托书；若为授权委托代理人，则需提供授权委托书。</w:t>
      </w:r>
    </w:p>
    <w:p w14:paraId="483C701E">
      <w:pPr>
        <w:snapToGrid w:val="0"/>
        <w:spacing w:line="360" w:lineRule="auto"/>
        <w:ind w:firstLine="480" w:firstLineChars="200"/>
        <w:jc w:val="left"/>
        <w:rPr>
          <w:rFonts w:ascii="仿宋" w:hAnsi="仿宋" w:eastAsia="仿宋" w:cs="仿宋"/>
          <w:sz w:val="24"/>
          <w:szCs w:val="24"/>
          <w:highlight w:val="none"/>
        </w:rPr>
      </w:pPr>
    </w:p>
    <w:p w14:paraId="426423F0">
      <w:pPr>
        <w:snapToGrid w:val="0"/>
        <w:spacing w:line="360" w:lineRule="auto"/>
        <w:jc w:val="center"/>
        <w:rPr>
          <w:rFonts w:hint="eastAsia" w:ascii="仿宋" w:hAnsi="仿宋" w:eastAsia="仿宋" w:cs="仿宋"/>
          <w:b/>
          <w:bCs/>
          <w:sz w:val="24"/>
          <w:szCs w:val="24"/>
          <w:highlight w:val="none"/>
        </w:rPr>
      </w:pPr>
      <w:r>
        <w:rPr>
          <w:rFonts w:hint="eastAsia" w:ascii="仿宋" w:hAnsi="仿宋" w:eastAsia="仿宋" w:cs="仿宋"/>
          <w:b/>
          <w:bCs/>
          <w:sz w:val="30"/>
          <w:szCs w:val="30"/>
          <w:highlight w:val="none"/>
        </w:rPr>
        <w:t>投标人参与投标的声明函</w:t>
      </w:r>
    </w:p>
    <w:p w14:paraId="1FB450B6">
      <w:pPr>
        <w:pStyle w:val="23"/>
        <w:spacing w:line="52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本单位郑重承诺如下：</w:t>
      </w:r>
    </w:p>
    <w:p w14:paraId="5ED79EBD">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val="en-US" w:eastAsia="zh-CN"/>
        </w:rPr>
      </w:pPr>
      <w:r>
        <w:rPr>
          <w:rFonts w:hint="eastAsia" w:ascii="仿宋" w:hAnsi="仿宋" w:eastAsia="仿宋" w:cs="仿宋"/>
          <w:spacing w:val="8"/>
          <w:sz w:val="24"/>
          <w:szCs w:val="24"/>
          <w:highlight w:val="none"/>
          <w:lang w:val="en-US" w:eastAsia="zh-CN"/>
        </w:rPr>
        <w:t>1.具有独立承担民事责任能力（分支机构参加投标的须提供总公司针对本项目的唯一授权）；</w:t>
      </w:r>
    </w:p>
    <w:p w14:paraId="48C5C022">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val="en-US" w:eastAsia="zh-CN"/>
        </w:rPr>
      </w:pPr>
      <w:r>
        <w:rPr>
          <w:rFonts w:hint="eastAsia" w:ascii="仿宋" w:hAnsi="仿宋" w:eastAsia="仿宋" w:cs="仿宋"/>
          <w:spacing w:val="8"/>
          <w:sz w:val="24"/>
          <w:szCs w:val="24"/>
          <w:highlight w:val="none"/>
          <w:lang w:val="en-US" w:eastAsia="zh-CN"/>
        </w:rPr>
        <w:t>2.具有有效的《成品油零售经营批准证书》和《中华人民共和国危险化学品经营许可证》；</w:t>
      </w:r>
    </w:p>
    <w:p w14:paraId="4A6BE8BE">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val="en-US" w:eastAsia="zh-CN"/>
        </w:rPr>
      </w:pPr>
      <w:r>
        <w:rPr>
          <w:rFonts w:hint="eastAsia" w:ascii="仿宋" w:hAnsi="仿宋" w:eastAsia="仿宋" w:cs="仿宋"/>
          <w:spacing w:val="8"/>
          <w:sz w:val="24"/>
          <w:szCs w:val="24"/>
          <w:highlight w:val="none"/>
          <w:lang w:val="en-US" w:eastAsia="zh-CN"/>
        </w:rPr>
        <w:t>3.具有良好的商业信誉和健全的财务会计制度及履约能力；</w:t>
      </w:r>
    </w:p>
    <w:p w14:paraId="79C3009C">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val="en-US" w:eastAsia="zh-CN"/>
        </w:rPr>
      </w:pPr>
      <w:r>
        <w:rPr>
          <w:rFonts w:hint="eastAsia" w:ascii="仿宋" w:hAnsi="仿宋" w:eastAsia="仿宋" w:cs="仿宋"/>
          <w:spacing w:val="8"/>
          <w:sz w:val="24"/>
          <w:szCs w:val="24"/>
          <w:highlight w:val="none"/>
          <w:lang w:val="en-US" w:eastAsia="zh-CN"/>
        </w:rPr>
        <w:t>4.具有履行合同所必需的设备和专业技术能力；</w:t>
      </w:r>
    </w:p>
    <w:p w14:paraId="744898BF">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val="en-US" w:eastAsia="zh-CN"/>
        </w:rPr>
      </w:pPr>
      <w:r>
        <w:rPr>
          <w:rFonts w:hint="eastAsia" w:ascii="仿宋" w:hAnsi="仿宋" w:eastAsia="仿宋" w:cs="仿宋"/>
          <w:spacing w:val="8"/>
          <w:sz w:val="24"/>
          <w:szCs w:val="24"/>
          <w:highlight w:val="none"/>
          <w:lang w:val="en-US" w:eastAsia="zh-CN"/>
        </w:rPr>
        <w:t>5.具有依法缴纳税收和社会保障资金的记录；</w:t>
      </w:r>
    </w:p>
    <w:p w14:paraId="670FE1A0">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val="en-US" w:eastAsia="zh-CN"/>
        </w:rPr>
      </w:pPr>
      <w:r>
        <w:rPr>
          <w:rFonts w:hint="eastAsia" w:ascii="仿宋" w:hAnsi="仿宋" w:eastAsia="仿宋" w:cs="仿宋"/>
          <w:spacing w:val="8"/>
          <w:sz w:val="24"/>
          <w:szCs w:val="24"/>
          <w:highlight w:val="none"/>
          <w:lang w:val="en-US" w:eastAsia="zh-CN"/>
        </w:rPr>
        <w:t>6.参加本次招标活动前三年内，在经营活动中没有重大违法记录；</w:t>
      </w:r>
    </w:p>
    <w:p w14:paraId="2FF8CCEA">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val="en-US" w:eastAsia="zh-CN"/>
        </w:rPr>
      </w:pPr>
      <w:r>
        <w:rPr>
          <w:rFonts w:hint="eastAsia" w:ascii="仿宋" w:hAnsi="仿宋" w:eastAsia="仿宋" w:cs="仿宋"/>
          <w:spacing w:val="8"/>
          <w:sz w:val="24"/>
          <w:szCs w:val="24"/>
          <w:highlight w:val="none"/>
          <w:lang w:val="en-US" w:eastAsia="zh-CN"/>
        </w:rPr>
        <w:t>7.</w:t>
      </w:r>
      <w:r>
        <w:rPr>
          <w:rFonts w:hint="eastAsia" w:ascii="仿宋" w:hAnsi="仿宋" w:eastAsia="仿宋" w:cs="仿宋"/>
          <w:color w:val="auto"/>
          <w:sz w:val="24"/>
          <w:szCs w:val="24"/>
          <w:highlight w:val="none"/>
        </w:rPr>
        <w:t>我单位</w:t>
      </w:r>
      <w:r>
        <w:rPr>
          <w:rFonts w:hint="eastAsia" w:ascii="仿宋" w:hAnsi="仿宋" w:eastAsia="仿宋" w:cs="仿宋"/>
          <w:spacing w:val="8"/>
          <w:sz w:val="24"/>
          <w:szCs w:val="24"/>
          <w:highlight w:val="none"/>
          <w:lang w:val="en-US" w:eastAsia="zh-CN"/>
        </w:rPr>
        <w:t>及其法定代表人（负责人）、委托代理人未被最高法院（查询网址为：http://zxgk.court.gov.cn/shixin/）列入失信被执行人；</w:t>
      </w:r>
    </w:p>
    <w:p w14:paraId="6F377A02">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val="en-US" w:eastAsia="zh-CN"/>
        </w:rPr>
      </w:pPr>
      <w:r>
        <w:rPr>
          <w:rFonts w:hint="eastAsia" w:ascii="仿宋" w:hAnsi="仿宋" w:eastAsia="仿宋" w:cs="仿宋"/>
          <w:spacing w:val="8"/>
          <w:sz w:val="24"/>
          <w:szCs w:val="24"/>
          <w:highlight w:val="none"/>
          <w:lang w:val="en-US" w:eastAsia="zh-CN"/>
        </w:rPr>
        <w:t>8.</w:t>
      </w:r>
      <w:r>
        <w:rPr>
          <w:rFonts w:hint="eastAsia" w:ascii="仿宋" w:hAnsi="仿宋" w:eastAsia="仿宋" w:cs="仿宋"/>
          <w:color w:val="auto"/>
          <w:sz w:val="24"/>
          <w:szCs w:val="24"/>
          <w:highlight w:val="none"/>
        </w:rPr>
        <w:t>我单位</w:t>
      </w:r>
      <w:r>
        <w:rPr>
          <w:rFonts w:hint="eastAsia" w:ascii="仿宋" w:hAnsi="仿宋" w:eastAsia="仿宋" w:cs="仿宋"/>
          <w:spacing w:val="8"/>
          <w:sz w:val="24"/>
          <w:szCs w:val="24"/>
          <w:highlight w:val="none"/>
          <w:lang w:val="en-US" w:eastAsia="zh-CN"/>
        </w:rPr>
        <w:t>近一年在“信用中国”或“信用中国（山东）”无严重失信记录；</w:t>
      </w:r>
    </w:p>
    <w:p w14:paraId="23C74304">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lang w:val="en-US" w:eastAsia="zh-CN"/>
        </w:rPr>
        <w:t>9.本项目不接受联合体投标。</w:t>
      </w:r>
    </w:p>
    <w:p w14:paraId="6C1B82ED">
      <w:pPr>
        <w:pStyle w:val="2"/>
        <w:rPr>
          <w:rFonts w:hint="eastAsia"/>
          <w:highlight w:val="none"/>
          <w:lang w:val="en-US" w:eastAsia="zh-CN"/>
        </w:rPr>
      </w:pPr>
    </w:p>
    <w:p w14:paraId="0A07E1D0">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z w:val="24"/>
          <w:szCs w:val="24"/>
          <w:highlight w:val="none"/>
        </w:rPr>
      </w:pPr>
      <w:r>
        <w:rPr>
          <w:rFonts w:hint="eastAsia" w:ascii="仿宋" w:hAnsi="仿宋" w:eastAsia="仿宋" w:cs="仿宋"/>
          <w:spacing w:val="8"/>
          <w:sz w:val="24"/>
          <w:szCs w:val="24"/>
          <w:highlight w:val="none"/>
          <w:lang w:val="en-US" w:eastAsia="zh-CN"/>
        </w:rPr>
        <w:t>若我单位提供虚假承诺，我单位同意所提交的投标文件作无效处理，并愿意接受通报，按照有关法律法规规</w:t>
      </w:r>
      <w:r>
        <w:rPr>
          <w:rFonts w:hint="eastAsia" w:ascii="仿宋" w:hAnsi="仿宋" w:eastAsia="仿宋" w:cs="仿宋"/>
          <w:sz w:val="24"/>
          <w:szCs w:val="24"/>
          <w:highlight w:val="none"/>
        </w:rPr>
        <w:t>定接受处罚，由此造成的一切经济责任和法律责任由我单位自行承担。</w:t>
      </w:r>
    </w:p>
    <w:p w14:paraId="569C01A9">
      <w:pPr>
        <w:snapToGrid w:val="0"/>
        <w:spacing w:line="560" w:lineRule="exact"/>
        <w:ind w:firstLine="562" w:firstLineChars="201"/>
        <w:rPr>
          <w:rFonts w:ascii="宋体" w:hAnsi="宋体"/>
          <w:sz w:val="28"/>
          <w:szCs w:val="28"/>
          <w:highlight w:val="none"/>
        </w:rPr>
      </w:pPr>
    </w:p>
    <w:p w14:paraId="33A2D7D3">
      <w:pPr>
        <w:snapToGrid w:val="0"/>
        <w:spacing w:line="360" w:lineRule="auto"/>
        <w:ind w:firstLine="240" w:firstLineChars="100"/>
        <w:rPr>
          <w:rFonts w:hint="eastAsia" w:ascii="仿宋" w:hAnsi="仿宋" w:eastAsia="仿宋" w:cs="仿宋"/>
          <w:sz w:val="24"/>
          <w:szCs w:val="24"/>
          <w:highlight w:val="none"/>
        </w:rPr>
      </w:pPr>
      <w:r>
        <w:rPr>
          <w:rFonts w:hint="eastAsia" w:ascii="仿宋" w:hAnsi="仿宋" w:eastAsia="仿宋" w:cs="仿宋"/>
          <w:sz w:val="24"/>
          <w:szCs w:val="24"/>
          <w:highlight w:val="none"/>
        </w:rPr>
        <w:t>投标单位：（盖章）</w:t>
      </w:r>
    </w:p>
    <w:p w14:paraId="014A0F8F">
      <w:pPr>
        <w:snapToGrid w:val="0"/>
        <w:spacing w:line="360" w:lineRule="auto"/>
        <w:ind w:firstLine="240" w:firstLineChars="100"/>
        <w:outlineLvl w:val="0"/>
        <w:rPr>
          <w:rFonts w:hint="eastAsia" w:ascii="仿宋" w:hAnsi="仿宋" w:eastAsia="仿宋" w:cs="仿宋"/>
          <w:sz w:val="24"/>
          <w:szCs w:val="24"/>
          <w:highlight w:val="none"/>
        </w:rPr>
      </w:pPr>
      <w:bookmarkStart w:id="18" w:name="_Toc29767"/>
      <w:bookmarkStart w:id="19" w:name="_Toc2784"/>
      <w:r>
        <w:rPr>
          <w:rFonts w:hint="eastAsia" w:ascii="仿宋" w:hAnsi="仿宋" w:eastAsia="仿宋" w:cs="仿宋"/>
          <w:sz w:val="24"/>
          <w:szCs w:val="24"/>
          <w:highlight w:val="none"/>
        </w:rPr>
        <w:t>法定代表人</w:t>
      </w:r>
      <w:r>
        <w:rPr>
          <w:rFonts w:hint="eastAsia" w:ascii="仿宋" w:hAnsi="仿宋" w:eastAsia="仿宋" w:cs="仿宋"/>
          <w:spacing w:val="8"/>
          <w:sz w:val="24"/>
          <w:szCs w:val="24"/>
          <w:highlight w:val="none"/>
          <w:lang w:eastAsia="zh-CN"/>
        </w:rPr>
        <w:t>（</w:t>
      </w:r>
      <w:r>
        <w:rPr>
          <w:rFonts w:hint="eastAsia" w:ascii="仿宋" w:hAnsi="仿宋" w:eastAsia="仿宋" w:cs="仿宋"/>
          <w:spacing w:val="8"/>
          <w:sz w:val="24"/>
          <w:szCs w:val="24"/>
          <w:highlight w:val="none"/>
          <w:lang w:val="en-US" w:eastAsia="zh-CN"/>
        </w:rPr>
        <w:t>负责人</w:t>
      </w:r>
      <w:r>
        <w:rPr>
          <w:rFonts w:hint="eastAsia" w:ascii="仿宋" w:hAnsi="仿宋" w:eastAsia="仿宋" w:cs="仿宋"/>
          <w:spacing w:val="8"/>
          <w:sz w:val="24"/>
          <w:szCs w:val="24"/>
          <w:highlight w:val="none"/>
          <w:lang w:eastAsia="zh-CN"/>
        </w:rPr>
        <w:t>）</w:t>
      </w:r>
      <w:r>
        <w:rPr>
          <w:rFonts w:hint="eastAsia" w:ascii="仿宋" w:hAnsi="仿宋" w:eastAsia="仿宋" w:cs="仿宋"/>
          <w:sz w:val="24"/>
          <w:szCs w:val="24"/>
          <w:highlight w:val="none"/>
        </w:rPr>
        <w:t xml:space="preserve">或委托代理人：      </w:t>
      </w:r>
      <w:r>
        <w:rPr>
          <w:rFonts w:hint="eastAsia" w:ascii="仿宋" w:hAnsi="仿宋" w:eastAsia="仿宋" w:cs="仿宋"/>
          <w:sz w:val="24"/>
          <w:szCs w:val="24"/>
          <w:highlight w:val="none"/>
          <w:lang w:val="zh-CN"/>
        </w:rPr>
        <w:t>（签字或盖章）</w:t>
      </w:r>
      <w:bookmarkEnd w:id="18"/>
      <w:bookmarkEnd w:id="19"/>
    </w:p>
    <w:p w14:paraId="3EFBCF87">
      <w:pPr>
        <w:snapToGrid w:val="0"/>
        <w:spacing w:line="360" w:lineRule="auto"/>
        <w:ind w:firstLine="240" w:firstLineChars="100"/>
        <w:rPr>
          <w:rFonts w:hint="eastAsia" w:ascii="仿宋" w:hAnsi="仿宋" w:eastAsia="仿宋" w:cs="仿宋"/>
          <w:sz w:val="24"/>
          <w:szCs w:val="24"/>
          <w:highlight w:val="none"/>
        </w:rPr>
        <w:sectPr>
          <w:pgSz w:w="11906" w:h="16838"/>
          <w:pgMar w:top="1440" w:right="1803" w:bottom="1440" w:left="1803" w:header="851" w:footer="992" w:gutter="0"/>
          <w:pgBorders>
            <w:top w:val="none" w:sz="0" w:space="0"/>
            <w:left w:val="none" w:sz="0" w:space="0"/>
            <w:bottom w:val="none" w:sz="0" w:space="0"/>
            <w:right w:val="none" w:sz="0" w:space="0"/>
          </w:pgBorders>
          <w:cols w:space="720" w:num="1"/>
          <w:docGrid w:type="lines" w:linePitch="312" w:charSpace="0"/>
        </w:sectPr>
      </w:pPr>
      <w:r>
        <w:rPr>
          <w:rFonts w:hint="eastAsia" w:ascii="仿宋" w:hAnsi="仿宋" w:eastAsia="仿宋" w:cs="仿宋"/>
          <w:sz w:val="24"/>
          <w:szCs w:val="24"/>
          <w:highlight w:val="none"/>
        </w:rPr>
        <w:t>日期：</w:t>
      </w:r>
    </w:p>
    <w:p w14:paraId="739A7B25">
      <w:pPr>
        <w:spacing w:line="600" w:lineRule="auto"/>
        <w:jc w:val="center"/>
        <w:rPr>
          <w:rFonts w:hint="eastAsia" w:ascii="宋体" w:hAnsi="宋体" w:eastAsia="宋体" w:cs="宋体"/>
          <w:b/>
          <w:bCs/>
          <w:color w:val="auto"/>
          <w:kern w:val="0"/>
          <w:sz w:val="32"/>
          <w:szCs w:val="32"/>
          <w:highlight w:val="none"/>
          <w:lang w:val="en-US" w:eastAsia="zh-CN"/>
        </w:rPr>
      </w:pPr>
      <w:r>
        <w:rPr>
          <w:rFonts w:hint="eastAsia" w:ascii="仿宋" w:hAnsi="仿宋" w:eastAsia="仿宋" w:cs="仿宋"/>
          <w:b/>
          <w:bCs w:val="0"/>
          <w:kern w:val="2"/>
          <w:sz w:val="28"/>
          <w:szCs w:val="21"/>
          <w:highlight w:val="none"/>
          <w:lang w:val="en-US" w:eastAsia="zh-CN" w:bidi="ar-SA"/>
        </w:rPr>
        <w:t>关联关系声明函</w:t>
      </w:r>
    </w:p>
    <w:p w14:paraId="6DE721B9">
      <w:pPr>
        <w:spacing w:line="480" w:lineRule="exact"/>
        <w:rPr>
          <w:rFonts w:hint="eastAsia"/>
          <w:bCs/>
          <w:color w:val="auto"/>
          <w:highlight w:val="none"/>
        </w:rPr>
      </w:pPr>
    </w:p>
    <w:p w14:paraId="586635DD">
      <w:pPr>
        <w:spacing w:line="48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致</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u w:val="single"/>
          <w:lang w:val="en-US" w:eastAsia="zh-CN"/>
        </w:rPr>
        <w:t>山东富尔工程咨询管理有限公司</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w:t>
      </w:r>
    </w:p>
    <w:p w14:paraId="0A34197A">
      <w:pPr>
        <w:spacing w:line="560" w:lineRule="exact"/>
        <w:ind w:firstLine="480" w:firstLineChars="200"/>
        <w:rPr>
          <w:rFonts w:hint="eastAsia" w:ascii="仿宋" w:hAnsi="仿宋" w:eastAsia="仿宋" w:cs="仿宋"/>
          <w:color w:val="auto"/>
          <w:sz w:val="24"/>
          <w:szCs w:val="24"/>
          <w:highlight w:val="none"/>
        </w:rPr>
      </w:pPr>
    </w:p>
    <w:p w14:paraId="43D904C9">
      <w:pPr>
        <w:spacing w:line="56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关联单位的说明：</w:t>
      </w:r>
    </w:p>
    <w:p w14:paraId="2F19F2C1">
      <w:pPr>
        <w:spacing w:line="56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1.与我公司单位负责人为同一人的其他单位为：</w:t>
      </w:r>
    </w:p>
    <w:p w14:paraId="7E90B49E">
      <w:pPr>
        <w:spacing w:line="560" w:lineRule="exact"/>
        <w:rPr>
          <w:rFonts w:hint="eastAsia" w:ascii="仿宋" w:hAnsi="仿宋" w:eastAsia="仿宋" w:cs="仿宋"/>
          <w:color w:val="auto"/>
          <w:sz w:val="24"/>
          <w:szCs w:val="24"/>
          <w:highlight w:val="none"/>
        </w:rPr>
      </w:pPr>
    </w:p>
    <w:p w14:paraId="4DEF160D">
      <w:pPr>
        <w:spacing w:line="560" w:lineRule="exact"/>
        <w:rPr>
          <w:rFonts w:hint="eastAsia" w:ascii="仿宋" w:hAnsi="仿宋" w:eastAsia="仿宋" w:cs="仿宋"/>
          <w:color w:val="auto"/>
          <w:sz w:val="24"/>
          <w:szCs w:val="24"/>
          <w:highlight w:val="none"/>
        </w:rPr>
      </w:pPr>
    </w:p>
    <w:p w14:paraId="1BA1A51B">
      <w:pPr>
        <w:spacing w:line="56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2.与我公司存在直接控股、管理关系的其他单位为：</w:t>
      </w:r>
    </w:p>
    <w:p w14:paraId="5B1D143A">
      <w:pPr>
        <w:spacing w:line="560" w:lineRule="exact"/>
        <w:rPr>
          <w:rFonts w:hint="eastAsia" w:ascii="仿宋" w:hAnsi="仿宋" w:eastAsia="仿宋" w:cs="仿宋"/>
          <w:color w:val="auto"/>
          <w:sz w:val="24"/>
          <w:szCs w:val="24"/>
          <w:highlight w:val="none"/>
        </w:rPr>
      </w:pPr>
    </w:p>
    <w:p w14:paraId="327424C4">
      <w:pPr>
        <w:spacing w:line="560" w:lineRule="exact"/>
        <w:rPr>
          <w:rFonts w:hint="eastAsia" w:ascii="仿宋" w:hAnsi="仿宋" w:eastAsia="仿宋" w:cs="仿宋"/>
          <w:color w:val="auto"/>
          <w:sz w:val="24"/>
          <w:szCs w:val="24"/>
          <w:highlight w:val="none"/>
        </w:rPr>
      </w:pPr>
    </w:p>
    <w:p w14:paraId="6037D269">
      <w:pPr>
        <w:pStyle w:val="13"/>
        <w:spacing w:line="360" w:lineRule="auto"/>
        <w:ind w:left="0" w:leftChars="0"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以上声明完全属实，如有瞒报、虚报，我公司自行承担因此产生的所有法律责任。</w:t>
      </w:r>
    </w:p>
    <w:p w14:paraId="727F5391">
      <w:pPr>
        <w:pStyle w:val="13"/>
        <w:spacing w:line="360" w:lineRule="auto"/>
        <w:ind w:left="0" w:leftChars="0" w:firstLine="0" w:firstLineChars="0"/>
        <w:jc w:val="center"/>
        <w:rPr>
          <w:rFonts w:hint="eastAsia" w:ascii="仿宋" w:hAnsi="仿宋" w:eastAsia="仿宋" w:cs="仿宋"/>
          <w:color w:val="auto"/>
          <w:sz w:val="24"/>
          <w:szCs w:val="24"/>
          <w:highlight w:val="none"/>
        </w:rPr>
      </w:pPr>
    </w:p>
    <w:p w14:paraId="6C564A4B">
      <w:pPr>
        <w:pStyle w:val="13"/>
        <w:spacing w:line="360" w:lineRule="auto"/>
        <w:ind w:left="0" w:leftChars="0" w:firstLine="0" w:firstLineChars="0"/>
        <w:jc w:val="center"/>
        <w:rPr>
          <w:rFonts w:hint="eastAsia" w:ascii="仿宋" w:hAnsi="仿宋" w:eastAsia="仿宋" w:cs="仿宋"/>
          <w:color w:val="auto"/>
          <w:sz w:val="24"/>
          <w:szCs w:val="24"/>
          <w:highlight w:val="none"/>
        </w:rPr>
      </w:pPr>
    </w:p>
    <w:p w14:paraId="3433EC50">
      <w:pPr>
        <w:snapToGrid w:val="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投标单位：（盖章）</w:t>
      </w:r>
    </w:p>
    <w:p w14:paraId="22BA1492">
      <w:pPr>
        <w:snapToGrid w:val="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法定代表人</w:t>
      </w:r>
      <w:r>
        <w:rPr>
          <w:rFonts w:hint="eastAsia" w:ascii="仿宋" w:hAnsi="仿宋" w:eastAsia="仿宋" w:cs="仿宋"/>
          <w:spacing w:val="8"/>
          <w:sz w:val="24"/>
          <w:szCs w:val="24"/>
          <w:highlight w:val="none"/>
          <w:lang w:eastAsia="zh-CN"/>
        </w:rPr>
        <w:t>（</w:t>
      </w:r>
      <w:r>
        <w:rPr>
          <w:rFonts w:hint="eastAsia" w:ascii="仿宋" w:hAnsi="仿宋" w:eastAsia="仿宋" w:cs="仿宋"/>
          <w:spacing w:val="8"/>
          <w:sz w:val="24"/>
          <w:szCs w:val="24"/>
          <w:highlight w:val="none"/>
          <w:lang w:val="en-US" w:eastAsia="zh-CN"/>
        </w:rPr>
        <w:t>负责人</w:t>
      </w:r>
      <w:r>
        <w:rPr>
          <w:rFonts w:hint="eastAsia" w:ascii="仿宋" w:hAnsi="仿宋" w:eastAsia="仿宋" w:cs="仿宋"/>
          <w:spacing w:val="8"/>
          <w:sz w:val="24"/>
          <w:szCs w:val="24"/>
          <w:highlight w:val="none"/>
          <w:lang w:eastAsia="zh-CN"/>
        </w:rPr>
        <w:t>）</w:t>
      </w:r>
      <w:r>
        <w:rPr>
          <w:rFonts w:hint="eastAsia" w:ascii="仿宋" w:hAnsi="仿宋" w:eastAsia="仿宋" w:cs="仿宋"/>
          <w:sz w:val="24"/>
          <w:szCs w:val="24"/>
          <w:highlight w:val="none"/>
        </w:rPr>
        <w:t xml:space="preserve">或委托代理人：      </w:t>
      </w:r>
      <w:r>
        <w:rPr>
          <w:rFonts w:hint="eastAsia" w:ascii="仿宋" w:hAnsi="仿宋" w:eastAsia="仿宋" w:cs="仿宋"/>
          <w:sz w:val="24"/>
          <w:szCs w:val="24"/>
          <w:highlight w:val="none"/>
          <w:lang w:val="zh-CN"/>
        </w:rPr>
        <w:t>（签字或盖章）</w:t>
      </w:r>
    </w:p>
    <w:p w14:paraId="4A94BC3D">
      <w:pPr>
        <w:pStyle w:val="23"/>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日期：</w:t>
      </w:r>
    </w:p>
    <w:p w14:paraId="395F64CD">
      <w:pPr>
        <w:snapToGrid w:val="0"/>
        <w:spacing w:line="360" w:lineRule="auto"/>
        <w:jc w:val="left"/>
        <w:rPr>
          <w:rFonts w:hint="eastAsia" w:ascii="仿宋" w:hAnsi="仿宋" w:eastAsia="仿宋" w:cs="仿宋"/>
          <w:b/>
          <w:bCs/>
          <w:sz w:val="24"/>
          <w:szCs w:val="24"/>
          <w:highlight w:val="none"/>
        </w:rPr>
      </w:pPr>
      <w:r>
        <w:rPr>
          <w:rFonts w:hint="eastAsia" w:ascii="仿宋" w:hAnsi="仿宋" w:eastAsia="仿宋" w:cs="仿宋"/>
          <w:b/>
          <w:bCs w:val="0"/>
          <w:kern w:val="2"/>
          <w:sz w:val="30"/>
          <w:szCs w:val="30"/>
          <w:highlight w:val="none"/>
          <w:lang w:eastAsia="zh-CN"/>
        </w:rPr>
        <w:br w:type="page"/>
      </w:r>
      <w:r>
        <w:rPr>
          <w:rFonts w:hint="eastAsia" w:ascii="仿宋" w:hAnsi="仿宋" w:eastAsia="仿宋" w:cs="仿宋"/>
          <w:b/>
          <w:bCs/>
          <w:sz w:val="24"/>
          <w:szCs w:val="24"/>
          <w:highlight w:val="none"/>
        </w:rPr>
        <w:t>交纳投标保证金的证明材料（两者缺一不可）：（1）企业银行基本账户开户证明（如开户许可证或银行开户证明等）、（2）电汇凭证或电子汇款截图扫描件。</w:t>
      </w:r>
    </w:p>
    <w:p w14:paraId="2227264C">
      <w:pPr>
        <w:snapToGrid w:val="0"/>
        <w:spacing w:line="360" w:lineRule="auto"/>
        <w:jc w:val="center"/>
        <w:rPr>
          <w:rFonts w:hint="eastAsia" w:ascii="仿宋" w:hAnsi="仿宋" w:eastAsia="仿宋" w:cs="仿宋"/>
          <w:b/>
          <w:bCs/>
          <w:sz w:val="36"/>
          <w:szCs w:val="36"/>
          <w:highlight w:val="none"/>
        </w:rPr>
      </w:pPr>
    </w:p>
    <w:p w14:paraId="0444B132">
      <w:pPr>
        <w:snapToGrid w:val="0"/>
        <w:spacing w:line="360" w:lineRule="auto"/>
        <w:jc w:val="center"/>
        <w:rPr>
          <w:rFonts w:hint="eastAsia" w:ascii="仿宋" w:hAnsi="仿宋" w:eastAsia="仿宋" w:cs="仿宋"/>
          <w:b/>
          <w:bCs/>
          <w:sz w:val="36"/>
          <w:szCs w:val="36"/>
          <w:highlight w:val="none"/>
        </w:rPr>
      </w:pPr>
    </w:p>
    <w:p w14:paraId="74A8319A">
      <w:pPr>
        <w:snapToGrid w:val="0"/>
        <w:spacing w:line="360" w:lineRule="auto"/>
        <w:jc w:val="center"/>
        <w:rPr>
          <w:rFonts w:hint="eastAsia" w:ascii="仿宋" w:hAnsi="仿宋" w:eastAsia="仿宋" w:cs="仿宋"/>
          <w:b/>
          <w:bCs/>
          <w:sz w:val="36"/>
          <w:szCs w:val="36"/>
          <w:highlight w:val="none"/>
        </w:rPr>
      </w:pPr>
    </w:p>
    <w:p w14:paraId="14C269F7">
      <w:pPr>
        <w:snapToGrid w:val="0"/>
        <w:spacing w:line="360" w:lineRule="auto"/>
        <w:jc w:val="center"/>
        <w:rPr>
          <w:rFonts w:hint="eastAsia" w:ascii="仿宋" w:hAnsi="仿宋" w:eastAsia="仿宋" w:cs="仿宋"/>
          <w:b/>
          <w:bCs/>
          <w:sz w:val="36"/>
          <w:szCs w:val="36"/>
          <w:highlight w:val="none"/>
        </w:rPr>
      </w:pPr>
    </w:p>
    <w:p w14:paraId="52BDC058">
      <w:pPr>
        <w:snapToGrid w:val="0"/>
        <w:spacing w:line="360" w:lineRule="auto"/>
        <w:jc w:val="center"/>
        <w:rPr>
          <w:rFonts w:hint="eastAsia" w:ascii="仿宋" w:hAnsi="仿宋" w:eastAsia="仿宋" w:cs="仿宋"/>
          <w:b/>
          <w:bCs/>
          <w:sz w:val="36"/>
          <w:szCs w:val="36"/>
          <w:highlight w:val="none"/>
        </w:rPr>
      </w:pPr>
    </w:p>
    <w:p w14:paraId="66424AB6">
      <w:pPr>
        <w:snapToGrid w:val="0"/>
        <w:spacing w:line="360" w:lineRule="auto"/>
        <w:jc w:val="center"/>
        <w:rPr>
          <w:rFonts w:hint="eastAsia" w:ascii="仿宋" w:hAnsi="仿宋" w:eastAsia="仿宋" w:cs="仿宋"/>
          <w:b/>
          <w:bCs/>
          <w:sz w:val="36"/>
          <w:szCs w:val="36"/>
          <w:highlight w:val="none"/>
        </w:rPr>
      </w:pPr>
    </w:p>
    <w:p w14:paraId="1766F816">
      <w:pPr>
        <w:snapToGrid w:val="0"/>
        <w:spacing w:line="360" w:lineRule="auto"/>
        <w:jc w:val="center"/>
        <w:rPr>
          <w:rFonts w:hint="eastAsia" w:ascii="仿宋" w:hAnsi="仿宋" w:eastAsia="仿宋" w:cs="仿宋"/>
          <w:b/>
          <w:bCs/>
          <w:sz w:val="36"/>
          <w:szCs w:val="36"/>
          <w:highlight w:val="none"/>
        </w:rPr>
      </w:pPr>
    </w:p>
    <w:p w14:paraId="1DFDAF40">
      <w:pPr>
        <w:snapToGrid w:val="0"/>
        <w:spacing w:line="360" w:lineRule="auto"/>
        <w:jc w:val="center"/>
        <w:rPr>
          <w:rFonts w:hint="eastAsia" w:ascii="仿宋" w:hAnsi="仿宋" w:eastAsia="仿宋" w:cs="仿宋"/>
          <w:b/>
          <w:bCs/>
          <w:sz w:val="36"/>
          <w:szCs w:val="36"/>
          <w:highlight w:val="none"/>
        </w:rPr>
      </w:pPr>
    </w:p>
    <w:p w14:paraId="0CA00B59">
      <w:pPr>
        <w:snapToGrid w:val="0"/>
        <w:spacing w:line="360" w:lineRule="auto"/>
        <w:jc w:val="center"/>
        <w:rPr>
          <w:rFonts w:hint="eastAsia" w:ascii="仿宋" w:hAnsi="仿宋" w:eastAsia="仿宋" w:cs="仿宋"/>
          <w:b/>
          <w:bCs/>
          <w:sz w:val="36"/>
          <w:szCs w:val="36"/>
          <w:highlight w:val="none"/>
        </w:rPr>
      </w:pPr>
    </w:p>
    <w:p w14:paraId="4039063C">
      <w:pPr>
        <w:snapToGrid w:val="0"/>
        <w:spacing w:line="360" w:lineRule="auto"/>
        <w:jc w:val="center"/>
        <w:rPr>
          <w:rFonts w:hint="eastAsia" w:ascii="仿宋" w:hAnsi="仿宋" w:eastAsia="仿宋" w:cs="仿宋"/>
          <w:b/>
          <w:bCs/>
          <w:sz w:val="36"/>
          <w:szCs w:val="36"/>
          <w:highlight w:val="none"/>
        </w:rPr>
      </w:pPr>
    </w:p>
    <w:p w14:paraId="600D1DAC">
      <w:pPr>
        <w:snapToGrid w:val="0"/>
        <w:spacing w:line="360" w:lineRule="auto"/>
        <w:jc w:val="center"/>
        <w:rPr>
          <w:rFonts w:hint="eastAsia" w:ascii="仿宋" w:hAnsi="仿宋" w:eastAsia="仿宋" w:cs="仿宋"/>
          <w:b/>
          <w:bCs/>
          <w:sz w:val="36"/>
          <w:szCs w:val="36"/>
          <w:highlight w:val="none"/>
        </w:rPr>
      </w:pPr>
    </w:p>
    <w:p w14:paraId="7313C64B">
      <w:pPr>
        <w:snapToGrid w:val="0"/>
        <w:spacing w:line="360" w:lineRule="auto"/>
        <w:jc w:val="center"/>
        <w:rPr>
          <w:rFonts w:hint="eastAsia" w:ascii="仿宋" w:hAnsi="仿宋" w:eastAsia="仿宋" w:cs="仿宋"/>
          <w:b/>
          <w:bCs/>
          <w:sz w:val="36"/>
          <w:szCs w:val="36"/>
          <w:highlight w:val="none"/>
        </w:rPr>
      </w:pPr>
    </w:p>
    <w:p w14:paraId="0707462C">
      <w:pPr>
        <w:snapToGrid w:val="0"/>
        <w:spacing w:line="360" w:lineRule="auto"/>
        <w:jc w:val="center"/>
        <w:rPr>
          <w:rFonts w:hint="eastAsia" w:ascii="仿宋" w:hAnsi="仿宋" w:eastAsia="仿宋" w:cs="仿宋"/>
          <w:b/>
          <w:bCs/>
          <w:sz w:val="36"/>
          <w:szCs w:val="36"/>
          <w:highlight w:val="none"/>
        </w:rPr>
      </w:pPr>
    </w:p>
    <w:p w14:paraId="7A96D541">
      <w:pPr>
        <w:snapToGrid w:val="0"/>
        <w:spacing w:line="360" w:lineRule="auto"/>
        <w:jc w:val="center"/>
        <w:rPr>
          <w:rFonts w:hint="eastAsia" w:ascii="仿宋" w:hAnsi="仿宋" w:eastAsia="仿宋" w:cs="仿宋"/>
          <w:b/>
          <w:bCs/>
          <w:sz w:val="36"/>
          <w:szCs w:val="36"/>
          <w:highlight w:val="none"/>
        </w:rPr>
      </w:pPr>
    </w:p>
    <w:p w14:paraId="52F9F257">
      <w:pPr>
        <w:snapToGrid w:val="0"/>
        <w:spacing w:line="360" w:lineRule="auto"/>
        <w:jc w:val="center"/>
        <w:rPr>
          <w:rFonts w:hint="eastAsia" w:ascii="仿宋" w:hAnsi="仿宋" w:eastAsia="仿宋" w:cs="仿宋"/>
          <w:b/>
          <w:bCs/>
          <w:sz w:val="36"/>
          <w:szCs w:val="36"/>
          <w:highlight w:val="none"/>
        </w:rPr>
      </w:pPr>
    </w:p>
    <w:p w14:paraId="6742B2DA">
      <w:pPr>
        <w:snapToGrid w:val="0"/>
        <w:spacing w:line="560" w:lineRule="exact"/>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br w:type="page"/>
      </w:r>
      <w:r>
        <w:rPr>
          <w:rFonts w:hint="eastAsia" w:ascii="仿宋" w:hAnsi="仿宋" w:eastAsia="仿宋" w:cs="仿宋"/>
          <w:b/>
          <w:bCs/>
          <w:sz w:val="24"/>
          <w:szCs w:val="24"/>
          <w:highlight w:val="none"/>
          <w:lang w:eastAsia="zh-CN"/>
        </w:rPr>
        <w:t>投标人及其法定代表人（</w:t>
      </w:r>
      <w:r>
        <w:rPr>
          <w:rFonts w:hint="eastAsia" w:ascii="仿宋" w:hAnsi="仿宋" w:eastAsia="仿宋" w:cs="仿宋"/>
          <w:b/>
          <w:bCs/>
          <w:sz w:val="24"/>
          <w:szCs w:val="24"/>
          <w:highlight w:val="none"/>
          <w:lang w:val="en-US" w:eastAsia="zh-CN"/>
        </w:rPr>
        <w:t>负责人</w:t>
      </w:r>
      <w:r>
        <w:rPr>
          <w:rFonts w:hint="eastAsia" w:ascii="仿宋" w:hAnsi="仿宋" w:eastAsia="仿宋" w:cs="仿宋"/>
          <w:b/>
          <w:bCs/>
          <w:sz w:val="24"/>
          <w:szCs w:val="24"/>
          <w:highlight w:val="none"/>
          <w:lang w:eastAsia="zh-CN"/>
        </w:rPr>
        <w:t>）、委托代理人未被最高法院</w:t>
      </w:r>
      <w:r>
        <w:rPr>
          <w:rFonts w:hint="eastAsia" w:ascii="仿宋" w:hAnsi="仿宋" w:eastAsia="仿宋" w:cs="仿宋"/>
          <w:b/>
          <w:bCs/>
          <w:sz w:val="24"/>
          <w:szCs w:val="24"/>
          <w:highlight w:val="none"/>
        </w:rPr>
        <w:t>（查询网址为：</w:t>
      </w:r>
      <w:r>
        <w:rPr>
          <w:rFonts w:hint="eastAsia" w:ascii="仿宋" w:hAnsi="仿宋" w:eastAsia="仿宋" w:cs="仿宋"/>
          <w:b/>
          <w:bCs/>
          <w:sz w:val="24"/>
          <w:szCs w:val="24"/>
          <w:highlight w:val="none"/>
        </w:rPr>
        <w:fldChar w:fldCharType="begin"/>
      </w:r>
      <w:r>
        <w:rPr>
          <w:rFonts w:hint="eastAsia" w:ascii="仿宋" w:hAnsi="仿宋" w:eastAsia="仿宋" w:cs="仿宋"/>
          <w:b/>
          <w:bCs/>
          <w:sz w:val="24"/>
          <w:szCs w:val="24"/>
          <w:highlight w:val="none"/>
        </w:rPr>
        <w:instrText xml:space="preserve"> HYPERLINK "http://zxgk.court.gov.cn/shixin/）列入失信被执行人。" </w:instrText>
      </w:r>
      <w:r>
        <w:rPr>
          <w:rFonts w:hint="eastAsia" w:ascii="仿宋" w:hAnsi="仿宋" w:eastAsia="仿宋" w:cs="仿宋"/>
          <w:b/>
          <w:bCs/>
          <w:sz w:val="24"/>
          <w:szCs w:val="24"/>
          <w:highlight w:val="none"/>
        </w:rPr>
        <w:fldChar w:fldCharType="separate"/>
      </w:r>
      <w:r>
        <w:rPr>
          <w:rStyle w:val="52"/>
          <w:rFonts w:ascii="仿宋" w:hAnsi="仿宋" w:eastAsia="仿宋" w:cs="仿宋"/>
          <w:b/>
          <w:bCs/>
          <w:sz w:val="24"/>
          <w:szCs w:val="24"/>
          <w:highlight w:val="none"/>
        </w:rPr>
        <w:t>http://zxgk.court.gov.cn/shixin/）列入失信被执行人查询截图</w:t>
      </w:r>
      <w:r>
        <w:rPr>
          <w:rFonts w:hint="eastAsia" w:ascii="仿宋" w:hAnsi="仿宋" w:eastAsia="仿宋" w:cs="仿宋"/>
          <w:b/>
          <w:bCs/>
          <w:sz w:val="24"/>
          <w:szCs w:val="24"/>
          <w:highlight w:val="none"/>
        </w:rPr>
        <w:fldChar w:fldCharType="end"/>
      </w:r>
    </w:p>
    <w:p w14:paraId="30B6D0F5">
      <w:pPr>
        <w:snapToGrid w:val="0"/>
        <w:spacing w:line="560" w:lineRule="exact"/>
        <w:ind w:firstLine="484" w:firstLineChars="201"/>
        <w:jc w:val="center"/>
        <w:rPr>
          <w:rFonts w:hint="eastAsia" w:ascii="仿宋" w:hAnsi="仿宋" w:eastAsia="仿宋" w:cs="仿宋"/>
          <w:b/>
          <w:bCs/>
          <w:sz w:val="24"/>
          <w:szCs w:val="24"/>
          <w:highlight w:val="none"/>
        </w:rPr>
      </w:pPr>
    </w:p>
    <w:p w14:paraId="266AE613">
      <w:pPr>
        <w:pStyle w:val="2"/>
        <w:rPr>
          <w:rFonts w:hint="eastAsia"/>
          <w:highlight w:val="none"/>
        </w:rPr>
      </w:pPr>
    </w:p>
    <w:p w14:paraId="1F81640F">
      <w:pPr>
        <w:pStyle w:val="25"/>
        <w:rPr>
          <w:rFonts w:hint="eastAsia"/>
          <w:highlight w:val="none"/>
        </w:rPr>
      </w:pPr>
    </w:p>
    <w:p w14:paraId="4DA84FA4">
      <w:pPr>
        <w:rPr>
          <w:rFonts w:hint="eastAsia"/>
          <w:highlight w:val="none"/>
        </w:rPr>
      </w:pPr>
    </w:p>
    <w:p w14:paraId="5100FFAC">
      <w:pPr>
        <w:pStyle w:val="2"/>
        <w:rPr>
          <w:rFonts w:hint="eastAsia"/>
          <w:highlight w:val="none"/>
        </w:rPr>
      </w:pPr>
    </w:p>
    <w:p w14:paraId="33D02563">
      <w:pPr>
        <w:pStyle w:val="25"/>
        <w:rPr>
          <w:rFonts w:hint="eastAsia"/>
          <w:highlight w:val="none"/>
        </w:rPr>
      </w:pPr>
    </w:p>
    <w:p w14:paraId="104A1CDE">
      <w:pPr>
        <w:rPr>
          <w:rFonts w:hint="eastAsia"/>
          <w:highlight w:val="none"/>
        </w:rPr>
      </w:pPr>
    </w:p>
    <w:p w14:paraId="7230C010">
      <w:pPr>
        <w:pStyle w:val="2"/>
        <w:rPr>
          <w:rFonts w:hint="eastAsia"/>
          <w:highlight w:val="none"/>
        </w:rPr>
      </w:pPr>
    </w:p>
    <w:p w14:paraId="4E8BB21F">
      <w:pPr>
        <w:pStyle w:val="25"/>
        <w:rPr>
          <w:rFonts w:hint="eastAsia"/>
          <w:highlight w:val="none"/>
        </w:rPr>
      </w:pPr>
    </w:p>
    <w:p w14:paraId="0613D09D">
      <w:pPr>
        <w:rPr>
          <w:rFonts w:hint="eastAsia"/>
          <w:highlight w:val="none"/>
        </w:rPr>
      </w:pPr>
    </w:p>
    <w:p w14:paraId="2AEDD9EE">
      <w:pPr>
        <w:pStyle w:val="2"/>
        <w:rPr>
          <w:rFonts w:hint="eastAsia"/>
          <w:highlight w:val="none"/>
        </w:rPr>
      </w:pPr>
    </w:p>
    <w:p w14:paraId="5F23F150">
      <w:pPr>
        <w:pStyle w:val="25"/>
        <w:rPr>
          <w:rFonts w:hint="eastAsia"/>
          <w:highlight w:val="none"/>
        </w:rPr>
      </w:pPr>
    </w:p>
    <w:p w14:paraId="35A7BEF9">
      <w:pPr>
        <w:rPr>
          <w:rFonts w:hint="eastAsia"/>
          <w:highlight w:val="none"/>
        </w:rPr>
      </w:pPr>
    </w:p>
    <w:p w14:paraId="4DDD9BB9">
      <w:pPr>
        <w:pStyle w:val="2"/>
        <w:rPr>
          <w:rFonts w:hint="eastAsia"/>
          <w:highlight w:val="none"/>
        </w:rPr>
      </w:pPr>
    </w:p>
    <w:p w14:paraId="59E193EB">
      <w:pPr>
        <w:pStyle w:val="25"/>
        <w:rPr>
          <w:rFonts w:hint="eastAsia"/>
          <w:highlight w:val="none"/>
        </w:rPr>
      </w:pPr>
    </w:p>
    <w:p w14:paraId="152970E7">
      <w:pPr>
        <w:rPr>
          <w:rFonts w:hint="eastAsia"/>
          <w:highlight w:val="none"/>
        </w:rPr>
      </w:pPr>
    </w:p>
    <w:p w14:paraId="333068FD">
      <w:pPr>
        <w:pStyle w:val="2"/>
        <w:rPr>
          <w:rFonts w:hint="eastAsia"/>
          <w:highlight w:val="none"/>
        </w:rPr>
      </w:pPr>
    </w:p>
    <w:p w14:paraId="33C9F483">
      <w:pPr>
        <w:pStyle w:val="25"/>
        <w:rPr>
          <w:rFonts w:hint="eastAsia"/>
          <w:highlight w:val="none"/>
        </w:rPr>
      </w:pPr>
    </w:p>
    <w:p w14:paraId="2D2D0D4F">
      <w:pPr>
        <w:rPr>
          <w:rFonts w:hint="eastAsia"/>
          <w:highlight w:val="none"/>
        </w:rPr>
      </w:pPr>
    </w:p>
    <w:p w14:paraId="3FB812CB">
      <w:pPr>
        <w:pStyle w:val="2"/>
        <w:rPr>
          <w:rFonts w:hint="eastAsia"/>
          <w:highlight w:val="none"/>
        </w:rPr>
      </w:pPr>
    </w:p>
    <w:p w14:paraId="21673102">
      <w:pPr>
        <w:pStyle w:val="25"/>
        <w:rPr>
          <w:rFonts w:hint="eastAsia"/>
          <w:highlight w:val="none"/>
        </w:rPr>
      </w:pPr>
    </w:p>
    <w:p w14:paraId="76ED7E46">
      <w:pPr>
        <w:snapToGrid w:val="0"/>
        <w:spacing w:line="560" w:lineRule="exact"/>
        <w:ind w:firstLine="482" w:firstLineChars="201"/>
        <w:jc w:val="lef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注：</w:t>
      </w:r>
      <w:r>
        <w:rPr>
          <w:rFonts w:ascii="仿宋" w:hAnsi="仿宋" w:eastAsia="仿宋" w:cs="仿宋"/>
          <w:color w:val="000000"/>
          <w:sz w:val="24"/>
          <w:szCs w:val="24"/>
          <w:highlight w:val="none"/>
        </w:rPr>
        <w:t>附通过网站查询信息记录，包含投标人及其法定代表人</w:t>
      </w:r>
      <w:r>
        <w:rPr>
          <w:rFonts w:hint="eastAsia" w:ascii="仿宋" w:hAnsi="仿宋" w:eastAsia="仿宋" w:cs="仿宋"/>
          <w:color w:val="000000"/>
          <w:sz w:val="24"/>
          <w:szCs w:val="24"/>
          <w:highlight w:val="none"/>
          <w:lang w:eastAsia="zh-CN"/>
        </w:rPr>
        <w:t>（</w:t>
      </w:r>
      <w:r>
        <w:rPr>
          <w:rFonts w:hint="eastAsia" w:ascii="仿宋" w:hAnsi="仿宋" w:eastAsia="仿宋" w:cs="仿宋"/>
          <w:color w:val="000000"/>
          <w:sz w:val="24"/>
          <w:szCs w:val="24"/>
          <w:highlight w:val="none"/>
          <w:lang w:val="en-US" w:eastAsia="zh-CN"/>
        </w:rPr>
        <w:t>负责人</w:t>
      </w:r>
      <w:r>
        <w:rPr>
          <w:rFonts w:hint="eastAsia" w:ascii="仿宋" w:hAnsi="仿宋" w:eastAsia="仿宋" w:cs="仿宋"/>
          <w:color w:val="000000"/>
          <w:sz w:val="24"/>
          <w:szCs w:val="24"/>
          <w:highlight w:val="none"/>
          <w:lang w:eastAsia="zh-CN"/>
        </w:rPr>
        <w:t>）</w:t>
      </w:r>
      <w:r>
        <w:rPr>
          <w:rFonts w:ascii="仿宋" w:hAnsi="仿宋" w:eastAsia="仿宋" w:cs="仿宋"/>
          <w:color w:val="000000"/>
          <w:sz w:val="24"/>
          <w:szCs w:val="24"/>
          <w:highlight w:val="none"/>
        </w:rPr>
        <w:t>、委托代理人失信被执行人情况网页截图（省份为全部）</w:t>
      </w:r>
    </w:p>
    <w:p w14:paraId="53B096F6">
      <w:pPr>
        <w:rPr>
          <w:rFonts w:hint="eastAsia"/>
          <w:highlight w:val="none"/>
        </w:rPr>
      </w:pPr>
    </w:p>
    <w:p w14:paraId="6CA27E76">
      <w:pPr>
        <w:pStyle w:val="2"/>
        <w:rPr>
          <w:rFonts w:hint="eastAsia"/>
          <w:highlight w:val="none"/>
        </w:rPr>
      </w:pPr>
    </w:p>
    <w:p w14:paraId="44A15C63">
      <w:pPr>
        <w:pStyle w:val="25"/>
        <w:rPr>
          <w:rFonts w:hint="eastAsia"/>
          <w:highlight w:val="none"/>
        </w:rPr>
      </w:pPr>
    </w:p>
    <w:p w14:paraId="33C0B703">
      <w:pPr>
        <w:rPr>
          <w:rFonts w:hint="eastAsia"/>
          <w:highlight w:val="none"/>
        </w:rPr>
      </w:pPr>
    </w:p>
    <w:p w14:paraId="5DFE898E">
      <w:pPr>
        <w:pStyle w:val="2"/>
        <w:rPr>
          <w:rFonts w:hint="eastAsia"/>
          <w:highlight w:val="none"/>
        </w:rPr>
      </w:pPr>
    </w:p>
    <w:p w14:paraId="34EF8A95">
      <w:pPr>
        <w:pStyle w:val="25"/>
        <w:rPr>
          <w:rFonts w:hint="eastAsia"/>
          <w:highlight w:val="none"/>
        </w:rPr>
      </w:pPr>
    </w:p>
    <w:p w14:paraId="6505182A">
      <w:pPr>
        <w:rPr>
          <w:rFonts w:hint="eastAsia"/>
          <w:highlight w:val="none"/>
        </w:rPr>
      </w:pPr>
    </w:p>
    <w:p w14:paraId="3D9FA2C2">
      <w:pPr>
        <w:pStyle w:val="2"/>
        <w:rPr>
          <w:rFonts w:hint="eastAsia"/>
          <w:highlight w:val="none"/>
        </w:rPr>
      </w:pPr>
    </w:p>
    <w:p w14:paraId="3224467C">
      <w:pPr>
        <w:pStyle w:val="25"/>
        <w:rPr>
          <w:rFonts w:hint="eastAsia"/>
          <w:highlight w:val="none"/>
        </w:rPr>
      </w:pPr>
    </w:p>
    <w:p w14:paraId="6DFD73F0">
      <w:pPr>
        <w:rPr>
          <w:rFonts w:hint="eastAsia"/>
          <w:highlight w:val="none"/>
        </w:rPr>
      </w:pPr>
    </w:p>
    <w:p w14:paraId="747D1A1A">
      <w:pPr>
        <w:pStyle w:val="2"/>
        <w:rPr>
          <w:rFonts w:hint="eastAsia"/>
          <w:highlight w:val="none"/>
        </w:rPr>
      </w:pPr>
    </w:p>
    <w:p w14:paraId="106296FE">
      <w:pPr>
        <w:pStyle w:val="2"/>
        <w:jc w:val="center"/>
        <w:rPr>
          <w:rFonts w:hint="eastAsia"/>
          <w:highlight w:val="none"/>
        </w:rPr>
      </w:pPr>
      <w:r>
        <w:rPr>
          <w:rFonts w:hint="eastAsia" w:ascii="仿宋" w:hAnsi="仿宋" w:eastAsia="仿宋" w:cs="仿宋"/>
          <w:b/>
          <w:bCs/>
          <w:kern w:val="2"/>
          <w:sz w:val="24"/>
          <w:highlight w:val="none"/>
        </w:rPr>
        <w:br w:type="page"/>
      </w:r>
      <w:r>
        <w:rPr>
          <w:rFonts w:hint="eastAsia" w:ascii="仿宋" w:hAnsi="仿宋" w:eastAsia="仿宋" w:cs="仿宋"/>
          <w:b/>
          <w:bCs/>
          <w:kern w:val="2"/>
          <w:sz w:val="24"/>
          <w:highlight w:val="none"/>
        </w:rPr>
        <w:t>投标人近一年无严重失信记录</w:t>
      </w:r>
    </w:p>
    <w:p w14:paraId="6C960D50">
      <w:pPr>
        <w:snapToGrid w:val="0"/>
        <w:spacing w:line="560" w:lineRule="exact"/>
        <w:ind w:firstLine="482" w:firstLineChars="201"/>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附通过信用中国（查询网址：https://www.creditchina.gov.cn）或信用中国（山东）（https://credit.shandong.gov.cn）查询的信用报告</w:t>
      </w:r>
    </w:p>
    <w:p w14:paraId="33C293E8">
      <w:pPr>
        <w:snapToGrid w:val="0"/>
        <w:spacing w:line="360" w:lineRule="auto"/>
        <w:jc w:val="center"/>
        <w:rPr>
          <w:rFonts w:hint="eastAsia" w:ascii="仿宋" w:hAnsi="仿宋" w:eastAsia="仿宋" w:cs="仿宋"/>
          <w:b/>
          <w:bCs/>
          <w:sz w:val="24"/>
          <w:szCs w:val="24"/>
          <w:highlight w:val="none"/>
        </w:rPr>
      </w:pPr>
    </w:p>
    <w:p w14:paraId="49BC3BAF">
      <w:pPr>
        <w:pStyle w:val="36"/>
        <w:rPr>
          <w:rFonts w:hint="eastAsia" w:ascii="仿宋" w:hAnsi="仿宋" w:eastAsia="仿宋" w:cs="仿宋"/>
          <w:b/>
          <w:bCs/>
          <w:sz w:val="24"/>
          <w:szCs w:val="24"/>
          <w:highlight w:val="none"/>
        </w:rPr>
      </w:pPr>
    </w:p>
    <w:p w14:paraId="4A171DDA">
      <w:pPr>
        <w:pStyle w:val="36"/>
        <w:rPr>
          <w:rFonts w:hint="eastAsia" w:ascii="仿宋" w:hAnsi="仿宋" w:eastAsia="仿宋" w:cs="仿宋"/>
          <w:b/>
          <w:bCs/>
          <w:sz w:val="24"/>
          <w:szCs w:val="24"/>
          <w:highlight w:val="none"/>
          <w:lang w:val="en-US" w:eastAsia="zh-CN"/>
        </w:rPr>
      </w:pPr>
    </w:p>
    <w:p w14:paraId="63DA5EBE">
      <w:pPr>
        <w:pStyle w:val="36"/>
        <w:rPr>
          <w:rFonts w:hint="eastAsia" w:ascii="仿宋" w:hAnsi="仿宋" w:eastAsia="仿宋" w:cs="仿宋"/>
          <w:b/>
          <w:bCs/>
          <w:sz w:val="24"/>
          <w:szCs w:val="24"/>
          <w:highlight w:val="none"/>
        </w:rPr>
      </w:pPr>
    </w:p>
    <w:p w14:paraId="2BD3678C">
      <w:pPr>
        <w:pStyle w:val="36"/>
        <w:rPr>
          <w:rFonts w:hint="eastAsia" w:ascii="仿宋" w:hAnsi="仿宋" w:eastAsia="仿宋" w:cs="仿宋"/>
          <w:b/>
          <w:bCs/>
          <w:sz w:val="24"/>
          <w:szCs w:val="24"/>
          <w:highlight w:val="none"/>
        </w:rPr>
      </w:pPr>
    </w:p>
    <w:p w14:paraId="7F1BE8F3">
      <w:pPr>
        <w:pStyle w:val="36"/>
        <w:rPr>
          <w:rFonts w:hint="eastAsia" w:ascii="仿宋" w:hAnsi="仿宋" w:eastAsia="仿宋" w:cs="仿宋"/>
          <w:b/>
          <w:bCs/>
          <w:sz w:val="24"/>
          <w:szCs w:val="24"/>
          <w:highlight w:val="none"/>
        </w:rPr>
      </w:pPr>
    </w:p>
    <w:p w14:paraId="0285E778">
      <w:pPr>
        <w:pStyle w:val="36"/>
        <w:rPr>
          <w:rFonts w:hint="eastAsia" w:ascii="仿宋" w:hAnsi="仿宋" w:eastAsia="仿宋" w:cs="仿宋"/>
          <w:b/>
          <w:bCs/>
          <w:sz w:val="24"/>
          <w:szCs w:val="24"/>
          <w:highlight w:val="none"/>
        </w:rPr>
      </w:pPr>
    </w:p>
    <w:p w14:paraId="23880CFB">
      <w:pPr>
        <w:pStyle w:val="36"/>
        <w:rPr>
          <w:rFonts w:hint="eastAsia" w:ascii="仿宋" w:hAnsi="仿宋" w:eastAsia="仿宋" w:cs="仿宋"/>
          <w:b/>
          <w:bCs/>
          <w:sz w:val="24"/>
          <w:szCs w:val="24"/>
          <w:highlight w:val="none"/>
        </w:rPr>
      </w:pPr>
    </w:p>
    <w:p w14:paraId="09D7DAD4">
      <w:pPr>
        <w:pStyle w:val="36"/>
        <w:rPr>
          <w:rFonts w:hint="eastAsia" w:ascii="仿宋" w:hAnsi="仿宋" w:eastAsia="仿宋" w:cs="仿宋"/>
          <w:b/>
          <w:bCs/>
          <w:sz w:val="24"/>
          <w:szCs w:val="24"/>
          <w:highlight w:val="none"/>
        </w:rPr>
      </w:pPr>
    </w:p>
    <w:p w14:paraId="055D7D2E">
      <w:pPr>
        <w:pStyle w:val="36"/>
        <w:rPr>
          <w:rFonts w:hint="eastAsia" w:ascii="仿宋" w:hAnsi="仿宋" w:eastAsia="仿宋" w:cs="仿宋"/>
          <w:b/>
          <w:bCs/>
          <w:sz w:val="24"/>
          <w:szCs w:val="24"/>
          <w:highlight w:val="none"/>
        </w:rPr>
      </w:pPr>
    </w:p>
    <w:p w14:paraId="3FEE54B6">
      <w:pPr>
        <w:pStyle w:val="36"/>
        <w:rPr>
          <w:rFonts w:hint="eastAsia" w:ascii="仿宋" w:hAnsi="仿宋" w:eastAsia="仿宋" w:cs="仿宋"/>
          <w:b/>
          <w:bCs/>
          <w:sz w:val="24"/>
          <w:szCs w:val="24"/>
          <w:highlight w:val="none"/>
        </w:rPr>
      </w:pPr>
    </w:p>
    <w:p w14:paraId="693D4D5C">
      <w:pPr>
        <w:pStyle w:val="36"/>
        <w:rPr>
          <w:rFonts w:hint="eastAsia" w:ascii="仿宋" w:hAnsi="仿宋" w:eastAsia="仿宋" w:cs="仿宋"/>
          <w:b/>
          <w:bCs/>
          <w:sz w:val="24"/>
          <w:szCs w:val="24"/>
          <w:highlight w:val="none"/>
        </w:rPr>
      </w:pPr>
    </w:p>
    <w:p w14:paraId="2ADC0A0F">
      <w:pPr>
        <w:pStyle w:val="36"/>
        <w:rPr>
          <w:rFonts w:hint="eastAsia" w:ascii="仿宋" w:hAnsi="仿宋" w:eastAsia="仿宋" w:cs="仿宋"/>
          <w:b/>
          <w:bCs/>
          <w:sz w:val="24"/>
          <w:szCs w:val="24"/>
          <w:highlight w:val="none"/>
        </w:rPr>
      </w:pPr>
    </w:p>
    <w:p w14:paraId="22B67395">
      <w:pPr>
        <w:pStyle w:val="36"/>
        <w:rPr>
          <w:rFonts w:hint="eastAsia" w:ascii="仿宋" w:hAnsi="仿宋" w:eastAsia="仿宋" w:cs="仿宋"/>
          <w:b/>
          <w:bCs/>
          <w:sz w:val="24"/>
          <w:szCs w:val="24"/>
          <w:highlight w:val="none"/>
        </w:rPr>
      </w:pPr>
    </w:p>
    <w:p w14:paraId="7409CE60">
      <w:pPr>
        <w:pStyle w:val="36"/>
        <w:rPr>
          <w:rFonts w:hint="eastAsia" w:ascii="仿宋" w:hAnsi="仿宋" w:eastAsia="仿宋" w:cs="仿宋"/>
          <w:b/>
          <w:bCs/>
          <w:sz w:val="24"/>
          <w:szCs w:val="24"/>
          <w:highlight w:val="none"/>
        </w:rPr>
      </w:pPr>
    </w:p>
    <w:p w14:paraId="22B6038F">
      <w:pPr>
        <w:pStyle w:val="36"/>
        <w:rPr>
          <w:rFonts w:hint="eastAsia" w:ascii="仿宋" w:hAnsi="仿宋" w:eastAsia="仿宋" w:cs="仿宋"/>
          <w:b/>
          <w:bCs/>
          <w:sz w:val="24"/>
          <w:szCs w:val="24"/>
          <w:highlight w:val="none"/>
        </w:rPr>
      </w:pPr>
    </w:p>
    <w:p w14:paraId="0650262F">
      <w:pPr>
        <w:pStyle w:val="36"/>
        <w:rPr>
          <w:rFonts w:hint="eastAsia" w:ascii="仿宋" w:hAnsi="仿宋" w:eastAsia="仿宋" w:cs="仿宋"/>
          <w:b/>
          <w:bCs/>
          <w:sz w:val="24"/>
          <w:szCs w:val="24"/>
          <w:highlight w:val="none"/>
        </w:rPr>
      </w:pPr>
    </w:p>
    <w:p w14:paraId="312907D5">
      <w:pPr>
        <w:pStyle w:val="36"/>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注：</w:t>
      </w:r>
      <w:r>
        <w:rPr>
          <w:rFonts w:hint="eastAsia" w:ascii="仿宋" w:hAnsi="仿宋" w:eastAsia="仿宋" w:cs="仿宋"/>
          <w:b/>
          <w:bCs/>
          <w:color w:val="auto"/>
          <w:sz w:val="24"/>
          <w:szCs w:val="24"/>
          <w:highlight w:val="none"/>
          <w:lang w:eastAsia="zh-CN"/>
        </w:rPr>
        <w:t>近一年是指2025年1月1日至查询日止，查询日期不早于招标文件开始获取日期。</w:t>
      </w:r>
    </w:p>
    <w:p w14:paraId="74AF38F1">
      <w:pPr>
        <w:snapToGrid w:val="0"/>
        <w:spacing w:line="360" w:lineRule="auto"/>
        <w:jc w:val="center"/>
        <w:rPr>
          <w:rFonts w:hint="eastAsia" w:ascii="仿宋" w:hAnsi="仿宋" w:eastAsia="仿宋" w:cs="仿宋"/>
          <w:b/>
          <w:bCs/>
          <w:sz w:val="30"/>
          <w:szCs w:val="30"/>
          <w:highlight w:val="none"/>
        </w:rPr>
      </w:pPr>
    </w:p>
    <w:p w14:paraId="36684B27">
      <w:pPr>
        <w:jc w:val="center"/>
        <w:rPr>
          <w:rFonts w:hint="eastAsia" w:ascii="仿宋" w:hAnsi="仿宋" w:eastAsia="仿宋" w:cs="仿宋"/>
          <w:b/>
          <w:bCs/>
          <w:sz w:val="30"/>
          <w:szCs w:val="30"/>
          <w:highlight w:val="none"/>
        </w:rPr>
      </w:pPr>
      <w:r>
        <w:rPr>
          <w:rFonts w:hint="eastAsia" w:ascii="仿宋" w:hAnsi="仿宋" w:eastAsia="仿宋" w:cs="仿宋"/>
          <w:b/>
          <w:bCs/>
          <w:sz w:val="30"/>
          <w:szCs w:val="30"/>
          <w:highlight w:val="none"/>
        </w:rPr>
        <w:br w:type="page"/>
      </w:r>
    </w:p>
    <w:p w14:paraId="247D8384">
      <w:pPr>
        <w:snapToGrid w:val="0"/>
        <w:spacing w:line="360" w:lineRule="auto"/>
        <w:jc w:val="center"/>
        <w:rPr>
          <w:rFonts w:hint="eastAsia" w:ascii="仿宋" w:hAnsi="仿宋" w:eastAsia="仿宋" w:cs="仿宋"/>
          <w:b/>
          <w:bCs/>
          <w:sz w:val="30"/>
          <w:szCs w:val="30"/>
          <w:highlight w:val="none"/>
        </w:rPr>
      </w:pPr>
      <w:r>
        <w:rPr>
          <w:rFonts w:hint="eastAsia" w:ascii="仿宋" w:hAnsi="仿宋" w:eastAsia="仿宋" w:cs="仿宋"/>
          <w:b/>
          <w:bCs/>
          <w:sz w:val="30"/>
          <w:szCs w:val="30"/>
          <w:highlight w:val="none"/>
        </w:rPr>
        <w:t>投标人认为需要提供的其他资质资格证明文件</w:t>
      </w:r>
    </w:p>
    <w:p w14:paraId="6A10E239">
      <w:pPr>
        <w:snapToGrid w:val="0"/>
        <w:spacing w:line="360" w:lineRule="auto"/>
        <w:ind w:left="559" w:leftChars="266" w:firstLine="2400" w:firstLineChars="1000"/>
        <w:jc w:val="left"/>
        <w:rPr>
          <w:rFonts w:ascii="仿宋" w:hAnsi="仿宋" w:eastAsia="仿宋" w:cs="仿宋"/>
          <w:sz w:val="24"/>
          <w:szCs w:val="24"/>
          <w:highlight w:val="none"/>
        </w:rPr>
      </w:pPr>
    </w:p>
    <w:p w14:paraId="05EE1A03">
      <w:pPr>
        <w:snapToGrid w:val="0"/>
        <w:spacing w:line="360" w:lineRule="auto"/>
        <w:ind w:left="559" w:leftChars="266" w:firstLine="2400" w:firstLineChars="1000"/>
        <w:jc w:val="left"/>
        <w:rPr>
          <w:rFonts w:ascii="仿宋" w:hAnsi="仿宋" w:eastAsia="仿宋" w:cs="仿宋"/>
          <w:sz w:val="24"/>
          <w:szCs w:val="24"/>
          <w:highlight w:val="none"/>
        </w:rPr>
      </w:pPr>
    </w:p>
    <w:p w14:paraId="0E71A690">
      <w:pPr>
        <w:snapToGrid w:val="0"/>
        <w:spacing w:line="360" w:lineRule="auto"/>
        <w:ind w:left="559" w:leftChars="266" w:firstLine="2400" w:firstLineChars="1000"/>
        <w:jc w:val="left"/>
        <w:rPr>
          <w:rFonts w:ascii="仿宋" w:hAnsi="仿宋" w:eastAsia="仿宋" w:cs="仿宋"/>
          <w:sz w:val="24"/>
          <w:szCs w:val="24"/>
          <w:highlight w:val="none"/>
        </w:rPr>
      </w:pPr>
    </w:p>
    <w:p w14:paraId="0212C245">
      <w:pPr>
        <w:snapToGrid w:val="0"/>
        <w:spacing w:line="360" w:lineRule="auto"/>
        <w:ind w:left="559" w:leftChars="266" w:firstLine="2400" w:firstLineChars="1000"/>
        <w:jc w:val="left"/>
        <w:rPr>
          <w:rFonts w:ascii="仿宋" w:hAnsi="仿宋" w:eastAsia="仿宋" w:cs="仿宋"/>
          <w:sz w:val="24"/>
          <w:szCs w:val="24"/>
          <w:highlight w:val="none"/>
        </w:rPr>
      </w:pPr>
    </w:p>
    <w:p w14:paraId="204E337A">
      <w:pPr>
        <w:snapToGrid w:val="0"/>
        <w:spacing w:line="360" w:lineRule="auto"/>
        <w:ind w:left="559" w:leftChars="266" w:firstLine="2400" w:firstLineChars="1000"/>
        <w:jc w:val="left"/>
        <w:rPr>
          <w:rFonts w:ascii="仿宋" w:hAnsi="仿宋" w:eastAsia="仿宋" w:cs="仿宋"/>
          <w:sz w:val="24"/>
          <w:szCs w:val="24"/>
          <w:highlight w:val="none"/>
        </w:rPr>
      </w:pPr>
    </w:p>
    <w:p w14:paraId="5DD20F5D">
      <w:pPr>
        <w:snapToGrid w:val="0"/>
        <w:spacing w:line="360" w:lineRule="auto"/>
        <w:ind w:left="559" w:leftChars="266" w:firstLine="2400" w:firstLineChars="1000"/>
        <w:jc w:val="left"/>
        <w:rPr>
          <w:rFonts w:ascii="仿宋" w:hAnsi="仿宋" w:eastAsia="仿宋" w:cs="仿宋"/>
          <w:sz w:val="24"/>
          <w:szCs w:val="24"/>
          <w:highlight w:val="none"/>
        </w:rPr>
      </w:pPr>
    </w:p>
    <w:p w14:paraId="26814537">
      <w:pPr>
        <w:pStyle w:val="36"/>
        <w:rPr>
          <w:rFonts w:ascii="仿宋" w:hAnsi="仿宋" w:eastAsia="仿宋" w:cs="仿宋"/>
          <w:szCs w:val="24"/>
          <w:highlight w:val="none"/>
        </w:rPr>
      </w:pPr>
    </w:p>
    <w:p w14:paraId="0221FF2B">
      <w:pPr>
        <w:pStyle w:val="36"/>
        <w:rPr>
          <w:rFonts w:ascii="仿宋" w:hAnsi="仿宋" w:eastAsia="仿宋" w:cs="仿宋"/>
          <w:szCs w:val="24"/>
          <w:highlight w:val="none"/>
        </w:rPr>
      </w:pPr>
    </w:p>
    <w:p w14:paraId="5628EE69">
      <w:pPr>
        <w:pStyle w:val="36"/>
        <w:rPr>
          <w:rFonts w:ascii="仿宋" w:hAnsi="仿宋" w:eastAsia="仿宋" w:cs="仿宋"/>
          <w:szCs w:val="24"/>
          <w:highlight w:val="none"/>
        </w:rPr>
      </w:pPr>
    </w:p>
    <w:p w14:paraId="202634D4">
      <w:pPr>
        <w:pStyle w:val="36"/>
        <w:rPr>
          <w:rFonts w:ascii="仿宋" w:hAnsi="仿宋" w:eastAsia="仿宋" w:cs="仿宋"/>
          <w:szCs w:val="24"/>
          <w:highlight w:val="none"/>
        </w:rPr>
      </w:pPr>
    </w:p>
    <w:p w14:paraId="27AA7B75">
      <w:pPr>
        <w:pStyle w:val="36"/>
        <w:rPr>
          <w:rFonts w:ascii="仿宋" w:hAnsi="仿宋" w:eastAsia="仿宋" w:cs="仿宋"/>
          <w:szCs w:val="24"/>
          <w:highlight w:val="none"/>
        </w:rPr>
      </w:pPr>
    </w:p>
    <w:p w14:paraId="4DFF3D06">
      <w:pPr>
        <w:pStyle w:val="36"/>
        <w:rPr>
          <w:rFonts w:ascii="仿宋" w:hAnsi="仿宋" w:eastAsia="仿宋" w:cs="仿宋"/>
          <w:szCs w:val="24"/>
          <w:highlight w:val="none"/>
        </w:rPr>
      </w:pPr>
    </w:p>
    <w:p w14:paraId="58380F6C">
      <w:pPr>
        <w:pStyle w:val="36"/>
        <w:rPr>
          <w:rFonts w:ascii="仿宋" w:hAnsi="仿宋" w:eastAsia="仿宋" w:cs="仿宋"/>
          <w:szCs w:val="24"/>
          <w:highlight w:val="none"/>
        </w:rPr>
      </w:pPr>
    </w:p>
    <w:p w14:paraId="2042499A">
      <w:pPr>
        <w:pStyle w:val="36"/>
        <w:rPr>
          <w:rFonts w:ascii="仿宋" w:hAnsi="仿宋" w:eastAsia="仿宋" w:cs="仿宋"/>
          <w:szCs w:val="24"/>
          <w:highlight w:val="none"/>
        </w:rPr>
      </w:pPr>
    </w:p>
    <w:p w14:paraId="2A19EC2A">
      <w:pPr>
        <w:pStyle w:val="36"/>
        <w:rPr>
          <w:rFonts w:ascii="仿宋" w:hAnsi="仿宋" w:eastAsia="仿宋" w:cs="仿宋"/>
          <w:szCs w:val="24"/>
          <w:highlight w:val="none"/>
        </w:rPr>
      </w:pPr>
    </w:p>
    <w:p w14:paraId="2F0B00A2">
      <w:pPr>
        <w:pStyle w:val="36"/>
        <w:rPr>
          <w:rFonts w:ascii="仿宋" w:hAnsi="仿宋" w:eastAsia="仿宋" w:cs="仿宋"/>
          <w:szCs w:val="24"/>
          <w:highlight w:val="none"/>
        </w:rPr>
      </w:pPr>
    </w:p>
    <w:p w14:paraId="1FD5A75B">
      <w:pPr>
        <w:spacing w:line="360" w:lineRule="exact"/>
        <w:ind w:right="1120"/>
        <w:rPr>
          <w:rFonts w:hint="eastAsia" w:ascii="仿宋" w:hAnsi="仿宋" w:eastAsia="仿宋" w:cs="仿宋"/>
          <w:sz w:val="24"/>
          <w:highlight w:val="none"/>
        </w:rPr>
      </w:pPr>
    </w:p>
    <w:p w14:paraId="70DA3762">
      <w:pPr>
        <w:spacing w:line="360" w:lineRule="exact"/>
        <w:ind w:right="1120"/>
        <w:rPr>
          <w:rFonts w:hint="eastAsia" w:ascii="仿宋" w:hAnsi="仿宋" w:eastAsia="仿宋" w:cs="仿宋"/>
          <w:sz w:val="24"/>
          <w:highlight w:val="none"/>
        </w:rPr>
      </w:pPr>
    </w:p>
    <w:p w14:paraId="330889E4">
      <w:pPr>
        <w:spacing w:line="360" w:lineRule="exact"/>
        <w:ind w:right="1120" w:firstLine="3000" w:firstLineChars="1250"/>
        <w:rPr>
          <w:rFonts w:hint="eastAsia" w:ascii="仿宋" w:hAnsi="仿宋" w:eastAsia="仿宋" w:cs="仿宋"/>
          <w:sz w:val="24"/>
          <w:highlight w:val="none"/>
        </w:rPr>
      </w:pPr>
    </w:p>
    <w:p w14:paraId="6B317C09">
      <w:pPr>
        <w:spacing w:line="360" w:lineRule="exact"/>
        <w:ind w:right="1120" w:firstLine="3000" w:firstLineChars="1250"/>
        <w:rPr>
          <w:rFonts w:hint="eastAsia" w:ascii="仿宋" w:hAnsi="仿宋" w:eastAsia="仿宋" w:cs="仿宋"/>
          <w:sz w:val="24"/>
          <w:highlight w:val="none"/>
        </w:rPr>
      </w:pPr>
    </w:p>
    <w:p w14:paraId="4863F347">
      <w:pPr>
        <w:spacing w:line="360" w:lineRule="exact"/>
        <w:ind w:right="1120" w:firstLine="3000" w:firstLineChars="1250"/>
        <w:rPr>
          <w:rFonts w:hint="eastAsia" w:ascii="仿宋" w:hAnsi="仿宋" w:eastAsia="仿宋" w:cs="仿宋"/>
          <w:sz w:val="24"/>
          <w:highlight w:val="none"/>
        </w:rPr>
      </w:pPr>
    </w:p>
    <w:p w14:paraId="7099B3F1">
      <w:pPr>
        <w:spacing w:line="360" w:lineRule="exact"/>
        <w:ind w:right="1120" w:firstLine="3000" w:firstLineChars="1250"/>
        <w:rPr>
          <w:rFonts w:hint="eastAsia" w:ascii="仿宋" w:hAnsi="仿宋" w:eastAsia="仿宋" w:cs="仿宋"/>
          <w:sz w:val="24"/>
          <w:highlight w:val="none"/>
        </w:rPr>
      </w:pPr>
    </w:p>
    <w:p w14:paraId="2E3433AF">
      <w:pPr>
        <w:spacing w:line="360" w:lineRule="exact"/>
        <w:ind w:right="1120"/>
        <w:jc w:val="left"/>
        <w:rPr>
          <w:rFonts w:hint="eastAsia" w:ascii="仿宋" w:hAnsi="仿宋" w:eastAsia="仿宋" w:cs="仿宋"/>
          <w:sz w:val="24"/>
          <w:highlight w:val="none"/>
        </w:rPr>
      </w:pPr>
      <w:r>
        <w:rPr>
          <w:rFonts w:hint="eastAsia" w:ascii="仿宋" w:hAnsi="仿宋" w:eastAsia="仿宋" w:cs="仿宋"/>
          <w:sz w:val="24"/>
          <w:szCs w:val="24"/>
          <w:highlight w:val="none"/>
        </w:rPr>
        <w:t>投标单位：（盖章）</w:t>
      </w:r>
      <w:r>
        <w:rPr>
          <w:rFonts w:hint="eastAsia" w:ascii="仿宋" w:hAnsi="仿宋" w:eastAsia="仿宋" w:cs="仿宋"/>
          <w:sz w:val="24"/>
          <w:highlight w:val="none"/>
        </w:rPr>
        <w:t xml:space="preserve"> </w:t>
      </w:r>
    </w:p>
    <w:p w14:paraId="4EE802FD">
      <w:pPr>
        <w:pStyle w:val="85"/>
        <w:ind w:left="480" w:firstLine="0"/>
        <w:rPr>
          <w:rFonts w:ascii="仿宋" w:hAnsi="仿宋" w:eastAsia="仿宋" w:cs="仿宋"/>
          <w:bCs/>
          <w:szCs w:val="24"/>
          <w:highlight w:val="none"/>
        </w:rPr>
      </w:pPr>
    </w:p>
    <w:p w14:paraId="7EA0179A">
      <w:pPr>
        <w:pStyle w:val="85"/>
        <w:ind w:firstLine="0"/>
        <w:rPr>
          <w:rFonts w:ascii="仿宋" w:hAnsi="仿宋" w:eastAsia="仿宋" w:cs="仿宋"/>
          <w:bCs/>
          <w:szCs w:val="24"/>
          <w:highlight w:val="none"/>
        </w:rPr>
      </w:pPr>
    </w:p>
    <w:p w14:paraId="4899539F">
      <w:pPr>
        <w:pStyle w:val="85"/>
        <w:ind w:left="480" w:firstLine="0"/>
        <w:rPr>
          <w:rFonts w:ascii="仿宋" w:hAnsi="仿宋" w:eastAsia="仿宋" w:cs="仿宋"/>
          <w:bCs/>
          <w:szCs w:val="24"/>
          <w:highlight w:val="none"/>
        </w:rPr>
      </w:pPr>
    </w:p>
    <w:p w14:paraId="301DE245">
      <w:pPr>
        <w:pStyle w:val="23"/>
        <w:tabs>
          <w:tab w:val="left" w:pos="580"/>
        </w:tabs>
        <w:ind w:right="560"/>
        <w:jc w:val="center"/>
        <w:rPr>
          <w:rFonts w:hint="eastAsia" w:ascii="仿宋" w:hAnsi="仿宋" w:eastAsia="仿宋" w:cs="仿宋"/>
          <w:b/>
          <w:bCs/>
          <w:sz w:val="36"/>
          <w:szCs w:val="36"/>
          <w:highlight w:val="none"/>
        </w:rPr>
      </w:pPr>
    </w:p>
    <w:p w14:paraId="133A7A8F">
      <w:pPr>
        <w:pStyle w:val="23"/>
        <w:tabs>
          <w:tab w:val="left" w:pos="580"/>
        </w:tabs>
        <w:ind w:right="560"/>
        <w:jc w:val="center"/>
        <w:rPr>
          <w:rFonts w:hint="eastAsia" w:ascii="仿宋" w:hAnsi="仿宋" w:eastAsia="仿宋" w:cs="仿宋"/>
          <w:b/>
          <w:bCs/>
          <w:sz w:val="36"/>
          <w:szCs w:val="36"/>
          <w:highlight w:val="none"/>
        </w:rPr>
      </w:pPr>
    </w:p>
    <w:p w14:paraId="0339B559">
      <w:pPr>
        <w:pStyle w:val="23"/>
        <w:tabs>
          <w:tab w:val="left" w:pos="580"/>
        </w:tabs>
        <w:ind w:right="560"/>
        <w:jc w:val="center"/>
        <w:rPr>
          <w:rFonts w:hint="eastAsia" w:ascii="仿宋" w:hAnsi="仿宋" w:eastAsia="仿宋" w:cs="仿宋"/>
          <w:b/>
          <w:bCs/>
          <w:sz w:val="36"/>
          <w:szCs w:val="36"/>
          <w:highlight w:val="none"/>
        </w:rPr>
      </w:pPr>
    </w:p>
    <w:p w14:paraId="258EEB74">
      <w:pPr>
        <w:pStyle w:val="23"/>
        <w:tabs>
          <w:tab w:val="left" w:pos="580"/>
        </w:tabs>
        <w:ind w:right="560"/>
        <w:jc w:val="center"/>
        <w:rPr>
          <w:rFonts w:hint="eastAsia" w:ascii="仿宋" w:hAnsi="仿宋" w:eastAsia="仿宋" w:cs="仿宋"/>
          <w:b/>
          <w:bCs/>
          <w:sz w:val="36"/>
          <w:szCs w:val="36"/>
          <w:highlight w:val="none"/>
        </w:rPr>
      </w:pPr>
    </w:p>
    <w:p w14:paraId="2AAF62F2">
      <w:pPr>
        <w:pStyle w:val="23"/>
        <w:tabs>
          <w:tab w:val="left" w:pos="580"/>
        </w:tabs>
        <w:ind w:right="560"/>
        <w:jc w:val="center"/>
        <w:rPr>
          <w:rFonts w:hint="eastAsia" w:ascii="仿宋" w:hAnsi="仿宋" w:eastAsia="仿宋" w:cs="仿宋"/>
          <w:b/>
          <w:bCs/>
          <w:sz w:val="36"/>
          <w:szCs w:val="36"/>
          <w:highlight w:val="none"/>
        </w:rPr>
      </w:pPr>
    </w:p>
    <w:p w14:paraId="5E40DD50">
      <w:pPr>
        <w:pStyle w:val="23"/>
        <w:jc w:val="center"/>
        <w:rPr>
          <w:rFonts w:hint="eastAsia" w:ascii="仿宋" w:hAnsi="仿宋" w:eastAsia="仿宋" w:cs="仿宋"/>
          <w:b/>
          <w:bCs/>
          <w:sz w:val="30"/>
          <w:szCs w:val="30"/>
          <w:highlight w:val="none"/>
          <w:lang w:eastAsia="zh-CN"/>
        </w:rPr>
      </w:pPr>
      <w:r>
        <w:rPr>
          <w:rFonts w:hint="eastAsia" w:ascii="仿宋" w:hAnsi="仿宋" w:eastAsia="仿宋" w:cs="仿宋"/>
          <w:b/>
          <w:bCs/>
          <w:sz w:val="36"/>
          <w:szCs w:val="36"/>
          <w:highlight w:val="none"/>
        </w:rPr>
        <w:br w:type="page"/>
      </w:r>
      <w:r>
        <w:rPr>
          <w:rFonts w:hint="eastAsia" w:ascii="仿宋" w:hAnsi="仿宋" w:eastAsia="仿宋" w:cs="仿宋"/>
          <w:b/>
          <w:bCs/>
          <w:sz w:val="30"/>
          <w:szCs w:val="30"/>
          <w:highlight w:val="none"/>
        </w:rPr>
        <w:t>同类项目业绩</w:t>
      </w:r>
      <w:r>
        <w:rPr>
          <w:rFonts w:hint="eastAsia" w:ascii="仿宋" w:hAnsi="仿宋" w:eastAsia="仿宋" w:cs="仿宋"/>
          <w:b/>
          <w:bCs/>
          <w:sz w:val="30"/>
          <w:szCs w:val="30"/>
          <w:highlight w:val="none"/>
          <w:lang w:eastAsia="zh-CN"/>
        </w:rPr>
        <w:t>表</w:t>
      </w:r>
    </w:p>
    <w:tbl>
      <w:tblPr>
        <w:tblStyle w:val="41"/>
        <w:tblW w:w="9810" w:type="dxa"/>
        <w:tblInd w:w="-8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3"/>
        <w:gridCol w:w="1757"/>
        <w:gridCol w:w="1695"/>
        <w:gridCol w:w="1740"/>
        <w:gridCol w:w="1740"/>
        <w:gridCol w:w="1995"/>
      </w:tblGrid>
      <w:tr w14:paraId="6861B0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883" w:type="dxa"/>
            <w:noWrap w:val="0"/>
            <w:vAlign w:val="center"/>
          </w:tcPr>
          <w:p w14:paraId="1C1BD700">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序号</w:t>
            </w:r>
          </w:p>
        </w:tc>
        <w:tc>
          <w:tcPr>
            <w:tcW w:w="1757" w:type="dxa"/>
            <w:noWrap w:val="0"/>
            <w:vAlign w:val="center"/>
          </w:tcPr>
          <w:p w14:paraId="1E7BCFD5">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项目名称</w:t>
            </w:r>
          </w:p>
        </w:tc>
        <w:tc>
          <w:tcPr>
            <w:tcW w:w="1695" w:type="dxa"/>
            <w:noWrap w:val="0"/>
            <w:vAlign w:val="center"/>
          </w:tcPr>
          <w:p w14:paraId="6DCA02D4">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采购人名称</w:t>
            </w:r>
          </w:p>
        </w:tc>
        <w:tc>
          <w:tcPr>
            <w:tcW w:w="1740" w:type="dxa"/>
            <w:noWrap w:val="0"/>
            <w:vAlign w:val="center"/>
          </w:tcPr>
          <w:p w14:paraId="1EB37B8A">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合同额</w:t>
            </w:r>
          </w:p>
        </w:tc>
        <w:tc>
          <w:tcPr>
            <w:tcW w:w="1740" w:type="dxa"/>
            <w:noWrap w:val="0"/>
            <w:vAlign w:val="center"/>
          </w:tcPr>
          <w:p w14:paraId="237E09C7">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合同签订时间</w:t>
            </w:r>
          </w:p>
        </w:tc>
        <w:tc>
          <w:tcPr>
            <w:tcW w:w="1995" w:type="dxa"/>
            <w:noWrap w:val="0"/>
            <w:vAlign w:val="center"/>
          </w:tcPr>
          <w:p w14:paraId="2C3F235F">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电话/联系人</w:t>
            </w:r>
          </w:p>
        </w:tc>
      </w:tr>
      <w:tr w14:paraId="3186BB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883" w:type="dxa"/>
            <w:noWrap w:val="0"/>
            <w:vAlign w:val="center"/>
          </w:tcPr>
          <w:p w14:paraId="7A47540B">
            <w:pPr>
              <w:ind w:firstLine="386" w:firstLineChars="138"/>
              <w:jc w:val="center"/>
              <w:rPr>
                <w:rFonts w:hint="eastAsia" w:ascii="宋体" w:hAnsi="宋体" w:cs="宋体"/>
                <w:sz w:val="28"/>
                <w:szCs w:val="28"/>
                <w:highlight w:val="none"/>
              </w:rPr>
            </w:pPr>
          </w:p>
        </w:tc>
        <w:tc>
          <w:tcPr>
            <w:tcW w:w="1757" w:type="dxa"/>
            <w:noWrap w:val="0"/>
            <w:vAlign w:val="center"/>
          </w:tcPr>
          <w:p w14:paraId="6037D3C3">
            <w:pPr>
              <w:ind w:firstLine="386" w:firstLineChars="138"/>
              <w:jc w:val="center"/>
              <w:rPr>
                <w:rFonts w:hint="eastAsia" w:ascii="宋体" w:hAnsi="宋体" w:cs="宋体"/>
                <w:sz w:val="28"/>
                <w:szCs w:val="28"/>
                <w:highlight w:val="none"/>
              </w:rPr>
            </w:pPr>
          </w:p>
        </w:tc>
        <w:tc>
          <w:tcPr>
            <w:tcW w:w="1695" w:type="dxa"/>
            <w:noWrap w:val="0"/>
            <w:vAlign w:val="center"/>
          </w:tcPr>
          <w:p w14:paraId="4755231F">
            <w:pPr>
              <w:ind w:firstLine="386" w:firstLineChars="138"/>
              <w:jc w:val="center"/>
              <w:rPr>
                <w:rFonts w:hint="eastAsia" w:ascii="宋体" w:hAnsi="宋体" w:cs="宋体"/>
                <w:sz w:val="28"/>
                <w:szCs w:val="28"/>
                <w:highlight w:val="none"/>
              </w:rPr>
            </w:pPr>
          </w:p>
        </w:tc>
        <w:tc>
          <w:tcPr>
            <w:tcW w:w="1740" w:type="dxa"/>
            <w:noWrap w:val="0"/>
            <w:vAlign w:val="center"/>
          </w:tcPr>
          <w:p w14:paraId="3D18A25E">
            <w:pPr>
              <w:ind w:firstLine="386" w:firstLineChars="138"/>
              <w:jc w:val="center"/>
              <w:rPr>
                <w:rFonts w:hint="eastAsia" w:ascii="宋体" w:hAnsi="宋体" w:cs="宋体"/>
                <w:sz w:val="28"/>
                <w:szCs w:val="28"/>
                <w:highlight w:val="none"/>
              </w:rPr>
            </w:pPr>
          </w:p>
        </w:tc>
        <w:tc>
          <w:tcPr>
            <w:tcW w:w="1740" w:type="dxa"/>
            <w:noWrap w:val="0"/>
            <w:vAlign w:val="center"/>
          </w:tcPr>
          <w:p w14:paraId="62263829">
            <w:pPr>
              <w:ind w:firstLine="386" w:firstLineChars="138"/>
              <w:jc w:val="center"/>
              <w:rPr>
                <w:rFonts w:hint="eastAsia" w:ascii="宋体" w:hAnsi="宋体" w:cs="宋体"/>
                <w:sz w:val="28"/>
                <w:szCs w:val="28"/>
                <w:highlight w:val="none"/>
              </w:rPr>
            </w:pPr>
          </w:p>
        </w:tc>
        <w:tc>
          <w:tcPr>
            <w:tcW w:w="1995" w:type="dxa"/>
            <w:noWrap w:val="0"/>
            <w:vAlign w:val="center"/>
          </w:tcPr>
          <w:p w14:paraId="22207047">
            <w:pPr>
              <w:ind w:firstLine="386" w:firstLineChars="138"/>
              <w:jc w:val="center"/>
              <w:rPr>
                <w:rFonts w:hint="eastAsia" w:ascii="宋体" w:hAnsi="宋体" w:cs="宋体"/>
                <w:sz w:val="28"/>
                <w:szCs w:val="28"/>
                <w:highlight w:val="none"/>
              </w:rPr>
            </w:pPr>
          </w:p>
        </w:tc>
      </w:tr>
      <w:tr w14:paraId="63449E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883" w:type="dxa"/>
            <w:noWrap w:val="0"/>
            <w:vAlign w:val="center"/>
          </w:tcPr>
          <w:p w14:paraId="059BFA1C">
            <w:pPr>
              <w:ind w:firstLine="386" w:firstLineChars="138"/>
              <w:jc w:val="center"/>
              <w:rPr>
                <w:rFonts w:hint="eastAsia" w:ascii="宋体" w:hAnsi="宋体" w:cs="宋体"/>
                <w:sz w:val="28"/>
                <w:szCs w:val="28"/>
                <w:highlight w:val="none"/>
              </w:rPr>
            </w:pPr>
          </w:p>
        </w:tc>
        <w:tc>
          <w:tcPr>
            <w:tcW w:w="1757" w:type="dxa"/>
            <w:noWrap w:val="0"/>
            <w:vAlign w:val="center"/>
          </w:tcPr>
          <w:p w14:paraId="1C4BBBA4">
            <w:pPr>
              <w:ind w:firstLine="386" w:firstLineChars="138"/>
              <w:jc w:val="center"/>
              <w:rPr>
                <w:rFonts w:hint="eastAsia" w:ascii="宋体" w:hAnsi="宋体" w:cs="宋体"/>
                <w:sz w:val="28"/>
                <w:szCs w:val="28"/>
                <w:highlight w:val="none"/>
              </w:rPr>
            </w:pPr>
          </w:p>
        </w:tc>
        <w:tc>
          <w:tcPr>
            <w:tcW w:w="1695" w:type="dxa"/>
            <w:noWrap w:val="0"/>
            <w:vAlign w:val="center"/>
          </w:tcPr>
          <w:p w14:paraId="0784F9F8">
            <w:pPr>
              <w:ind w:firstLine="386" w:firstLineChars="138"/>
              <w:jc w:val="center"/>
              <w:rPr>
                <w:rFonts w:hint="eastAsia" w:ascii="宋体" w:hAnsi="宋体" w:cs="宋体"/>
                <w:sz w:val="28"/>
                <w:szCs w:val="28"/>
                <w:highlight w:val="none"/>
              </w:rPr>
            </w:pPr>
          </w:p>
        </w:tc>
        <w:tc>
          <w:tcPr>
            <w:tcW w:w="1740" w:type="dxa"/>
            <w:noWrap w:val="0"/>
            <w:vAlign w:val="center"/>
          </w:tcPr>
          <w:p w14:paraId="4EFFBFF0">
            <w:pPr>
              <w:ind w:firstLine="386" w:firstLineChars="138"/>
              <w:jc w:val="center"/>
              <w:rPr>
                <w:rFonts w:hint="eastAsia" w:ascii="宋体" w:hAnsi="宋体" w:cs="宋体"/>
                <w:sz w:val="28"/>
                <w:szCs w:val="28"/>
                <w:highlight w:val="none"/>
              </w:rPr>
            </w:pPr>
          </w:p>
        </w:tc>
        <w:tc>
          <w:tcPr>
            <w:tcW w:w="1740" w:type="dxa"/>
            <w:noWrap w:val="0"/>
            <w:vAlign w:val="center"/>
          </w:tcPr>
          <w:p w14:paraId="5B138A4B">
            <w:pPr>
              <w:ind w:firstLine="386" w:firstLineChars="138"/>
              <w:jc w:val="center"/>
              <w:rPr>
                <w:rFonts w:hint="eastAsia" w:ascii="宋体" w:hAnsi="宋体" w:cs="宋体"/>
                <w:sz w:val="28"/>
                <w:szCs w:val="28"/>
                <w:highlight w:val="none"/>
              </w:rPr>
            </w:pPr>
          </w:p>
        </w:tc>
        <w:tc>
          <w:tcPr>
            <w:tcW w:w="1995" w:type="dxa"/>
            <w:noWrap w:val="0"/>
            <w:vAlign w:val="center"/>
          </w:tcPr>
          <w:p w14:paraId="1CD333BA">
            <w:pPr>
              <w:ind w:firstLine="386" w:firstLineChars="138"/>
              <w:jc w:val="center"/>
              <w:rPr>
                <w:rFonts w:hint="eastAsia" w:ascii="宋体" w:hAnsi="宋体" w:cs="宋体"/>
                <w:sz w:val="28"/>
                <w:szCs w:val="28"/>
                <w:highlight w:val="none"/>
              </w:rPr>
            </w:pPr>
          </w:p>
        </w:tc>
      </w:tr>
      <w:tr w14:paraId="489453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883" w:type="dxa"/>
            <w:noWrap w:val="0"/>
            <w:vAlign w:val="center"/>
          </w:tcPr>
          <w:p w14:paraId="15B7DAF2">
            <w:pPr>
              <w:ind w:firstLine="386" w:firstLineChars="138"/>
              <w:jc w:val="center"/>
              <w:rPr>
                <w:rFonts w:hint="eastAsia" w:ascii="宋体" w:hAnsi="宋体" w:cs="宋体"/>
                <w:sz w:val="28"/>
                <w:szCs w:val="28"/>
                <w:highlight w:val="none"/>
              </w:rPr>
            </w:pPr>
          </w:p>
        </w:tc>
        <w:tc>
          <w:tcPr>
            <w:tcW w:w="1757" w:type="dxa"/>
            <w:noWrap w:val="0"/>
            <w:vAlign w:val="center"/>
          </w:tcPr>
          <w:p w14:paraId="3871E5F3">
            <w:pPr>
              <w:ind w:firstLine="386" w:firstLineChars="138"/>
              <w:jc w:val="center"/>
              <w:rPr>
                <w:rFonts w:hint="eastAsia" w:ascii="宋体" w:hAnsi="宋体" w:cs="宋体"/>
                <w:sz w:val="28"/>
                <w:szCs w:val="28"/>
                <w:highlight w:val="none"/>
              </w:rPr>
            </w:pPr>
          </w:p>
        </w:tc>
        <w:tc>
          <w:tcPr>
            <w:tcW w:w="1695" w:type="dxa"/>
            <w:noWrap w:val="0"/>
            <w:vAlign w:val="center"/>
          </w:tcPr>
          <w:p w14:paraId="63FEBE47">
            <w:pPr>
              <w:ind w:firstLine="386" w:firstLineChars="138"/>
              <w:jc w:val="center"/>
              <w:rPr>
                <w:rFonts w:hint="eastAsia" w:ascii="宋体" w:hAnsi="宋体" w:cs="宋体"/>
                <w:sz w:val="28"/>
                <w:szCs w:val="28"/>
                <w:highlight w:val="none"/>
              </w:rPr>
            </w:pPr>
          </w:p>
        </w:tc>
        <w:tc>
          <w:tcPr>
            <w:tcW w:w="1740" w:type="dxa"/>
            <w:noWrap w:val="0"/>
            <w:vAlign w:val="center"/>
          </w:tcPr>
          <w:p w14:paraId="60805F72">
            <w:pPr>
              <w:ind w:firstLine="386" w:firstLineChars="138"/>
              <w:jc w:val="center"/>
              <w:rPr>
                <w:rFonts w:hint="eastAsia" w:ascii="宋体" w:hAnsi="宋体" w:cs="宋体"/>
                <w:sz w:val="28"/>
                <w:szCs w:val="28"/>
                <w:highlight w:val="none"/>
              </w:rPr>
            </w:pPr>
          </w:p>
        </w:tc>
        <w:tc>
          <w:tcPr>
            <w:tcW w:w="1740" w:type="dxa"/>
            <w:noWrap w:val="0"/>
            <w:vAlign w:val="center"/>
          </w:tcPr>
          <w:p w14:paraId="5E6BB24C">
            <w:pPr>
              <w:ind w:firstLine="386" w:firstLineChars="138"/>
              <w:jc w:val="center"/>
              <w:rPr>
                <w:rFonts w:hint="eastAsia" w:ascii="宋体" w:hAnsi="宋体" w:cs="宋体"/>
                <w:sz w:val="28"/>
                <w:szCs w:val="28"/>
                <w:highlight w:val="none"/>
              </w:rPr>
            </w:pPr>
          </w:p>
        </w:tc>
        <w:tc>
          <w:tcPr>
            <w:tcW w:w="1995" w:type="dxa"/>
            <w:noWrap w:val="0"/>
            <w:vAlign w:val="center"/>
          </w:tcPr>
          <w:p w14:paraId="74C11BC1">
            <w:pPr>
              <w:ind w:firstLine="386" w:firstLineChars="138"/>
              <w:jc w:val="center"/>
              <w:rPr>
                <w:rFonts w:hint="eastAsia" w:ascii="宋体" w:hAnsi="宋体" w:cs="宋体"/>
                <w:sz w:val="28"/>
                <w:szCs w:val="28"/>
                <w:highlight w:val="none"/>
              </w:rPr>
            </w:pPr>
          </w:p>
        </w:tc>
      </w:tr>
      <w:tr w14:paraId="6B7264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883" w:type="dxa"/>
            <w:noWrap w:val="0"/>
            <w:vAlign w:val="center"/>
          </w:tcPr>
          <w:p w14:paraId="598868B2">
            <w:pPr>
              <w:ind w:firstLine="386" w:firstLineChars="138"/>
              <w:jc w:val="center"/>
              <w:rPr>
                <w:rFonts w:hint="eastAsia" w:ascii="宋体" w:hAnsi="宋体" w:cs="宋体"/>
                <w:sz w:val="28"/>
                <w:szCs w:val="28"/>
                <w:highlight w:val="none"/>
              </w:rPr>
            </w:pPr>
          </w:p>
        </w:tc>
        <w:tc>
          <w:tcPr>
            <w:tcW w:w="1757" w:type="dxa"/>
            <w:noWrap w:val="0"/>
            <w:vAlign w:val="center"/>
          </w:tcPr>
          <w:p w14:paraId="68FE4CEA">
            <w:pPr>
              <w:ind w:firstLine="386" w:firstLineChars="138"/>
              <w:jc w:val="center"/>
              <w:rPr>
                <w:rFonts w:hint="eastAsia" w:ascii="宋体" w:hAnsi="宋体" w:cs="宋体"/>
                <w:sz w:val="28"/>
                <w:szCs w:val="28"/>
                <w:highlight w:val="none"/>
              </w:rPr>
            </w:pPr>
          </w:p>
        </w:tc>
        <w:tc>
          <w:tcPr>
            <w:tcW w:w="1695" w:type="dxa"/>
            <w:noWrap w:val="0"/>
            <w:vAlign w:val="center"/>
          </w:tcPr>
          <w:p w14:paraId="0958A9AA">
            <w:pPr>
              <w:ind w:firstLine="386" w:firstLineChars="138"/>
              <w:jc w:val="center"/>
              <w:rPr>
                <w:rFonts w:hint="eastAsia" w:ascii="宋体" w:hAnsi="宋体" w:cs="宋体"/>
                <w:sz w:val="28"/>
                <w:szCs w:val="28"/>
                <w:highlight w:val="none"/>
              </w:rPr>
            </w:pPr>
          </w:p>
        </w:tc>
        <w:tc>
          <w:tcPr>
            <w:tcW w:w="1740" w:type="dxa"/>
            <w:noWrap w:val="0"/>
            <w:vAlign w:val="center"/>
          </w:tcPr>
          <w:p w14:paraId="46AC7833">
            <w:pPr>
              <w:ind w:firstLine="386" w:firstLineChars="138"/>
              <w:jc w:val="center"/>
              <w:rPr>
                <w:rFonts w:hint="eastAsia" w:ascii="宋体" w:hAnsi="宋体" w:cs="宋体"/>
                <w:sz w:val="28"/>
                <w:szCs w:val="28"/>
                <w:highlight w:val="none"/>
              </w:rPr>
            </w:pPr>
          </w:p>
        </w:tc>
        <w:tc>
          <w:tcPr>
            <w:tcW w:w="1740" w:type="dxa"/>
            <w:noWrap w:val="0"/>
            <w:vAlign w:val="center"/>
          </w:tcPr>
          <w:p w14:paraId="235095F2">
            <w:pPr>
              <w:ind w:firstLine="386" w:firstLineChars="138"/>
              <w:jc w:val="center"/>
              <w:rPr>
                <w:rFonts w:hint="eastAsia" w:ascii="宋体" w:hAnsi="宋体" w:cs="宋体"/>
                <w:sz w:val="28"/>
                <w:szCs w:val="28"/>
                <w:highlight w:val="none"/>
              </w:rPr>
            </w:pPr>
          </w:p>
        </w:tc>
        <w:tc>
          <w:tcPr>
            <w:tcW w:w="1995" w:type="dxa"/>
            <w:noWrap w:val="0"/>
            <w:vAlign w:val="center"/>
          </w:tcPr>
          <w:p w14:paraId="4C5D8D69">
            <w:pPr>
              <w:ind w:firstLine="386" w:firstLineChars="138"/>
              <w:jc w:val="center"/>
              <w:rPr>
                <w:rFonts w:hint="eastAsia" w:ascii="宋体" w:hAnsi="宋体" w:cs="宋体"/>
                <w:sz w:val="28"/>
                <w:szCs w:val="28"/>
                <w:highlight w:val="none"/>
              </w:rPr>
            </w:pPr>
          </w:p>
        </w:tc>
      </w:tr>
      <w:tr w14:paraId="514E58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883" w:type="dxa"/>
            <w:noWrap w:val="0"/>
            <w:vAlign w:val="center"/>
          </w:tcPr>
          <w:p w14:paraId="64D48897">
            <w:pPr>
              <w:ind w:firstLine="386" w:firstLineChars="138"/>
              <w:jc w:val="center"/>
              <w:rPr>
                <w:rFonts w:hint="eastAsia" w:ascii="宋体" w:hAnsi="宋体" w:cs="宋体"/>
                <w:sz w:val="28"/>
                <w:szCs w:val="28"/>
                <w:highlight w:val="none"/>
              </w:rPr>
            </w:pPr>
          </w:p>
        </w:tc>
        <w:tc>
          <w:tcPr>
            <w:tcW w:w="1757" w:type="dxa"/>
            <w:noWrap w:val="0"/>
            <w:vAlign w:val="center"/>
          </w:tcPr>
          <w:p w14:paraId="7C9E4195">
            <w:pPr>
              <w:ind w:firstLine="386" w:firstLineChars="138"/>
              <w:jc w:val="center"/>
              <w:rPr>
                <w:rFonts w:hint="eastAsia" w:ascii="宋体" w:hAnsi="宋体" w:cs="宋体"/>
                <w:sz w:val="28"/>
                <w:szCs w:val="28"/>
                <w:highlight w:val="none"/>
              </w:rPr>
            </w:pPr>
          </w:p>
        </w:tc>
        <w:tc>
          <w:tcPr>
            <w:tcW w:w="1695" w:type="dxa"/>
            <w:noWrap w:val="0"/>
            <w:vAlign w:val="center"/>
          </w:tcPr>
          <w:p w14:paraId="2CF3F1DD">
            <w:pPr>
              <w:ind w:firstLine="386" w:firstLineChars="138"/>
              <w:jc w:val="center"/>
              <w:rPr>
                <w:rFonts w:hint="eastAsia" w:ascii="宋体" w:hAnsi="宋体" w:cs="宋体"/>
                <w:sz w:val="28"/>
                <w:szCs w:val="28"/>
                <w:highlight w:val="none"/>
              </w:rPr>
            </w:pPr>
          </w:p>
        </w:tc>
        <w:tc>
          <w:tcPr>
            <w:tcW w:w="1740" w:type="dxa"/>
            <w:noWrap w:val="0"/>
            <w:vAlign w:val="center"/>
          </w:tcPr>
          <w:p w14:paraId="348A6100">
            <w:pPr>
              <w:ind w:firstLine="386" w:firstLineChars="138"/>
              <w:jc w:val="center"/>
              <w:rPr>
                <w:rFonts w:hint="eastAsia" w:ascii="宋体" w:hAnsi="宋体" w:cs="宋体"/>
                <w:sz w:val="28"/>
                <w:szCs w:val="28"/>
                <w:highlight w:val="none"/>
              </w:rPr>
            </w:pPr>
          </w:p>
        </w:tc>
        <w:tc>
          <w:tcPr>
            <w:tcW w:w="1740" w:type="dxa"/>
            <w:noWrap w:val="0"/>
            <w:vAlign w:val="center"/>
          </w:tcPr>
          <w:p w14:paraId="720325BE">
            <w:pPr>
              <w:ind w:firstLine="386" w:firstLineChars="138"/>
              <w:jc w:val="center"/>
              <w:rPr>
                <w:rFonts w:hint="eastAsia" w:ascii="宋体" w:hAnsi="宋体" w:cs="宋体"/>
                <w:sz w:val="28"/>
                <w:szCs w:val="28"/>
                <w:highlight w:val="none"/>
              </w:rPr>
            </w:pPr>
          </w:p>
        </w:tc>
        <w:tc>
          <w:tcPr>
            <w:tcW w:w="1995" w:type="dxa"/>
            <w:noWrap w:val="0"/>
            <w:vAlign w:val="center"/>
          </w:tcPr>
          <w:p w14:paraId="41DD4BBE">
            <w:pPr>
              <w:ind w:firstLine="386" w:firstLineChars="138"/>
              <w:jc w:val="center"/>
              <w:rPr>
                <w:rFonts w:hint="eastAsia" w:ascii="宋体" w:hAnsi="宋体" w:cs="宋体"/>
                <w:sz w:val="28"/>
                <w:szCs w:val="28"/>
                <w:highlight w:val="none"/>
              </w:rPr>
            </w:pPr>
          </w:p>
        </w:tc>
      </w:tr>
      <w:tr w14:paraId="77E402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883" w:type="dxa"/>
            <w:noWrap w:val="0"/>
            <w:vAlign w:val="center"/>
          </w:tcPr>
          <w:p w14:paraId="6CB3FC93">
            <w:pPr>
              <w:ind w:firstLine="386" w:firstLineChars="138"/>
              <w:jc w:val="center"/>
              <w:rPr>
                <w:rFonts w:hint="eastAsia" w:ascii="宋体" w:hAnsi="宋体" w:cs="宋体"/>
                <w:sz w:val="28"/>
                <w:szCs w:val="28"/>
                <w:highlight w:val="none"/>
              </w:rPr>
            </w:pPr>
          </w:p>
        </w:tc>
        <w:tc>
          <w:tcPr>
            <w:tcW w:w="1757" w:type="dxa"/>
            <w:noWrap w:val="0"/>
            <w:vAlign w:val="center"/>
          </w:tcPr>
          <w:p w14:paraId="72D918E1">
            <w:pPr>
              <w:ind w:firstLine="386" w:firstLineChars="138"/>
              <w:jc w:val="center"/>
              <w:rPr>
                <w:rFonts w:hint="eastAsia" w:ascii="宋体" w:hAnsi="宋体" w:cs="宋体"/>
                <w:sz w:val="28"/>
                <w:szCs w:val="28"/>
                <w:highlight w:val="none"/>
              </w:rPr>
            </w:pPr>
          </w:p>
        </w:tc>
        <w:tc>
          <w:tcPr>
            <w:tcW w:w="1695" w:type="dxa"/>
            <w:noWrap w:val="0"/>
            <w:vAlign w:val="center"/>
          </w:tcPr>
          <w:p w14:paraId="66DA802C">
            <w:pPr>
              <w:ind w:firstLine="386" w:firstLineChars="138"/>
              <w:jc w:val="center"/>
              <w:rPr>
                <w:rFonts w:hint="eastAsia" w:ascii="宋体" w:hAnsi="宋体" w:cs="宋体"/>
                <w:sz w:val="28"/>
                <w:szCs w:val="28"/>
                <w:highlight w:val="none"/>
              </w:rPr>
            </w:pPr>
          </w:p>
        </w:tc>
        <w:tc>
          <w:tcPr>
            <w:tcW w:w="1740" w:type="dxa"/>
            <w:noWrap w:val="0"/>
            <w:vAlign w:val="center"/>
          </w:tcPr>
          <w:p w14:paraId="2B0299B8">
            <w:pPr>
              <w:ind w:firstLine="386" w:firstLineChars="138"/>
              <w:jc w:val="center"/>
              <w:rPr>
                <w:rFonts w:hint="eastAsia" w:ascii="宋体" w:hAnsi="宋体" w:cs="宋体"/>
                <w:sz w:val="28"/>
                <w:szCs w:val="28"/>
                <w:highlight w:val="none"/>
              </w:rPr>
            </w:pPr>
          </w:p>
        </w:tc>
        <w:tc>
          <w:tcPr>
            <w:tcW w:w="1740" w:type="dxa"/>
            <w:noWrap w:val="0"/>
            <w:vAlign w:val="center"/>
          </w:tcPr>
          <w:p w14:paraId="59B0C34A">
            <w:pPr>
              <w:ind w:firstLine="386" w:firstLineChars="138"/>
              <w:jc w:val="center"/>
              <w:rPr>
                <w:rFonts w:hint="eastAsia" w:ascii="宋体" w:hAnsi="宋体" w:cs="宋体"/>
                <w:sz w:val="28"/>
                <w:szCs w:val="28"/>
                <w:highlight w:val="none"/>
              </w:rPr>
            </w:pPr>
          </w:p>
        </w:tc>
        <w:tc>
          <w:tcPr>
            <w:tcW w:w="1995" w:type="dxa"/>
            <w:noWrap w:val="0"/>
            <w:vAlign w:val="center"/>
          </w:tcPr>
          <w:p w14:paraId="7B911B33">
            <w:pPr>
              <w:ind w:firstLine="386" w:firstLineChars="138"/>
              <w:jc w:val="center"/>
              <w:rPr>
                <w:rFonts w:hint="eastAsia" w:ascii="宋体" w:hAnsi="宋体" w:cs="宋体"/>
                <w:sz w:val="28"/>
                <w:szCs w:val="28"/>
                <w:highlight w:val="none"/>
              </w:rPr>
            </w:pPr>
          </w:p>
        </w:tc>
      </w:tr>
      <w:tr w14:paraId="21A24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883" w:type="dxa"/>
            <w:noWrap w:val="0"/>
            <w:vAlign w:val="center"/>
          </w:tcPr>
          <w:p w14:paraId="0F41F22A">
            <w:pPr>
              <w:ind w:firstLine="386" w:firstLineChars="138"/>
              <w:jc w:val="center"/>
              <w:rPr>
                <w:rFonts w:hint="eastAsia" w:ascii="宋体" w:hAnsi="宋体" w:cs="宋体"/>
                <w:sz w:val="28"/>
                <w:szCs w:val="28"/>
                <w:highlight w:val="none"/>
              </w:rPr>
            </w:pPr>
          </w:p>
        </w:tc>
        <w:tc>
          <w:tcPr>
            <w:tcW w:w="1757" w:type="dxa"/>
            <w:noWrap w:val="0"/>
            <w:vAlign w:val="center"/>
          </w:tcPr>
          <w:p w14:paraId="364982EE">
            <w:pPr>
              <w:ind w:firstLine="386" w:firstLineChars="138"/>
              <w:jc w:val="center"/>
              <w:rPr>
                <w:rFonts w:hint="eastAsia" w:ascii="宋体" w:hAnsi="宋体" w:cs="宋体"/>
                <w:sz w:val="28"/>
                <w:szCs w:val="28"/>
                <w:highlight w:val="none"/>
              </w:rPr>
            </w:pPr>
          </w:p>
        </w:tc>
        <w:tc>
          <w:tcPr>
            <w:tcW w:w="1695" w:type="dxa"/>
            <w:noWrap w:val="0"/>
            <w:vAlign w:val="center"/>
          </w:tcPr>
          <w:p w14:paraId="20FEFA46">
            <w:pPr>
              <w:ind w:firstLine="386" w:firstLineChars="138"/>
              <w:jc w:val="center"/>
              <w:rPr>
                <w:rFonts w:hint="eastAsia" w:ascii="宋体" w:hAnsi="宋体" w:cs="宋体"/>
                <w:sz w:val="28"/>
                <w:szCs w:val="28"/>
                <w:highlight w:val="none"/>
              </w:rPr>
            </w:pPr>
          </w:p>
        </w:tc>
        <w:tc>
          <w:tcPr>
            <w:tcW w:w="1740" w:type="dxa"/>
            <w:noWrap w:val="0"/>
            <w:vAlign w:val="center"/>
          </w:tcPr>
          <w:p w14:paraId="3D374BB7">
            <w:pPr>
              <w:ind w:firstLine="386" w:firstLineChars="138"/>
              <w:jc w:val="center"/>
              <w:rPr>
                <w:rFonts w:hint="eastAsia" w:ascii="宋体" w:hAnsi="宋体" w:cs="宋体"/>
                <w:sz w:val="28"/>
                <w:szCs w:val="28"/>
                <w:highlight w:val="none"/>
              </w:rPr>
            </w:pPr>
          </w:p>
        </w:tc>
        <w:tc>
          <w:tcPr>
            <w:tcW w:w="1740" w:type="dxa"/>
            <w:noWrap w:val="0"/>
            <w:vAlign w:val="center"/>
          </w:tcPr>
          <w:p w14:paraId="3CD93141">
            <w:pPr>
              <w:ind w:firstLine="386" w:firstLineChars="138"/>
              <w:jc w:val="center"/>
              <w:rPr>
                <w:rFonts w:hint="eastAsia" w:ascii="宋体" w:hAnsi="宋体" w:cs="宋体"/>
                <w:sz w:val="28"/>
                <w:szCs w:val="28"/>
                <w:highlight w:val="none"/>
              </w:rPr>
            </w:pPr>
          </w:p>
        </w:tc>
        <w:tc>
          <w:tcPr>
            <w:tcW w:w="1995" w:type="dxa"/>
            <w:noWrap w:val="0"/>
            <w:vAlign w:val="center"/>
          </w:tcPr>
          <w:p w14:paraId="3441B035">
            <w:pPr>
              <w:ind w:firstLine="386" w:firstLineChars="138"/>
              <w:jc w:val="center"/>
              <w:rPr>
                <w:rFonts w:hint="eastAsia" w:ascii="宋体" w:hAnsi="宋体" w:cs="宋体"/>
                <w:sz w:val="28"/>
                <w:szCs w:val="28"/>
                <w:highlight w:val="none"/>
              </w:rPr>
            </w:pPr>
          </w:p>
        </w:tc>
      </w:tr>
      <w:tr w14:paraId="3F5A09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883" w:type="dxa"/>
            <w:noWrap w:val="0"/>
            <w:vAlign w:val="center"/>
          </w:tcPr>
          <w:p w14:paraId="7EBB6B9C">
            <w:pPr>
              <w:ind w:firstLine="386" w:firstLineChars="138"/>
              <w:jc w:val="center"/>
              <w:rPr>
                <w:rFonts w:hint="eastAsia" w:ascii="宋体" w:hAnsi="宋体" w:cs="宋体"/>
                <w:sz w:val="28"/>
                <w:szCs w:val="28"/>
                <w:highlight w:val="none"/>
              </w:rPr>
            </w:pPr>
          </w:p>
        </w:tc>
        <w:tc>
          <w:tcPr>
            <w:tcW w:w="1757" w:type="dxa"/>
            <w:noWrap w:val="0"/>
            <w:vAlign w:val="center"/>
          </w:tcPr>
          <w:p w14:paraId="51F43C94">
            <w:pPr>
              <w:ind w:firstLine="386" w:firstLineChars="138"/>
              <w:jc w:val="center"/>
              <w:rPr>
                <w:rFonts w:hint="eastAsia" w:ascii="宋体" w:hAnsi="宋体" w:cs="宋体"/>
                <w:sz w:val="28"/>
                <w:szCs w:val="28"/>
                <w:highlight w:val="none"/>
              </w:rPr>
            </w:pPr>
          </w:p>
        </w:tc>
        <w:tc>
          <w:tcPr>
            <w:tcW w:w="1695" w:type="dxa"/>
            <w:noWrap w:val="0"/>
            <w:vAlign w:val="center"/>
          </w:tcPr>
          <w:p w14:paraId="6D2D26AF">
            <w:pPr>
              <w:ind w:firstLine="386" w:firstLineChars="138"/>
              <w:jc w:val="center"/>
              <w:rPr>
                <w:rFonts w:hint="eastAsia" w:ascii="宋体" w:hAnsi="宋体" w:cs="宋体"/>
                <w:sz w:val="28"/>
                <w:szCs w:val="28"/>
                <w:highlight w:val="none"/>
              </w:rPr>
            </w:pPr>
          </w:p>
        </w:tc>
        <w:tc>
          <w:tcPr>
            <w:tcW w:w="1740" w:type="dxa"/>
            <w:noWrap w:val="0"/>
            <w:vAlign w:val="center"/>
          </w:tcPr>
          <w:p w14:paraId="39B36EFF">
            <w:pPr>
              <w:ind w:firstLine="386" w:firstLineChars="138"/>
              <w:jc w:val="center"/>
              <w:rPr>
                <w:rFonts w:hint="eastAsia" w:ascii="宋体" w:hAnsi="宋体" w:cs="宋体"/>
                <w:sz w:val="28"/>
                <w:szCs w:val="28"/>
                <w:highlight w:val="none"/>
              </w:rPr>
            </w:pPr>
          </w:p>
        </w:tc>
        <w:tc>
          <w:tcPr>
            <w:tcW w:w="1740" w:type="dxa"/>
            <w:noWrap w:val="0"/>
            <w:vAlign w:val="center"/>
          </w:tcPr>
          <w:p w14:paraId="2A76CE32">
            <w:pPr>
              <w:ind w:firstLine="386" w:firstLineChars="138"/>
              <w:jc w:val="center"/>
              <w:rPr>
                <w:rFonts w:hint="eastAsia" w:ascii="宋体" w:hAnsi="宋体" w:cs="宋体"/>
                <w:sz w:val="28"/>
                <w:szCs w:val="28"/>
                <w:highlight w:val="none"/>
              </w:rPr>
            </w:pPr>
          </w:p>
        </w:tc>
        <w:tc>
          <w:tcPr>
            <w:tcW w:w="1995" w:type="dxa"/>
            <w:noWrap w:val="0"/>
            <w:vAlign w:val="center"/>
          </w:tcPr>
          <w:p w14:paraId="56953B5B">
            <w:pPr>
              <w:ind w:firstLine="386" w:firstLineChars="138"/>
              <w:jc w:val="center"/>
              <w:rPr>
                <w:rFonts w:hint="eastAsia" w:ascii="宋体" w:hAnsi="宋体" w:cs="宋体"/>
                <w:sz w:val="28"/>
                <w:szCs w:val="28"/>
                <w:highlight w:val="none"/>
              </w:rPr>
            </w:pPr>
          </w:p>
        </w:tc>
      </w:tr>
      <w:tr w14:paraId="32FE63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883" w:type="dxa"/>
            <w:noWrap w:val="0"/>
            <w:vAlign w:val="center"/>
          </w:tcPr>
          <w:p w14:paraId="4DC1B175">
            <w:pPr>
              <w:ind w:firstLine="386" w:firstLineChars="138"/>
              <w:jc w:val="center"/>
              <w:rPr>
                <w:rFonts w:hint="eastAsia" w:ascii="宋体" w:hAnsi="宋体" w:cs="宋体"/>
                <w:sz w:val="28"/>
                <w:szCs w:val="28"/>
                <w:highlight w:val="none"/>
              </w:rPr>
            </w:pPr>
          </w:p>
        </w:tc>
        <w:tc>
          <w:tcPr>
            <w:tcW w:w="1757" w:type="dxa"/>
            <w:noWrap w:val="0"/>
            <w:vAlign w:val="center"/>
          </w:tcPr>
          <w:p w14:paraId="5A537F78">
            <w:pPr>
              <w:ind w:firstLine="386" w:firstLineChars="138"/>
              <w:jc w:val="center"/>
              <w:rPr>
                <w:rFonts w:hint="eastAsia" w:ascii="宋体" w:hAnsi="宋体" w:cs="宋体"/>
                <w:sz w:val="28"/>
                <w:szCs w:val="28"/>
                <w:highlight w:val="none"/>
              </w:rPr>
            </w:pPr>
          </w:p>
        </w:tc>
        <w:tc>
          <w:tcPr>
            <w:tcW w:w="1695" w:type="dxa"/>
            <w:noWrap w:val="0"/>
            <w:vAlign w:val="center"/>
          </w:tcPr>
          <w:p w14:paraId="360840CE">
            <w:pPr>
              <w:ind w:firstLine="386" w:firstLineChars="138"/>
              <w:jc w:val="center"/>
              <w:rPr>
                <w:rFonts w:hint="eastAsia" w:ascii="宋体" w:hAnsi="宋体" w:cs="宋体"/>
                <w:sz w:val="28"/>
                <w:szCs w:val="28"/>
                <w:highlight w:val="none"/>
              </w:rPr>
            </w:pPr>
          </w:p>
        </w:tc>
        <w:tc>
          <w:tcPr>
            <w:tcW w:w="1740" w:type="dxa"/>
            <w:noWrap w:val="0"/>
            <w:vAlign w:val="center"/>
          </w:tcPr>
          <w:p w14:paraId="431F940F">
            <w:pPr>
              <w:ind w:firstLine="386" w:firstLineChars="138"/>
              <w:jc w:val="center"/>
              <w:rPr>
                <w:rFonts w:hint="eastAsia" w:ascii="宋体" w:hAnsi="宋体" w:cs="宋体"/>
                <w:sz w:val="28"/>
                <w:szCs w:val="28"/>
                <w:highlight w:val="none"/>
              </w:rPr>
            </w:pPr>
          </w:p>
        </w:tc>
        <w:tc>
          <w:tcPr>
            <w:tcW w:w="1740" w:type="dxa"/>
            <w:noWrap w:val="0"/>
            <w:vAlign w:val="center"/>
          </w:tcPr>
          <w:p w14:paraId="32A4BE0A">
            <w:pPr>
              <w:ind w:firstLine="386" w:firstLineChars="138"/>
              <w:jc w:val="center"/>
              <w:rPr>
                <w:rFonts w:hint="eastAsia" w:ascii="宋体" w:hAnsi="宋体" w:cs="宋体"/>
                <w:sz w:val="28"/>
                <w:szCs w:val="28"/>
                <w:highlight w:val="none"/>
              </w:rPr>
            </w:pPr>
          </w:p>
        </w:tc>
        <w:tc>
          <w:tcPr>
            <w:tcW w:w="1995" w:type="dxa"/>
            <w:noWrap w:val="0"/>
            <w:vAlign w:val="center"/>
          </w:tcPr>
          <w:p w14:paraId="48BE9EC8">
            <w:pPr>
              <w:ind w:firstLine="386" w:firstLineChars="138"/>
              <w:jc w:val="center"/>
              <w:rPr>
                <w:rFonts w:hint="eastAsia" w:ascii="宋体" w:hAnsi="宋体" w:cs="宋体"/>
                <w:sz w:val="28"/>
                <w:szCs w:val="28"/>
                <w:highlight w:val="none"/>
              </w:rPr>
            </w:pPr>
          </w:p>
        </w:tc>
      </w:tr>
      <w:tr w14:paraId="3C8FB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883" w:type="dxa"/>
            <w:noWrap w:val="0"/>
            <w:vAlign w:val="center"/>
          </w:tcPr>
          <w:p w14:paraId="187F73BD">
            <w:pPr>
              <w:ind w:firstLine="386" w:firstLineChars="138"/>
              <w:jc w:val="center"/>
              <w:rPr>
                <w:rFonts w:hint="eastAsia" w:ascii="宋体" w:hAnsi="宋体" w:cs="宋体"/>
                <w:sz w:val="28"/>
                <w:szCs w:val="28"/>
                <w:highlight w:val="none"/>
              </w:rPr>
            </w:pPr>
          </w:p>
        </w:tc>
        <w:tc>
          <w:tcPr>
            <w:tcW w:w="1757" w:type="dxa"/>
            <w:noWrap w:val="0"/>
            <w:vAlign w:val="center"/>
          </w:tcPr>
          <w:p w14:paraId="768B938A">
            <w:pPr>
              <w:ind w:firstLine="386" w:firstLineChars="138"/>
              <w:jc w:val="center"/>
              <w:rPr>
                <w:rFonts w:hint="eastAsia" w:ascii="宋体" w:hAnsi="宋体" w:cs="宋体"/>
                <w:sz w:val="28"/>
                <w:szCs w:val="28"/>
                <w:highlight w:val="none"/>
              </w:rPr>
            </w:pPr>
          </w:p>
        </w:tc>
        <w:tc>
          <w:tcPr>
            <w:tcW w:w="1695" w:type="dxa"/>
            <w:noWrap w:val="0"/>
            <w:vAlign w:val="center"/>
          </w:tcPr>
          <w:p w14:paraId="4C85597A">
            <w:pPr>
              <w:ind w:firstLine="386" w:firstLineChars="138"/>
              <w:jc w:val="center"/>
              <w:rPr>
                <w:rFonts w:hint="eastAsia" w:ascii="宋体" w:hAnsi="宋体" w:cs="宋体"/>
                <w:sz w:val="28"/>
                <w:szCs w:val="28"/>
                <w:highlight w:val="none"/>
              </w:rPr>
            </w:pPr>
          </w:p>
        </w:tc>
        <w:tc>
          <w:tcPr>
            <w:tcW w:w="1740" w:type="dxa"/>
            <w:noWrap w:val="0"/>
            <w:vAlign w:val="center"/>
          </w:tcPr>
          <w:p w14:paraId="232AA10B">
            <w:pPr>
              <w:ind w:firstLine="386" w:firstLineChars="138"/>
              <w:jc w:val="center"/>
              <w:rPr>
                <w:rFonts w:hint="eastAsia" w:ascii="宋体" w:hAnsi="宋体" w:cs="宋体"/>
                <w:sz w:val="28"/>
                <w:szCs w:val="28"/>
                <w:highlight w:val="none"/>
              </w:rPr>
            </w:pPr>
          </w:p>
        </w:tc>
        <w:tc>
          <w:tcPr>
            <w:tcW w:w="1740" w:type="dxa"/>
            <w:noWrap w:val="0"/>
            <w:vAlign w:val="center"/>
          </w:tcPr>
          <w:p w14:paraId="00266C07">
            <w:pPr>
              <w:ind w:firstLine="386" w:firstLineChars="138"/>
              <w:jc w:val="center"/>
              <w:rPr>
                <w:rFonts w:hint="eastAsia" w:ascii="宋体" w:hAnsi="宋体" w:cs="宋体"/>
                <w:sz w:val="28"/>
                <w:szCs w:val="28"/>
                <w:highlight w:val="none"/>
              </w:rPr>
            </w:pPr>
          </w:p>
        </w:tc>
        <w:tc>
          <w:tcPr>
            <w:tcW w:w="1995" w:type="dxa"/>
            <w:noWrap w:val="0"/>
            <w:vAlign w:val="center"/>
          </w:tcPr>
          <w:p w14:paraId="6BFC50C0">
            <w:pPr>
              <w:ind w:firstLine="386" w:firstLineChars="138"/>
              <w:jc w:val="center"/>
              <w:rPr>
                <w:rFonts w:hint="eastAsia" w:ascii="宋体" w:hAnsi="宋体" w:cs="宋体"/>
                <w:sz w:val="28"/>
                <w:szCs w:val="28"/>
                <w:highlight w:val="none"/>
              </w:rPr>
            </w:pPr>
          </w:p>
        </w:tc>
      </w:tr>
      <w:tr w14:paraId="4F84FF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883" w:type="dxa"/>
            <w:noWrap w:val="0"/>
            <w:vAlign w:val="center"/>
          </w:tcPr>
          <w:p w14:paraId="5287D03B">
            <w:pPr>
              <w:ind w:firstLine="386" w:firstLineChars="138"/>
              <w:jc w:val="center"/>
              <w:rPr>
                <w:rFonts w:hint="eastAsia" w:ascii="宋体" w:hAnsi="宋体" w:cs="宋体"/>
                <w:sz w:val="28"/>
                <w:szCs w:val="28"/>
                <w:highlight w:val="none"/>
              </w:rPr>
            </w:pPr>
          </w:p>
        </w:tc>
        <w:tc>
          <w:tcPr>
            <w:tcW w:w="1757" w:type="dxa"/>
            <w:noWrap w:val="0"/>
            <w:vAlign w:val="center"/>
          </w:tcPr>
          <w:p w14:paraId="60270C44">
            <w:pPr>
              <w:ind w:firstLine="386" w:firstLineChars="138"/>
              <w:jc w:val="center"/>
              <w:rPr>
                <w:rFonts w:hint="eastAsia" w:ascii="宋体" w:hAnsi="宋体" w:cs="宋体"/>
                <w:sz w:val="28"/>
                <w:szCs w:val="28"/>
                <w:highlight w:val="none"/>
              </w:rPr>
            </w:pPr>
          </w:p>
        </w:tc>
        <w:tc>
          <w:tcPr>
            <w:tcW w:w="1695" w:type="dxa"/>
            <w:noWrap w:val="0"/>
            <w:vAlign w:val="center"/>
          </w:tcPr>
          <w:p w14:paraId="228B49C5">
            <w:pPr>
              <w:ind w:firstLine="386" w:firstLineChars="138"/>
              <w:jc w:val="center"/>
              <w:rPr>
                <w:rFonts w:hint="eastAsia" w:ascii="宋体" w:hAnsi="宋体" w:cs="宋体"/>
                <w:sz w:val="28"/>
                <w:szCs w:val="28"/>
                <w:highlight w:val="none"/>
              </w:rPr>
            </w:pPr>
          </w:p>
        </w:tc>
        <w:tc>
          <w:tcPr>
            <w:tcW w:w="1740" w:type="dxa"/>
            <w:noWrap w:val="0"/>
            <w:vAlign w:val="center"/>
          </w:tcPr>
          <w:p w14:paraId="01C720B5">
            <w:pPr>
              <w:ind w:firstLine="386" w:firstLineChars="138"/>
              <w:jc w:val="center"/>
              <w:rPr>
                <w:rFonts w:hint="eastAsia" w:ascii="宋体" w:hAnsi="宋体" w:cs="宋体"/>
                <w:sz w:val="28"/>
                <w:szCs w:val="28"/>
                <w:highlight w:val="none"/>
              </w:rPr>
            </w:pPr>
          </w:p>
        </w:tc>
        <w:tc>
          <w:tcPr>
            <w:tcW w:w="1740" w:type="dxa"/>
            <w:noWrap w:val="0"/>
            <w:vAlign w:val="center"/>
          </w:tcPr>
          <w:p w14:paraId="51CA096C">
            <w:pPr>
              <w:ind w:firstLine="386" w:firstLineChars="138"/>
              <w:jc w:val="center"/>
              <w:rPr>
                <w:rFonts w:hint="eastAsia" w:ascii="宋体" w:hAnsi="宋体" w:cs="宋体"/>
                <w:sz w:val="28"/>
                <w:szCs w:val="28"/>
                <w:highlight w:val="none"/>
              </w:rPr>
            </w:pPr>
          </w:p>
        </w:tc>
        <w:tc>
          <w:tcPr>
            <w:tcW w:w="1995" w:type="dxa"/>
            <w:noWrap w:val="0"/>
            <w:vAlign w:val="center"/>
          </w:tcPr>
          <w:p w14:paraId="32245610">
            <w:pPr>
              <w:ind w:firstLine="386" w:firstLineChars="138"/>
              <w:jc w:val="center"/>
              <w:rPr>
                <w:rFonts w:hint="eastAsia" w:ascii="宋体" w:hAnsi="宋体" w:cs="宋体"/>
                <w:sz w:val="28"/>
                <w:szCs w:val="28"/>
                <w:highlight w:val="none"/>
              </w:rPr>
            </w:pPr>
          </w:p>
        </w:tc>
      </w:tr>
      <w:tr w14:paraId="75FF7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883" w:type="dxa"/>
            <w:noWrap w:val="0"/>
            <w:vAlign w:val="center"/>
          </w:tcPr>
          <w:p w14:paraId="1F5F8000">
            <w:pPr>
              <w:ind w:firstLine="386" w:firstLineChars="138"/>
              <w:jc w:val="center"/>
              <w:rPr>
                <w:rFonts w:hint="eastAsia" w:ascii="宋体" w:hAnsi="宋体" w:cs="宋体"/>
                <w:sz w:val="28"/>
                <w:szCs w:val="28"/>
                <w:highlight w:val="none"/>
              </w:rPr>
            </w:pPr>
          </w:p>
        </w:tc>
        <w:tc>
          <w:tcPr>
            <w:tcW w:w="1757" w:type="dxa"/>
            <w:noWrap w:val="0"/>
            <w:vAlign w:val="center"/>
          </w:tcPr>
          <w:p w14:paraId="251A79D9">
            <w:pPr>
              <w:ind w:firstLine="386" w:firstLineChars="138"/>
              <w:jc w:val="center"/>
              <w:rPr>
                <w:rFonts w:hint="eastAsia" w:ascii="宋体" w:hAnsi="宋体" w:cs="宋体"/>
                <w:sz w:val="28"/>
                <w:szCs w:val="28"/>
                <w:highlight w:val="none"/>
              </w:rPr>
            </w:pPr>
          </w:p>
        </w:tc>
        <w:tc>
          <w:tcPr>
            <w:tcW w:w="1695" w:type="dxa"/>
            <w:noWrap w:val="0"/>
            <w:vAlign w:val="center"/>
          </w:tcPr>
          <w:p w14:paraId="499D7EE8">
            <w:pPr>
              <w:ind w:firstLine="386" w:firstLineChars="138"/>
              <w:jc w:val="center"/>
              <w:rPr>
                <w:rFonts w:hint="eastAsia" w:ascii="宋体" w:hAnsi="宋体" w:cs="宋体"/>
                <w:sz w:val="28"/>
                <w:szCs w:val="28"/>
                <w:highlight w:val="none"/>
              </w:rPr>
            </w:pPr>
          </w:p>
        </w:tc>
        <w:tc>
          <w:tcPr>
            <w:tcW w:w="1740" w:type="dxa"/>
            <w:noWrap w:val="0"/>
            <w:vAlign w:val="center"/>
          </w:tcPr>
          <w:p w14:paraId="7CA111CE">
            <w:pPr>
              <w:ind w:firstLine="386" w:firstLineChars="138"/>
              <w:jc w:val="center"/>
              <w:rPr>
                <w:rFonts w:hint="eastAsia" w:ascii="宋体" w:hAnsi="宋体" w:cs="宋体"/>
                <w:sz w:val="28"/>
                <w:szCs w:val="28"/>
                <w:highlight w:val="none"/>
              </w:rPr>
            </w:pPr>
          </w:p>
        </w:tc>
        <w:tc>
          <w:tcPr>
            <w:tcW w:w="1740" w:type="dxa"/>
            <w:noWrap w:val="0"/>
            <w:vAlign w:val="center"/>
          </w:tcPr>
          <w:p w14:paraId="6EB0ECE2">
            <w:pPr>
              <w:ind w:firstLine="386" w:firstLineChars="138"/>
              <w:jc w:val="center"/>
              <w:rPr>
                <w:rFonts w:hint="eastAsia" w:ascii="宋体" w:hAnsi="宋体" w:cs="宋体"/>
                <w:sz w:val="28"/>
                <w:szCs w:val="28"/>
                <w:highlight w:val="none"/>
              </w:rPr>
            </w:pPr>
          </w:p>
        </w:tc>
        <w:tc>
          <w:tcPr>
            <w:tcW w:w="1995" w:type="dxa"/>
            <w:noWrap w:val="0"/>
            <w:vAlign w:val="center"/>
          </w:tcPr>
          <w:p w14:paraId="58085CC5">
            <w:pPr>
              <w:ind w:firstLine="386" w:firstLineChars="138"/>
              <w:jc w:val="center"/>
              <w:rPr>
                <w:rFonts w:hint="eastAsia" w:ascii="宋体" w:hAnsi="宋体" w:cs="宋体"/>
                <w:sz w:val="28"/>
                <w:szCs w:val="28"/>
                <w:highlight w:val="none"/>
              </w:rPr>
            </w:pPr>
          </w:p>
        </w:tc>
      </w:tr>
      <w:tr w14:paraId="5C44E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883" w:type="dxa"/>
            <w:noWrap w:val="0"/>
            <w:vAlign w:val="center"/>
          </w:tcPr>
          <w:p w14:paraId="3AB77259">
            <w:pPr>
              <w:ind w:firstLine="386" w:firstLineChars="138"/>
              <w:jc w:val="center"/>
              <w:rPr>
                <w:rFonts w:hint="eastAsia" w:ascii="宋体" w:hAnsi="宋体" w:cs="宋体"/>
                <w:sz w:val="28"/>
                <w:szCs w:val="28"/>
                <w:highlight w:val="none"/>
              </w:rPr>
            </w:pPr>
          </w:p>
        </w:tc>
        <w:tc>
          <w:tcPr>
            <w:tcW w:w="1757" w:type="dxa"/>
            <w:noWrap w:val="0"/>
            <w:vAlign w:val="center"/>
          </w:tcPr>
          <w:p w14:paraId="59B6AD10">
            <w:pPr>
              <w:ind w:firstLine="386" w:firstLineChars="138"/>
              <w:jc w:val="center"/>
              <w:rPr>
                <w:rFonts w:hint="eastAsia" w:ascii="宋体" w:hAnsi="宋体" w:cs="宋体"/>
                <w:sz w:val="28"/>
                <w:szCs w:val="28"/>
                <w:highlight w:val="none"/>
              </w:rPr>
            </w:pPr>
          </w:p>
        </w:tc>
        <w:tc>
          <w:tcPr>
            <w:tcW w:w="1695" w:type="dxa"/>
            <w:noWrap w:val="0"/>
            <w:vAlign w:val="center"/>
          </w:tcPr>
          <w:p w14:paraId="561B300C">
            <w:pPr>
              <w:ind w:firstLine="386" w:firstLineChars="138"/>
              <w:jc w:val="center"/>
              <w:rPr>
                <w:rFonts w:hint="eastAsia" w:ascii="宋体" w:hAnsi="宋体" w:cs="宋体"/>
                <w:sz w:val="28"/>
                <w:szCs w:val="28"/>
                <w:highlight w:val="none"/>
              </w:rPr>
            </w:pPr>
          </w:p>
        </w:tc>
        <w:tc>
          <w:tcPr>
            <w:tcW w:w="1740" w:type="dxa"/>
            <w:noWrap w:val="0"/>
            <w:vAlign w:val="center"/>
          </w:tcPr>
          <w:p w14:paraId="3CCF89CE">
            <w:pPr>
              <w:ind w:firstLine="386" w:firstLineChars="138"/>
              <w:jc w:val="center"/>
              <w:rPr>
                <w:rFonts w:hint="eastAsia" w:ascii="宋体" w:hAnsi="宋体" w:cs="宋体"/>
                <w:sz w:val="28"/>
                <w:szCs w:val="28"/>
                <w:highlight w:val="none"/>
              </w:rPr>
            </w:pPr>
          </w:p>
        </w:tc>
        <w:tc>
          <w:tcPr>
            <w:tcW w:w="1740" w:type="dxa"/>
            <w:noWrap w:val="0"/>
            <w:vAlign w:val="center"/>
          </w:tcPr>
          <w:p w14:paraId="74C3EEAA">
            <w:pPr>
              <w:ind w:firstLine="386" w:firstLineChars="138"/>
              <w:jc w:val="center"/>
              <w:rPr>
                <w:rFonts w:hint="eastAsia" w:ascii="宋体" w:hAnsi="宋体" w:cs="宋体"/>
                <w:sz w:val="28"/>
                <w:szCs w:val="28"/>
                <w:highlight w:val="none"/>
              </w:rPr>
            </w:pPr>
          </w:p>
        </w:tc>
        <w:tc>
          <w:tcPr>
            <w:tcW w:w="1995" w:type="dxa"/>
            <w:noWrap w:val="0"/>
            <w:vAlign w:val="center"/>
          </w:tcPr>
          <w:p w14:paraId="29359F44">
            <w:pPr>
              <w:ind w:firstLine="386" w:firstLineChars="138"/>
              <w:jc w:val="center"/>
              <w:rPr>
                <w:rFonts w:hint="eastAsia" w:ascii="宋体" w:hAnsi="宋体" w:cs="宋体"/>
                <w:sz w:val="28"/>
                <w:szCs w:val="28"/>
                <w:highlight w:val="none"/>
              </w:rPr>
            </w:pPr>
          </w:p>
        </w:tc>
      </w:tr>
    </w:tbl>
    <w:p w14:paraId="6E54AF6A">
      <w:pPr>
        <w:snapToGrid w:val="0"/>
        <w:spacing w:line="360" w:lineRule="auto"/>
        <w:ind w:firstLine="241" w:firstLineChars="100"/>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lang w:eastAsia="zh-CN"/>
        </w:rPr>
        <w:t>注：</w:t>
      </w:r>
      <w:r>
        <w:rPr>
          <w:rFonts w:hint="eastAsia" w:ascii="仿宋" w:hAnsi="仿宋" w:eastAsia="仿宋" w:cs="仿宋"/>
          <w:b/>
          <w:bCs/>
          <w:sz w:val="24"/>
          <w:szCs w:val="24"/>
          <w:highlight w:val="none"/>
        </w:rPr>
        <w:t>附评标办法要求的相关证明材料扫描件，否则不得分。</w:t>
      </w:r>
    </w:p>
    <w:p w14:paraId="34BAFE20">
      <w:pPr>
        <w:pStyle w:val="36"/>
        <w:rPr>
          <w:rFonts w:hint="eastAsia" w:hAnsi="宋体" w:cs="宋体"/>
          <w:sz w:val="28"/>
          <w:szCs w:val="28"/>
          <w:highlight w:val="none"/>
        </w:rPr>
      </w:pPr>
    </w:p>
    <w:p w14:paraId="34077D50">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投标单位：（盖章）</w:t>
      </w:r>
    </w:p>
    <w:p w14:paraId="1B6B430E">
      <w:pPr>
        <w:snapToGrid w:val="0"/>
        <w:spacing w:line="360" w:lineRule="auto"/>
        <w:ind w:firstLine="240" w:firstLineChars="100"/>
        <w:rPr>
          <w:rFonts w:hint="eastAsia" w:ascii="仿宋" w:hAnsi="仿宋" w:eastAsia="仿宋" w:cs="仿宋"/>
          <w:sz w:val="24"/>
          <w:szCs w:val="24"/>
          <w:highlight w:val="none"/>
          <w:lang w:val="zh-CN"/>
        </w:rPr>
      </w:pPr>
      <w:r>
        <w:rPr>
          <w:rFonts w:hint="eastAsia" w:ascii="仿宋" w:hAnsi="仿宋" w:eastAsia="仿宋" w:cs="仿宋"/>
          <w:sz w:val="24"/>
          <w:szCs w:val="24"/>
          <w:highlight w:val="none"/>
        </w:rPr>
        <w:t>法定代表人</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负责人</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 xml:space="preserve">或委托代理人：      </w:t>
      </w:r>
      <w:r>
        <w:rPr>
          <w:rFonts w:hint="eastAsia" w:ascii="仿宋" w:hAnsi="仿宋" w:eastAsia="仿宋" w:cs="仿宋"/>
          <w:sz w:val="24"/>
          <w:szCs w:val="24"/>
          <w:highlight w:val="none"/>
          <w:lang w:val="zh-CN"/>
        </w:rPr>
        <w:t>（签字或盖章）</w:t>
      </w:r>
    </w:p>
    <w:p w14:paraId="0B4D345C">
      <w:pPr>
        <w:snapToGrid w:val="0"/>
        <w:spacing w:line="360" w:lineRule="auto"/>
        <w:ind w:firstLine="240" w:firstLineChars="100"/>
        <w:rPr>
          <w:rFonts w:ascii="仿宋" w:hAnsi="仿宋" w:eastAsia="仿宋" w:cs="仿宋"/>
          <w:b/>
          <w:bCs/>
          <w:sz w:val="24"/>
          <w:szCs w:val="24"/>
          <w:highlight w:val="none"/>
        </w:rPr>
      </w:pPr>
      <w:r>
        <w:rPr>
          <w:rFonts w:hint="eastAsia" w:ascii="仿宋" w:hAnsi="仿宋" w:eastAsia="仿宋" w:cs="仿宋"/>
          <w:sz w:val="24"/>
          <w:szCs w:val="24"/>
          <w:highlight w:val="none"/>
        </w:rPr>
        <w:t>日期：</w:t>
      </w:r>
    </w:p>
    <w:p w14:paraId="27779CF8">
      <w:pPr>
        <w:pStyle w:val="23"/>
        <w:spacing w:line="520" w:lineRule="exact"/>
        <w:jc w:val="center"/>
        <w:rPr>
          <w:rFonts w:hint="eastAsia" w:ascii="仿宋" w:hAnsi="仿宋" w:eastAsia="仿宋" w:cs="仿宋"/>
          <w:b/>
          <w:bCs/>
          <w:sz w:val="30"/>
          <w:szCs w:val="30"/>
          <w:highlight w:val="none"/>
        </w:rPr>
      </w:pPr>
    </w:p>
    <w:p w14:paraId="5E55B88D">
      <w:pPr>
        <w:pStyle w:val="23"/>
        <w:spacing w:line="520" w:lineRule="exact"/>
        <w:jc w:val="center"/>
        <w:rPr>
          <w:rFonts w:ascii="仿宋" w:hAnsi="仿宋" w:eastAsia="仿宋" w:cs="仿宋"/>
          <w:b/>
          <w:bCs/>
          <w:sz w:val="30"/>
          <w:szCs w:val="30"/>
          <w:highlight w:val="none"/>
        </w:rPr>
      </w:pPr>
      <w:r>
        <w:rPr>
          <w:rFonts w:hint="eastAsia" w:ascii="仿宋" w:hAnsi="仿宋" w:eastAsia="仿宋" w:cs="仿宋"/>
          <w:b/>
          <w:bCs/>
          <w:sz w:val="30"/>
          <w:szCs w:val="30"/>
          <w:highlight w:val="none"/>
        </w:rPr>
        <w:br w:type="page"/>
      </w:r>
      <w:r>
        <w:rPr>
          <w:rFonts w:hint="eastAsia" w:ascii="仿宋" w:hAnsi="仿宋" w:eastAsia="仿宋" w:cs="仿宋"/>
          <w:b/>
          <w:bCs/>
          <w:sz w:val="30"/>
          <w:szCs w:val="30"/>
          <w:highlight w:val="none"/>
        </w:rPr>
        <w:t>投标偏离表</w:t>
      </w:r>
    </w:p>
    <w:p w14:paraId="3BA12B78">
      <w:pPr>
        <w:spacing w:line="360" w:lineRule="exact"/>
        <w:jc w:val="center"/>
        <w:rPr>
          <w:rFonts w:ascii="仿宋" w:hAnsi="仿宋" w:eastAsia="仿宋" w:cs="仿宋"/>
          <w:bCs/>
          <w:sz w:val="24"/>
          <w:szCs w:val="24"/>
          <w:highlight w:val="none"/>
        </w:rPr>
      </w:pPr>
      <w:r>
        <w:rPr>
          <w:rFonts w:hint="eastAsia" w:ascii="仿宋" w:hAnsi="仿宋" w:eastAsia="仿宋" w:cs="仿宋"/>
          <w:bCs/>
          <w:sz w:val="24"/>
          <w:szCs w:val="24"/>
          <w:highlight w:val="none"/>
        </w:rPr>
        <w:t>（包括技术要求和商务条款偏离）</w:t>
      </w:r>
    </w:p>
    <w:tbl>
      <w:tblPr>
        <w:tblStyle w:val="41"/>
        <w:tblW w:w="97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
        <w:gridCol w:w="1236"/>
        <w:gridCol w:w="2657"/>
        <w:gridCol w:w="1417"/>
        <w:gridCol w:w="2694"/>
        <w:gridCol w:w="1293"/>
      </w:tblGrid>
      <w:tr w14:paraId="6C14FB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atLeast"/>
          <w:jc w:val="center"/>
        </w:trPr>
        <w:tc>
          <w:tcPr>
            <w:tcW w:w="468" w:type="dxa"/>
            <w:vMerge w:val="restart"/>
            <w:noWrap w:val="0"/>
            <w:vAlign w:val="top"/>
          </w:tcPr>
          <w:p w14:paraId="4D00351C">
            <w:pPr>
              <w:pStyle w:val="23"/>
              <w:spacing w:line="400" w:lineRule="exact"/>
              <w:rPr>
                <w:rFonts w:ascii="仿宋" w:hAnsi="仿宋" w:eastAsia="仿宋" w:cs="仿宋"/>
                <w:sz w:val="24"/>
                <w:szCs w:val="24"/>
                <w:highlight w:val="none"/>
              </w:rPr>
            </w:pPr>
            <w:r>
              <w:rPr>
                <w:rFonts w:hint="eastAsia" w:ascii="仿宋" w:hAnsi="仿宋" w:eastAsia="仿宋" w:cs="仿宋"/>
                <w:sz w:val="24"/>
                <w:szCs w:val="24"/>
                <w:highlight w:val="none"/>
              </w:rPr>
              <w:t>序号</w:t>
            </w:r>
          </w:p>
        </w:tc>
        <w:tc>
          <w:tcPr>
            <w:tcW w:w="3893" w:type="dxa"/>
            <w:gridSpan w:val="2"/>
            <w:noWrap w:val="0"/>
            <w:vAlign w:val="top"/>
          </w:tcPr>
          <w:p w14:paraId="33655E48">
            <w:pPr>
              <w:pStyle w:val="23"/>
              <w:spacing w:line="4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         招标文件条款</w:t>
            </w:r>
          </w:p>
        </w:tc>
        <w:tc>
          <w:tcPr>
            <w:tcW w:w="4111" w:type="dxa"/>
            <w:gridSpan w:val="2"/>
            <w:noWrap w:val="0"/>
            <w:vAlign w:val="top"/>
          </w:tcPr>
          <w:p w14:paraId="75EB41B2">
            <w:pPr>
              <w:pStyle w:val="23"/>
              <w:spacing w:line="4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       投标文件条款</w:t>
            </w:r>
          </w:p>
        </w:tc>
        <w:tc>
          <w:tcPr>
            <w:tcW w:w="1293" w:type="dxa"/>
            <w:vMerge w:val="restart"/>
            <w:noWrap w:val="0"/>
            <w:vAlign w:val="center"/>
          </w:tcPr>
          <w:p w14:paraId="3DAE67E8">
            <w:pPr>
              <w:pStyle w:val="23"/>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偏离情况</w:t>
            </w:r>
          </w:p>
        </w:tc>
      </w:tr>
      <w:tr w14:paraId="633AC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3" w:hRule="atLeast"/>
          <w:jc w:val="center"/>
        </w:trPr>
        <w:tc>
          <w:tcPr>
            <w:tcW w:w="468" w:type="dxa"/>
            <w:vMerge w:val="continue"/>
            <w:noWrap w:val="0"/>
            <w:vAlign w:val="top"/>
          </w:tcPr>
          <w:p w14:paraId="4A5FF920">
            <w:pPr>
              <w:pStyle w:val="23"/>
              <w:spacing w:line="400" w:lineRule="exact"/>
              <w:rPr>
                <w:rFonts w:ascii="仿宋" w:hAnsi="仿宋" w:eastAsia="仿宋" w:cs="仿宋"/>
                <w:sz w:val="24"/>
                <w:szCs w:val="24"/>
                <w:highlight w:val="none"/>
              </w:rPr>
            </w:pPr>
          </w:p>
        </w:tc>
        <w:tc>
          <w:tcPr>
            <w:tcW w:w="1236" w:type="dxa"/>
            <w:noWrap w:val="0"/>
            <w:vAlign w:val="top"/>
          </w:tcPr>
          <w:p w14:paraId="3910EADF">
            <w:pPr>
              <w:pStyle w:val="23"/>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条款号</w:t>
            </w:r>
          </w:p>
        </w:tc>
        <w:tc>
          <w:tcPr>
            <w:tcW w:w="2657" w:type="dxa"/>
            <w:noWrap w:val="0"/>
            <w:vAlign w:val="top"/>
          </w:tcPr>
          <w:p w14:paraId="650E6504">
            <w:pPr>
              <w:pStyle w:val="23"/>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招标文件的内容</w:t>
            </w:r>
          </w:p>
        </w:tc>
        <w:tc>
          <w:tcPr>
            <w:tcW w:w="1417" w:type="dxa"/>
            <w:noWrap w:val="0"/>
            <w:vAlign w:val="top"/>
          </w:tcPr>
          <w:p w14:paraId="50CABC65">
            <w:pPr>
              <w:pStyle w:val="23"/>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条款号</w:t>
            </w:r>
          </w:p>
        </w:tc>
        <w:tc>
          <w:tcPr>
            <w:tcW w:w="2694" w:type="dxa"/>
            <w:noWrap w:val="0"/>
            <w:vAlign w:val="top"/>
          </w:tcPr>
          <w:p w14:paraId="13DD0783">
            <w:pPr>
              <w:pStyle w:val="23"/>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投标文件偏离内容</w:t>
            </w:r>
          </w:p>
        </w:tc>
        <w:tc>
          <w:tcPr>
            <w:tcW w:w="1293" w:type="dxa"/>
            <w:vMerge w:val="continue"/>
            <w:noWrap w:val="0"/>
            <w:vAlign w:val="top"/>
          </w:tcPr>
          <w:p w14:paraId="62B39CC1">
            <w:pPr>
              <w:pStyle w:val="23"/>
              <w:spacing w:line="400" w:lineRule="exact"/>
              <w:jc w:val="center"/>
              <w:rPr>
                <w:rFonts w:ascii="仿宋" w:hAnsi="仿宋" w:eastAsia="仿宋" w:cs="仿宋"/>
                <w:sz w:val="24"/>
                <w:szCs w:val="24"/>
                <w:highlight w:val="none"/>
              </w:rPr>
            </w:pPr>
          </w:p>
        </w:tc>
      </w:tr>
      <w:tr w14:paraId="3B146F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jc w:val="center"/>
        </w:trPr>
        <w:tc>
          <w:tcPr>
            <w:tcW w:w="468" w:type="dxa"/>
            <w:noWrap w:val="0"/>
            <w:vAlign w:val="top"/>
          </w:tcPr>
          <w:p w14:paraId="5424EB38">
            <w:pPr>
              <w:pStyle w:val="23"/>
              <w:spacing w:line="400" w:lineRule="exact"/>
              <w:rPr>
                <w:rFonts w:ascii="仿宋" w:hAnsi="仿宋" w:eastAsia="仿宋" w:cs="仿宋"/>
                <w:sz w:val="24"/>
                <w:szCs w:val="24"/>
                <w:highlight w:val="none"/>
              </w:rPr>
            </w:pPr>
          </w:p>
        </w:tc>
        <w:tc>
          <w:tcPr>
            <w:tcW w:w="1236" w:type="dxa"/>
            <w:noWrap w:val="0"/>
            <w:vAlign w:val="top"/>
          </w:tcPr>
          <w:p w14:paraId="743A12AA">
            <w:pPr>
              <w:pStyle w:val="23"/>
              <w:spacing w:line="400" w:lineRule="exact"/>
              <w:rPr>
                <w:rFonts w:ascii="仿宋" w:hAnsi="仿宋" w:eastAsia="仿宋" w:cs="仿宋"/>
                <w:sz w:val="24"/>
                <w:szCs w:val="24"/>
                <w:highlight w:val="none"/>
              </w:rPr>
            </w:pPr>
          </w:p>
        </w:tc>
        <w:tc>
          <w:tcPr>
            <w:tcW w:w="2657" w:type="dxa"/>
            <w:noWrap w:val="0"/>
            <w:vAlign w:val="top"/>
          </w:tcPr>
          <w:p w14:paraId="401D1CEB">
            <w:pPr>
              <w:pStyle w:val="23"/>
              <w:spacing w:line="400" w:lineRule="exact"/>
              <w:rPr>
                <w:rFonts w:ascii="仿宋" w:hAnsi="仿宋" w:eastAsia="仿宋" w:cs="仿宋"/>
                <w:sz w:val="24"/>
                <w:szCs w:val="24"/>
                <w:highlight w:val="none"/>
              </w:rPr>
            </w:pPr>
          </w:p>
        </w:tc>
        <w:tc>
          <w:tcPr>
            <w:tcW w:w="1417" w:type="dxa"/>
            <w:noWrap w:val="0"/>
            <w:vAlign w:val="top"/>
          </w:tcPr>
          <w:p w14:paraId="5AD91662">
            <w:pPr>
              <w:pStyle w:val="23"/>
              <w:spacing w:line="400" w:lineRule="exact"/>
              <w:rPr>
                <w:rFonts w:ascii="仿宋" w:hAnsi="仿宋" w:eastAsia="仿宋" w:cs="仿宋"/>
                <w:sz w:val="24"/>
                <w:szCs w:val="24"/>
                <w:highlight w:val="none"/>
              </w:rPr>
            </w:pPr>
          </w:p>
        </w:tc>
        <w:tc>
          <w:tcPr>
            <w:tcW w:w="2694" w:type="dxa"/>
            <w:noWrap w:val="0"/>
            <w:vAlign w:val="top"/>
          </w:tcPr>
          <w:p w14:paraId="0A377E00">
            <w:pPr>
              <w:pStyle w:val="23"/>
              <w:spacing w:line="400" w:lineRule="exact"/>
              <w:rPr>
                <w:rFonts w:ascii="仿宋" w:hAnsi="仿宋" w:eastAsia="仿宋" w:cs="仿宋"/>
                <w:sz w:val="24"/>
                <w:szCs w:val="24"/>
                <w:highlight w:val="none"/>
              </w:rPr>
            </w:pPr>
          </w:p>
        </w:tc>
        <w:tc>
          <w:tcPr>
            <w:tcW w:w="1293" w:type="dxa"/>
            <w:noWrap w:val="0"/>
            <w:vAlign w:val="top"/>
          </w:tcPr>
          <w:p w14:paraId="0289DA8A">
            <w:pPr>
              <w:pStyle w:val="23"/>
              <w:spacing w:line="400" w:lineRule="exact"/>
              <w:rPr>
                <w:rFonts w:ascii="仿宋" w:hAnsi="仿宋" w:eastAsia="仿宋" w:cs="仿宋"/>
                <w:sz w:val="24"/>
                <w:szCs w:val="24"/>
                <w:highlight w:val="none"/>
              </w:rPr>
            </w:pPr>
          </w:p>
        </w:tc>
      </w:tr>
      <w:tr w14:paraId="4C109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jc w:val="center"/>
        </w:trPr>
        <w:tc>
          <w:tcPr>
            <w:tcW w:w="468" w:type="dxa"/>
            <w:noWrap w:val="0"/>
            <w:vAlign w:val="top"/>
          </w:tcPr>
          <w:p w14:paraId="1E89D6B9">
            <w:pPr>
              <w:pStyle w:val="23"/>
              <w:spacing w:line="400" w:lineRule="exact"/>
              <w:rPr>
                <w:rFonts w:ascii="仿宋" w:hAnsi="仿宋" w:eastAsia="仿宋" w:cs="仿宋"/>
                <w:sz w:val="24"/>
                <w:szCs w:val="24"/>
                <w:highlight w:val="none"/>
              </w:rPr>
            </w:pPr>
          </w:p>
        </w:tc>
        <w:tc>
          <w:tcPr>
            <w:tcW w:w="1236" w:type="dxa"/>
            <w:noWrap w:val="0"/>
            <w:vAlign w:val="top"/>
          </w:tcPr>
          <w:p w14:paraId="68E65E5B">
            <w:pPr>
              <w:pStyle w:val="23"/>
              <w:spacing w:line="400" w:lineRule="exact"/>
              <w:rPr>
                <w:rFonts w:ascii="仿宋" w:hAnsi="仿宋" w:eastAsia="仿宋" w:cs="仿宋"/>
                <w:sz w:val="24"/>
                <w:szCs w:val="24"/>
                <w:highlight w:val="none"/>
              </w:rPr>
            </w:pPr>
          </w:p>
        </w:tc>
        <w:tc>
          <w:tcPr>
            <w:tcW w:w="2657" w:type="dxa"/>
            <w:noWrap w:val="0"/>
            <w:vAlign w:val="top"/>
          </w:tcPr>
          <w:p w14:paraId="32392FB0">
            <w:pPr>
              <w:pStyle w:val="23"/>
              <w:spacing w:line="400" w:lineRule="exact"/>
              <w:rPr>
                <w:rFonts w:ascii="仿宋" w:hAnsi="仿宋" w:eastAsia="仿宋" w:cs="仿宋"/>
                <w:sz w:val="24"/>
                <w:szCs w:val="24"/>
                <w:highlight w:val="none"/>
              </w:rPr>
            </w:pPr>
          </w:p>
        </w:tc>
        <w:tc>
          <w:tcPr>
            <w:tcW w:w="1417" w:type="dxa"/>
            <w:noWrap w:val="0"/>
            <w:vAlign w:val="top"/>
          </w:tcPr>
          <w:p w14:paraId="6EAA4430">
            <w:pPr>
              <w:pStyle w:val="23"/>
              <w:spacing w:line="400" w:lineRule="exact"/>
              <w:rPr>
                <w:rFonts w:ascii="仿宋" w:hAnsi="仿宋" w:eastAsia="仿宋" w:cs="仿宋"/>
                <w:sz w:val="24"/>
                <w:szCs w:val="24"/>
                <w:highlight w:val="none"/>
              </w:rPr>
            </w:pPr>
          </w:p>
        </w:tc>
        <w:tc>
          <w:tcPr>
            <w:tcW w:w="2694" w:type="dxa"/>
            <w:noWrap w:val="0"/>
            <w:vAlign w:val="top"/>
          </w:tcPr>
          <w:p w14:paraId="7851E872">
            <w:pPr>
              <w:pStyle w:val="23"/>
              <w:spacing w:line="400" w:lineRule="exact"/>
              <w:rPr>
                <w:rFonts w:ascii="仿宋" w:hAnsi="仿宋" w:eastAsia="仿宋" w:cs="仿宋"/>
                <w:sz w:val="24"/>
                <w:szCs w:val="24"/>
                <w:highlight w:val="none"/>
              </w:rPr>
            </w:pPr>
          </w:p>
        </w:tc>
        <w:tc>
          <w:tcPr>
            <w:tcW w:w="1293" w:type="dxa"/>
            <w:noWrap w:val="0"/>
            <w:vAlign w:val="top"/>
          </w:tcPr>
          <w:p w14:paraId="4D75E672">
            <w:pPr>
              <w:pStyle w:val="23"/>
              <w:spacing w:line="400" w:lineRule="exact"/>
              <w:rPr>
                <w:rFonts w:ascii="仿宋" w:hAnsi="仿宋" w:eastAsia="仿宋" w:cs="仿宋"/>
                <w:sz w:val="24"/>
                <w:szCs w:val="24"/>
                <w:highlight w:val="none"/>
              </w:rPr>
            </w:pPr>
          </w:p>
        </w:tc>
      </w:tr>
      <w:tr w14:paraId="2795A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jc w:val="center"/>
        </w:trPr>
        <w:tc>
          <w:tcPr>
            <w:tcW w:w="468" w:type="dxa"/>
            <w:noWrap w:val="0"/>
            <w:vAlign w:val="top"/>
          </w:tcPr>
          <w:p w14:paraId="3ABDCA7A">
            <w:pPr>
              <w:pStyle w:val="23"/>
              <w:spacing w:line="400" w:lineRule="exact"/>
              <w:rPr>
                <w:rFonts w:ascii="仿宋" w:hAnsi="仿宋" w:eastAsia="仿宋" w:cs="仿宋"/>
                <w:sz w:val="24"/>
                <w:szCs w:val="24"/>
                <w:highlight w:val="none"/>
              </w:rPr>
            </w:pPr>
          </w:p>
        </w:tc>
        <w:tc>
          <w:tcPr>
            <w:tcW w:w="1236" w:type="dxa"/>
            <w:noWrap w:val="0"/>
            <w:vAlign w:val="top"/>
          </w:tcPr>
          <w:p w14:paraId="22E9BE44">
            <w:pPr>
              <w:pStyle w:val="23"/>
              <w:spacing w:line="400" w:lineRule="exact"/>
              <w:rPr>
                <w:rFonts w:ascii="仿宋" w:hAnsi="仿宋" w:eastAsia="仿宋" w:cs="仿宋"/>
                <w:sz w:val="24"/>
                <w:szCs w:val="24"/>
                <w:highlight w:val="none"/>
              </w:rPr>
            </w:pPr>
          </w:p>
        </w:tc>
        <w:tc>
          <w:tcPr>
            <w:tcW w:w="2657" w:type="dxa"/>
            <w:noWrap w:val="0"/>
            <w:vAlign w:val="top"/>
          </w:tcPr>
          <w:p w14:paraId="69E1AD4E">
            <w:pPr>
              <w:pStyle w:val="23"/>
              <w:spacing w:line="400" w:lineRule="exact"/>
              <w:rPr>
                <w:rFonts w:ascii="仿宋" w:hAnsi="仿宋" w:eastAsia="仿宋" w:cs="仿宋"/>
                <w:sz w:val="24"/>
                <w:szCs w:val="24"/>
                <w:highlight w:val="none"/>
              </w:rPr>
            </w:pPr>
          </w:p>
        </w:tc>
        <w:tc>
          <w:tcPr>
            <w:tcW w:w="1417" w:type="dxa"/>
            <w:noWrap w:val="0"/>
            <w:vAlign w:val="top"/>
          </w:tcPr>
          <w:p w14:paraId="36A7D22B">
            <w:pPr>
              <w:pStyle w:val="23"/>
              <w:spacing w:line="400" w:lineRule="exact"/>
              <w:rPr>
                <w:rFonts w:ascii="仿宋" w:hAnsi="仿宋" w:eastAsia="仿宋" w:cs="仿宋"/>
                <w:sz w:val="24"/>
                <w:szCs w:val="24"/>
                <w:highlight w:val="none"/>
              </w:rPr>
            </w:pPr>
          </w:p>
        </w:tc>
        <w:tc>
          <w:tcPr>
            <w:tcW w:w="2694" w:type="dxa"/>
            <w:noWrap w:val="0"/>
            <w:vAlign w:val="top"/>
          </w:tcPr>
          <w:p w14:paraId="598C97F8">
            <w:pPr>
              <w:pStyle w:val="23"/>
              <w:spacing w:line="400" w:lineRule="exact"/>
              <w:rPr>
                <w:rFonts w:ascii="仿宋" w:hAnsi="仿宋" w:eastAsia="仿宋" w:cs="仿宋"/>
                <w:sz w:val="24"/>
                <w:szCs w:val="24"/>
                <w:highlight w:val="none"/>
              </w:rPr>
            </w:pPr>
          </w:p>
        </w:tc>
        <w:tc>
          <w:tcPr>
            <w:tcW w:w="1293" w:type="dxa"/>
            <w:noWrap w:val="0"/>
            <w:vAlign w:val="top"/>
          </w:tcPr>
          <w:p w14:paraId="29BE84DA">
            <w:pPr>
              <w:pStyle w:val="23"/>
              <w:spacing w:line="400" w:lineRule="exact"/>
              <w:rPr>
                <w:rFonts w:ascii="仿宋" w:hAnsi="仿宋" w:eastAsia="仿宋" w:cs="仿宋"/>
                <w:sz w:val="24"/>
                <w:szCs w:val="24"/>
                <w:highlight w:val="none"/>
              </w:rPr>
            </w:pPr>
          </w:p>
        </w:tc>
      </w:tr>
      <w:tr w14:paraId="6618A3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jc w:val="center"/>
        </w:trPr>
        <w:tc>
          <w:tcPr>
            <w:tcW w:w="468" w:type="dxa"/>
            <w:noWrap w:val="0"/>
            <w:vAlign w:val="top"/>
          </w:tcPr>
          <w:p w14:paraId="290AB6A1">
            <w:pPr>
              <w:pStyle w:val="23"/>
              <w:spacing w:line="400" w:lineRule="exact"/>
              <w:rPr>
                <w:rFonts w:ascii="仿宋" w:hAnsi="仿宋" w:eastAsia="仿宋" w:cs="仿宋"/>
                <w:sz w:val="24"/>
                <w:szCs w:val="24"/>
                <w:highlight w:val="none"/>
              </w:rPr>
            </w:pPr>
          </w:p>
        </w:tc>
        <w:tc>
          <w:tcPr>
            <w:tcW w:w="1236" w:type="dxa"/>
            <w:noWrap w:val="0"/>
            <w:vAlign w:val="top"/>
          </w:tcPr>
          <w:p w14:paraId="0F34637D">
            <w:pPr>
              <w:pStyle w:val="23"/>
              <w:spacing w:line="400" w:lineRule="exact"/>
              <w:rPr>
                <w:rFonts w:ascii="仿宋" w:hAnsi="仿宋" w:eastAsia="仿宋" w:cs="仿宋"/>
                <w:sz w:val="24"/>
                <w:szCs w:val="24"/>
                <w:highlight w:val="none"/>
              </w:rPr>
            </w:pPr>
          </w:p>
        </w:tc>
        <w:tc>
          <w:tcPr>
            <w:tcW w:w="2657" w:type="dxa"/>
            <w:noWrap w:val="0"/>
            <w:vAlign w:val="top"/>
          </w:tcPr>
          <w:p w14:paraId="11777CB1">
            <w:pPr>
              <w:pStyle w:val="23"/>
              <w:spacing w:line="400" w:lineRule="exact"/>
              <w:rPr>
                <w:rFonts w:ascii="仿宋" w:hAnsi="仿宋" w:eastAsia="仿宋" w:cs="仿宋"/>
                <w:sz w:val="24"/>
                <w:szCs w:val="24"/>
                <w:highlight w:val="none"/>
              </w:rPr>
            </w:pPr>
          </w:p>
        </w:tc>
        <w:tc>
          <w:tcPr>
            <w:tcW w:w="1417" w:type="dxa"/>
            <w:noWrap w:val="0"/>
            <w:vAlign w:val="top"/>
          </w:tcPr>
          <w:p w14:paraId="68BEAF37">
            <w:pPr>
              <w:pStyle w:val="23"/>
              <w:spacing w:line="400" w:lineRule="exact"/>
              <w:rPr>
                <w:rFonts w:ascii="仿宋" w:hAnsi="仿宋" w:eastAsia="仿宋" w:cs="仿宋"/>
                <w:sz w:val="24"/>
                <w:szCs w:val="24"/>
                <w:highlight w:val="none"/>
              </w:rPr>
            </w:pPr>
          </w:p>
        </w:tc>
        <w:tc>
          <w:tcPr>
            <w:tcW w:w="2694" w:type="dxa"/>
            <w:noWrap w:val="0"/>
            <w:vAlign w:val="top"/>
          </w:tcPr>
          <w:p w14:paraId="68A26A8B">
            <w:pPr>
              <w:pStyle w:val="23"/>
              <w:spacing w:line="400" w:lineRule="exact"/>
              <w:rPr>
                <w:rFonts w:ascii="仿宋" w:hAnsi="仿宋" w:eastAsia="仿宋" w:cs="仿宋"/>
                <w:sz w:val="24"/>
                <w:szCs w:val="24"/>
                <w:highlight w:val="none"/>
              </w:rPr>
            </w:pPr>
          </w:p>
        </w:tc>
        <w:tc>
          <w:tcPr>
            <w:tcW w:w="1293" w:type="dxa"/>
            <w:noWrap w:val="0"/>
            <w:vAlign w:val="top"/>
          </w:tcPr>
          <w:p w14:paraId="346EA9B2">
            <w:pPr>
              <w:pStyle w:val="23"/>
              <w:spacing w:line="400" w:lineRule="exact"/>
              <w:rPr>
                <w:rFonts w:ascii="仿宋" w:hAnsi="仿宋" w:eastAsia="仿宋" w:cs="仿宋"/>
                <w:sz w:val="24"/>
                <w:szCs w:val="24"/>
                <w:highlight w:val="none"/>
              </w:rPr>
            </w:pPr>
          </w:p>
        </w:tc>
      </w:tr>
      <w:tr w14:paraId="6196DE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jc w:val="center"/>
        </w:trPr>
        <w:tc>
          <w:tcPr>
            <w:tcW w:w="468" w:type="dxa"/>
            <w:noWrap w:val="0"/>
            <w:vAlign w:val="top"/>
          </w:tcPr>
          <w:p w14:paraId="4728949D">
            <w:pPr>
              <w:pStyle w:val="23"/>
              <w:spacing w:line="400" w:lineRule="exact"/>
              <w:rPr>
                <w:rFonts w:ascii="仿宋" w:hAnsi="仿宋" w:eastAsia="仿宋" w:cs="仿宋"/>
                <w:sz w:val="24"/>
                <w:szCs w:val="24"/>
                <w:highlight w:val="none"/>
              </w:rPr>
            </w:pPr>
          </w:p>
        </w:tc>
        <w:tc>
          <w:tcPr>
            <w:tcW w:w="1236" w:type="dxa"/>
            <w:noWrap w:val="0"/>
            <w:vAlign w:val="top"/>
          </w:tcPr>
          <w:p w14:paraId="195C47C7">
            <w:pPr>
              <w:pStyle w:val="23"/>
              <w:spacing w:line="400" w:lineRule="exact"/>
              <w:rPr>
                <w:rFonts w:ascii="仿宋" w:hAnsi="仿宋" w:eastAsia="仿宋" w:cs="仿宋"/>
                <w:sz w:val="24"/>
                <w:szCs w:val="24"/>
                <w:highlight w:val="none"/>
              </w:rPr>
            </w:pPr>
          </w:p>
        </w:tc>
        <w:tc>
          <w:tcPr>
            <w:tcW w:w="2657" w:type="dxa"/>
            <w:noWrap w:val="0"/>
            <w:vAlign w:val="top"/>
          </w:tcPr>
          <w:p w14:paraId="5BDC8F3D">
            <w:pPr>
              <w:pStyle w:val="23"/>
              <w:spacing w:line="400" w:lineRule="exact"/>
              <w:rPr>
                <w:rFonts w:ascii="仿宋" w:hAnsi="仿宋" w:eastAsia="仿宋" w:cs="仿宋"/>
                <w:sz w:val="24"/>
                <w:szCs w:val="24"/>
                <w:highlight w:val="none"/>
              </w:rPr>
            </w:pPr>
          </w:p>
        </w:tc>
        <w:tc>
          <w:tcPr>
            <w:tcW w:w="1417" w:type="dxa"/>
            <w:noWrap w:val="0"/>
            <w:vAlign w:val="top"/>
          </w:tcPr>
          <w:p w14:paraId="49F6BCCF">
            <w:pPr>
              <w:pStyle w:val="23"/>
              <w:spacing w:line="400" w:lineRule="exact"/>
              <w:rPr>
                <w:rFonts w:ascii="仿宋" w:hAnsi="仿宋" w:eastAsia="仿宋" w:cs="仿宋"/>
                <w:sz w:val="24"/>
                <w:szCs w:val="24"/>
                <w:highlight w:val="none"/>
              </w:rPr>
            </w:pPr>
          </w:p>
        </w:tc>
        <w:tc>
          <w:tcPr>
            <w:tcW w:w="2694" w:type="dxa"/>
            <w:noWrap w:val="0"/>
            <w:vAlign w:val="top"/>
          </w:tcPr>
          <w:p w14:paraId="092AD5ED">
            <w:pPr>
              <w:pStyle w:val="23"/>
              <w:spacing w:line="400" w:lineRule="exact"/>
              <w:rPr>
                <w:rFonts w:ascii="仿宋" w:hAnsi="仿宋" w:eastAsia="仿宋" w:cs="仿宋"/>
                <w:sz w:val="24"/>
                <w:szCs w:val="24"/>
                <w:highlight w:val="none"/>
              </w:rPr>
            </w:pPr>
          </w:p>
        </w:tc>
        <w:tc>
          <w:tcPr>
            <w:tcW w:w="1293" w:type="dxa"/>
            <w:noWrap w:val="0"/>
            <w:vAlign w:val="top"/>
          </w:tcPr>
          <w:p w14:paraId="406BB7F6">
            <w:pPr>
              <w:pStyle w:val="23"/>
              <w:spacing w:line="400" w:lineRule="exact"/>
              <w:rPr>
                <w:rFonts w:ascii="仿宋" w:hAnsi="仿宋" w:eastAsia="仿宋" w:cs="仿宋"/>
                <w:sz w:val="24"/>
                <w:szCs w:val="24"/>
                <w:highlight w:val="none"/>
              </w:rPr>
            </w:pPr>
          </w:p>
        </w:tc>
      </w:tr>
      <w:tr w14:paraId="19A75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jc w:val="center"/>
        </w:trPr>
        <w:tc>
          <w:tcPr>
            <w:tcW w:w="468" w:type="dxa"/>
            <w:noWrap w:val="0"/>
            <w:vAlign w:val="top"/>
          </w:tcPr>
          <w:p w14:paraId="3C459FD7">
            <w:pPr>
              <w:pStyle w:val="23"/>
              <w:spacing w:line="400" w:lineRule="exact"/>
              <w:rPr>
                <w:rFonts w:ascii="仿宋" w:hAnsi="仿宋" w:eastAsia="仿宋" w:cs="仿宋"/>
                <w:sz w:val="24"/>
                <w:szCs w:val="24"/>
                <w:highlight w:val="none"/>
              </w:rPr>
            </w:pPr>
          </w:p>
        </w:tc>
        <w:tc>
          <w:tcPr>
            <w:tcW w:w="1236" w:type="dxa"/>
            <w:noWrap w:val="0"/>
            <w:vAlign w:val="top"/>
          </w:tcPr>
          <w:p w14:paraId="76CEF0E4">
            <w:pPr>
              <w:pStyle w:val="23"/>
              <w:spacing w:line="400" w:lineRule="exact"/>
              <w:rPr>
                <w:rFonts w:ascii="仿宋" w:hAnsi="仿宋" w:eastAsia="仿宋" w:cs="仿宋"/>
                <w:sz w:val="24"/>
                <w:szCs w:val="24"/>
                <w:highlight w:val="none"/>
              </w:rPr>
            </w:pPr>
          </w:p>
        </w:tc>
        <w:tc>
          <w:tcPr>
            <w:tcW w:w="2657" w:type="dxa"/>
            <w:noWrap w:val="0"/>
            <w:vAlign w:val="top"/>
          </w:tcPr>
          <w:p w14:paraId="7B8859D4">
            <w:pPr>
              <w:pStyle w:val="23"/>
              <w:spacing w:line="400" w:lineRule="exact"/>
              <w:rPr>
                <w:rFonts w:ascii="仿宋" w:hAnsi="仿宋" w:eastAsia="仿宋" w:cs="仿宋"/>
                <w:sz w:val="24"/>
                <w:szCs w:val="24"/>
                <w:highlight w:val="none"/>
              </w:rPr>
            </w:pPr>
          </w:p>
        </w:tc>
        <w:tc>
          <w:tcPr>
            <w:tcW w:w="1417" w:type="dxa"/>
            <w:noWrap w:val="0"/>
            <w:vAlign w:val="top"/>
          </w:tcPr>
          <w:p w14:paraId="73EE234C">
            <w:pPr>
              <w:pStyle w:val="23"/>
              <w:spacing w:line="400" w:lineRule="exact"/>
              <w:rPr>
                <w:rFonts w:ascii="仿宋" w:hAnsi="仿宋" w:eastAsia="仿宋" w:cs="仿宋"/>
                <w:sz w:val="24"/>
                <w:szCs w:val="24"/>
                <w:highlight w:val="none"/>
              </w:rPr>
            </w:pPr>
          </w:p>
        </w:tc>
        <w:tc>
          <w:tcPr>
            <w:tcW w:w="2694" w:type="dxa"/>
            <w:noWrap w:val="0"/>
            <w:vAlign w:val="top"/>
          </w:tcPr>
          <w:p w14:paraId="1E348BE8">
            <w:pPr>
              <w:pStyle w:val="23"/>
              <w:spacing w:line="400" w:lineRule="exact"/>
              <w:rPr>
                <w:rFonts w:ascii="仿宋" w:hAnsi="仿宋" w:eastAsia="仿宋" w:cs="仿宋"/>
                <w:sz w:val="24"/>
                <w:szCs w:val="24"/>
                <w:highlight w:val="none"/>
              </w:rPr>
            </w:pPr>
          </w:p>
        </w:tc>
        <w:tc>
          <w:tcPr>
            <w:tcW w:w="1293" w:type="dxa"/>
            <w:noWrap w:val="0"/>
            <w:vAlign w:val="top"/>
          </w:tcPr>
          <w:p w14:paraId="55E4E77B">
            <w:pPr>
              <w:pStyle w:val="23"/>
              <w:spacing w:line="400" w:lineRule="exact"/>
              <w:rPr>
                <w:rFonts w:ascii="仿宋" w:hAnsi="仿宋" w:eastAsia="仿宋" w:cs="仿宋"/>
                <w:sz w:val="24"/>
                <w:szCs w:val="24"/>
                <w:highlight w:val="none"/>
              </w:rPr>
            </w:pPr>
          </w:p>
        </w:tc>
      </w:tr>
      <w:tr w14:paraId="5D330D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4" w:hRule="atLeast"/>
          <w:jc w:val="center"/>
        </w:trPr>
        <w:tc>
          <w:tcPr>
            <w:tcW w:w="468" w:type="dxa"/>
            <w:noWrap w:val="0"/>
            <w:vAlign w:val="top"/>
          </w:tcPr>
          <w:p w14:paraId="3619D3A8">
            <w:pPr>
              <w:pStyle w:val="23"/>
              <w:spacing w:line="400" w:lineRule="exact"/>
              <w:rPr>
                <w:rFonts w:ascii="仿宋" w:hAnsi="仿宋" w:eastAsia="仿宋" w:cs="仿宋"/>
                <w:sz w:val="24"/>
                <w:szCs w:val="24"/>
                <w:highlight w:val="none"/>
              </w:rPr>
            </w:pPr>
          </w:p>
        </w:tc>
        <w:tc>
          <w:tcPr>
            <w:tcW w:w="1236" w:type="dxa"/>
            <w:noWrap w:val="0"/>
            <w:vAlign w:val="top"/>
          </w:tcPr>
          <w:p w14:paraId="5D605B9B">
            <w:pPr>
              <w:pStyle w:val="23"/>
              <w:spacing w:line="400" w:lineRule="exact"/>
              <w:rPr>
                <w:rFonts w:ascii="仿宋" w:hAnsi="仿宋" w:eastAsia="仿宋" w:cs="仿宋"/>
                <w:sz w:val="24"/>
                <w:szCs w:val="24"/>
                <w:highlight w:val="none"/>
              </w:rPr>
            </w:pPr>
          </w:p>
        </w:tc>
        <w:tc>
          <w:tcPr>
            <w:tcW w:w="2657" w:type="dxa"/>
            <w:noWrap w:val="0"/>
            <w:vAlign w:val="top"/>
          </w:tcPr>
          <w:p w14:paraId="0BA4CB87">
            <w:pPr>
              <w:pStyle w:val="23"/>
              <w:spacing w:line="400" w:lineRule="exact"/>
              <w:rPr>
                <w:rFonts w:ascii="仿宋" w:hAnsi="仿宋" w:eastAsia="仿宋" w:cs="仿宋"/>
                <w:sz w:val="24"/>
                <w:szCs w:val="24"/>
                <w:highlight w:val="none"/>
              </w:rPr>
            </w:pPr>
          </w:p>
        </w:tc>
        <w:tc>
          <w:tcPr>
            <w:tcW w:w="1417" w:type="dxa"/>
            <w:noWrap w:val="0"/>
            <w:vAlign w:val="top"/>
          </w:tcPr>
          <w:p w14:paraId="7B8E0DBF">
            <w:pPr>
              <w:pStyle w:val="23"/>
              <w:spacing w:line="400" w:lineRule="exact"/>
              <w:rPr>
                <w:rFonts w:ascii="仿宋" w:hAnsi="仿宋" w:eastAsia="仿宋" w:cs="仿宋"/>
                <w:sz w:val="24"/>
                <w:szCs w:val="24"/>
                <w:highlight w:val="none"/>
              </w:rPr>
            </w:pPr>
          </w:p>
        </w:tc>
        <w:tc>
          <w:tcPr>
            <w:tcW w:w="2694" w:type="dxa"/>
            <w:noWrap w:val="0"/>
            <w:vAlign w:val="top"/>
          </w:tcPr>
          <w:p w14:paraId="000DE55A">
            <w:pPr>
              <w:pStyle w:val="23"/>
              <w:spacing w:line="400" w:lineRule="exact"/>
              <w:rPr>
                <w:rFonts w:ascii="仿宋" w:hAnsi="仿宋" w:eastAsia="仿宋" w:cs="仿宋"/>
                <w:sz w:val="24"/>
                <w:szCs w:val="24"/>
                <w:highlight w:val="none"/>
              </w:rPr>
            </w:pPr>
          </w:p>
        </w:tc>
        <w:tc>
          <w:tcPr>
            <w:tcW w:w="1293" w:type="dxa"/>
            <w:noWrap w:val="0"/>
            <w:vAlign w:val="top"/>
          </w:tcPr>
          <w:p w14:paraId="7986893A">
            <w:pPr>
              <w:pStyle w:val="23"/>
              <w:spacing w:line="400" w:lineRule="exact"/>
              <w:rPr>
                <w:rFonts w:ascii="仿宋" w:hAnsi="仿宋" w:eastAsia="仿宋" w:cs="仿宋"/>
                <w:sz w:val="24"/>
                <w:szCs w:val="24"/>
                <w:highlight w:val="none"/>
              </w:rPr>
            </w:pPr>
          </w:p>
        </w:tc>
      </w:tr>
      <w:tr w14:paraId="256DF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3" w:hRule="atLeast"/>
          <w:jc w:val="center"/>
        </w:trPr>
        <w:tc>
          <w:tcPr>
            <w:tcW w:w="468" w:type="dxa"/>
            <w:noWrap w:val="0"/>
            <w:vAlign w:val="top"/>
          </w:tcPr>
          <w:p w14:paraId="129B5564">
            <w:pPr>
              <w:pStyle w:val="23"/>
              <w:spacing w:line="400" w:lineRule="exact"/>
              <w:rPr>
                <w:rFonts w:ascii="仿宋" w:hAnsi="仿宋" w:eastAsia="仿宋" w:cs="仿宋"/>
                <w:sz w:val="24"/>
                <w:szCs w:val="24"/>
                <w:highlight w:val="none"/>
              </w:rPr>
            </w:pPr>
          </w:p>
        </w:tc>
        <w:tc>
          <w:tcPr>
            <w:tcW w:w="1236" w:type="dxa"/>
            <w:noWrap w:val="0"/>
            <w:vAlign w:val="top"/>
          </w:tcPr>
          <w:p w14:paraId="57CA11B6">
            <w:pPr>
              <w:pStyle w:val="23"/>
              <w:spacing w:line="400" w:lineRule="exact"/>
              <w:rPr>
                <w:rFonts w:ascii="仿宋" w:hAnsi="仿宋" w:eastAsia="仿宋" w:cs="仿宋"/>
                <w:sz w:val="24"/>
                <w:szCs w:val="24"/>
                <w:highlight w:val="none"/>
              </w:rPr>
            </w:pPr>
          </w:p>
        </w:tc>
        <w:tc>
          <w:tcPr>
            <w:tcW w:w="2657" w:type="dxa"/>
            <w:noWrap w:val="0"/>
            <w:vAlign w:val="top"/>
          </w:tcPr>
          <w:p w14:paraId="5596A2C2">
            <w:pPr>
              <w:pStyle w:val="23"/>
              <w:spacing w:line="400" w:lineRule="exact"/>
              <w:rPr>
                <w:rFonts w:ascii="仿宋" w:hAnsi="仿宋" w:eastAsia="仿宋" w:cs="仿宋"/>
                <w:sz w:val="24"/>
                <w:szCs w:val="24"/>
                <w:highlight w:val="none"/>
              </w:rPr>
            </w:pPr>
          </w:p>
        </w:tc>
        <w:tc>
          <w:tcPr>
            <w:tcW w:w="1417" w:type="dxa"/>
            <w:noWrap w:val="0"/>
            <w:vAlign w:val="top"/>
          </w:tcPr>
          <w:p w14:paraId="5771CE85">
            <w:pPr>
              <w:pStyle w:val="23"/>
              <w:spacing w:line="400" w:lineRule="exact"/>
              <w:rPr>
                <w:rFonts w:ascii="仿宋" w:hAnsi="仿宋" w:eastAsia="仿宋" w:cs="仿宋"/>
                <w:sz w:val="24"/>
                <w:szCs w:val="24"/>
                <w:highlight w:val="none"/>
              </w:rPr>
            </w:pPr>
          </w:p>
        </w:tc>
        <w:tc>
          <w:tcPr>
            <w:tcW w:w="2694" w:type="dxa"/>
            <w:noWrap w:val="0"/>
            <w:vAlign w:val="top"/>
          </w:tcPr>
          <w:p w14:paraId="4CDEBEDE">
            <w:pPr>
              <w:pStyle w:val="23"/>
              <w:spacing w:line="400" w:lineRule="exact"/>
              <w:rPr>
                <w:rFonts w:ascii="仿宋" w:hAnsi="仿宋" w:eastAsia="仿宋" w:cs="仿宋"/>
                <w:sz w:val="24"/>
                <w:szCs w:val="24"/>
                <w:highlight w:val="none"/>
              </w:rPr>
            </w:pPr>
          </w:p>
        </w:tc>
        <w:tc>
          <w:tcPr>
            <w:tcW w:w="1293" w:type="dxa"/>
            <w:noWrap w:val="0"/>
            <w:vAlign w:val="top"/>
          </w:tcPr>
          <w:p w14:paraId="698BE0F1">
            <w:pPr>
              <w:pStyle w:val="23"/>
              <w:spacing w:line="400" w:lineRule="exact"/>
              <w:rPr>
                <w:rFonts w:ascii="仿宋" w:hAnsi="仿宋" w:eastAsia="仿宋" w:cs="仿宋"/>
                <w:sz w:val="24"/>
                <w:szCs w:val="24"/>
                <w:highlight w:val="none"/>
              </w:rPr>
            </w:pPr>
          </w:p>
        </w:tc>
      </w:tr>
    </w:tbl>
    <w:p w14:paraId="3E17ED61">
      <w:pPr>
        <w:pStyle w:val="23"/>
        <w:spacing w:line="400" w:lineRule="exact"/>
        <w:rPr>
          <w:rFonts w:ascii="仿宋" w:hAnsi="仿宋" w:eastAsia="仿宋" w:cs="仿宋"/>
          <w:b/>
          <w:bCs/>
          <w:sz w:val="24"/>
          <w:szCs w:val="24"/>
          <w:highlight w:val="none"/>
        </w:rPr>
      </w:pPr>
      <w:r>
        <w:rPr>
          <w:rFonts w:hint="eastAsia" w:ascii="仿宋" w:hAnsi="仿宋" w:eastAsia="仿宋" w:cs="仿宋"/>
          <w:b/>
          <w:bCs/>
          <w:sz w:val="24"/>
          <w:szCs w:val="24"/>
          <w:highlight w:val="none"/>
        </w:rPr>
        <w:t>注：无偏离可填写“无”字，有偏离必须在本表列明，实际存在负偏离而在本表内没有列明的，视为虚假投标。</w:t>
      </w:r>
    </w:p>
    <w:p w14:paraId="5BF60C1E">
      <w:pPr>
        <w:spacing w:line="360" w:lineRule="exact"/>
        <w:ind w:firstLine="4200" w:firstLineChars="1750"/>
        <w:rPr>
          <w:rFonts w:ascii="仿宋" w:hAnsi="仿宋" w:eastAsia="仿宋" w:cs="仿宋"/>
          <w:sz w:val="24"/>
          <w:szCs w:val="24"/>
          <w:highlight w:val="none"/>
        </w:rPr>
      </w:pPr>
    </w:p>
    <w:p w14:paraId="5B8F1FD6">
      <w:pPr>
        <w:spacing w:line="360" w:lineRule="exact"/>
        <w:ind w:firstLine="4200" w:firstLineChars="1750"/>
        <w:rPr>
          <w:rFonts w:ascii="仿宋" w:hAnsi="仿宋" w:eastAsia="仿宋" w:cs="仿宋"/>
          <w:sz w:val="24"/>
          <w:szCs w:val="24"/>
          <w:highlight w:val="none"/>
        </w:rPr>
      </w:pPr>
    </w:p>
    <w:p w14:paraId="43C95BC4">
      <w:pPr>
        <w:spacing w:line="360" w:lineRule="exact"/>
        <w:ind w:firstLine="4200" w:firstLineChars="1750"/>
        <w:rPr>
          <w:rFonts w:ascii="仿宋" w:hAnsi="仿宋" w:eastAsia="仿宋" w:cs="仿宋"/>
          <w:sz w:val="24"/>
          <w:szCs w:val="24"/>
          <w:highlight w:val="none"/>
        </w:rPr>
      </w:pPr>
    </w:p>
    <w:p w14:paraId="5D83D473">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投标单位：（盖章）</w:t>
      </w:r>
    </w:p>
    <w:p w14:paraId="6CA0DD92">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法定代表人</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负责人</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 xml:space="preserve">或委托代理人：      </w:t>
      </w:r>
      <w:r>
        <w:rPr>
          <w:rFonts w:hint="eastAsia" w:ascii="仿宋" w:hAnsi="仿宋" w:eastAsia="仿宋" w:cs="仿宋"/>
          <w:sz w:val="24"/>
          <w:szCs w:val="24"/>
          <w:highlight w:val="none"/>
          <w:lang w:val="zh-CN"/>
        </w:rPr>
        <w:t>（签字或盖章）</w:t>
      </w:r>
    </w:p>
    <w:p w14:paraId="0CFE8B13">
      <w:pPr>
        <w:snapToGrid w:val="0"/>
        <w:spacing w:line="360" w:lineRule="auto"/>
        <w:ind w:firstLine="240" w:firstLineChars="100"/>
        <w:rPr>
          <w:rFonts w:ascii="仿宋" w:hAnsi="仿宋" w:eastAsia="仿宋" w:cs="仿宋"/>
          <w:b/>
          <w:bCs/>
          <w:sz w:val="24"/>
          <w:szCs w:val="24"/>
          <w:highlight w:val="none"/>
        </w:rPr>
      </w:pPr>
      <w:r>
        <w:rPr>
          <w:rFonts w:hint="eastAsia" w:ascii="仿宋" w:hAnsi="仿宋" w:eastAsia="仿宋" w:cs="仿宋"/>
          <w:sz w:val="24"/>
          <w:szCs w:val="24"/>
          <w:highlight w:val="none"/>
        </w:rPr>
        <w:t>日期：</w:t>
      </w:r>
    </w:p>
    <w:p w14:paraId="38A9B912">
      <w:pPr>
        <w:spacing w:line="460" w:lineRule="exact"/>
        <w:jc w:val="center"/>
        <w:rPr>
          <w:rFonts w:hint="eastAsia" w:ascii="仿宋" w:hAnsi="仿宋" w:eastAsia="仿宋" w:cs="仿宋"/>
          <w:b/>
          <w:kern w:val="0"/>
          <w:sz w:val="36"/>
          <w:szCs w:val="36"/>
          <w:highlight w:val="none"/>
        </w:rPr>
      </w:pPr>
    </w:p>
    <w:p w14:paraId="79EB04CF">
      <w:pPr>
        <w:spacing w:line="460" w:lineRule="exact"/>
        <w:jc w:val="center"/>
        <w:rPr>
          <w:rFonts w:hint="eastAsia" w:ascii="仿宋" w:hAnsi="仿宋" w:eastAsia="仿宋" w:cs="仿宋"/>
          <w:b/>
          <w:kern w:val="0"/>
          <w:sz w:val="36"/>
          <w:szCs w:val="36"/>
          <w:highlight w:val="none"/>
        </w:rPr>
      </w:pPr>
    </w:p>
    <w:p w14:paraId="26E479E3">
      <w:pPr>
        <w:spacing w:line="460" w:lineRule="exact"/>
        <w:jc w:val="center"/>
        <w:rPr>
          <w:rFonts w:hint="eastAsia" w:ascii="仿宋" w:hAnsi="仿宋" w:eastAsia="仿宋" w:cs="仿宋"/>
          <w:b/>
          <w:kern w:val="0"/>
          <w:sz w:val="36"/>
          <w:szCs w:val="36"/>
          <w:highlight w:val="none"/>
        </w:rPr>
      </w:pPr>
    </w:p>
    <w:p w14:paraId="2E76714E">
      <w:pPr>
        <w:snapToGrid w:val="0"/>
        <w:spacing w:line="360" w:lineRule="auto"/>
        <w:jc w:val="center"/>
        <w:rPr>
          <w:rFonts w:ascii="仿宋" w:hAnsi="仿宋" w:eastAsia="仿宋" w:cs="仿宋"/>
          <w:b/>
          <w:bCs/>
          <w:sz w:val="30"/>
          <w:szCs w:val="30"/>
          <w:highlight w:val="none"/>
        </w:rPr>
      </w:pPr>
      <w:r>
        <w:rPr>
          <w:rFonts w:hint="eastAsia" w:ascii="仿宋" w:hAnsi="仿宋" w:eastAsia="仿宋" w:cs="仿宋"/>
          <w:b/>
          <w:sz w:val="36"/>
          <w:szCs w:val="36"/>
          <w:highlight w:val="none"/>
          <w:lang w:val="zh-CN"/>
        </w:rPr>
        <w:br w:type="page"/>
      </w:r>
      <w:r>
        <w:rPr>
          <w:rFonts w:hint="eastAsia" w:ascii="仿宋" w:hAnsi="仿宋" w:eastAsia="仿宋" w:cs="仿宋"/>
          <w:b/>
          <w:sz w:val="30"/>
          <w:szCs w:val="30"/>
          <w:highlight w:val="none"/>
          <w:lang w:val="zh-CN"/>
        </w:rPr>
        <w:t>技术性文件</w:t>
      </w:r>
    </w:p>
    <w:bookmarkEnd w:id="15"/>
    <w:p w14:paraId="6A529AA1">
      <w:pPr>
        <w:pStyle w:val="23"/>
        <w:wordWrap w:val="0"/>
        <w:spacing w:line="360" w:lineRule="auto"/>
        <w:rPr>
          <w:rFonts w:hint="eastAsia" w:ascii="仿宋" w:hAnsi="仿宋" w:eastAsia="仿宋" w:cs="仿宋"/>
          <w:sz w:val="24"/>
          <w:szCs w:val="24"/>
          <w:highlight w:val="none"/>
        </w:rPr>
      </w:pPr>
      <w:bookmarkStart w:id="20" w:name="_Toc13194"/>
      <w:r>
        <w:rPr>
          <w:rFonts w:hint="eastAsia" w:ascii="仿宋" w:hAnsi="仿宋" w:eastAsia="仿宋" w:cs="仿宋"/>
          <w:sz w:val="24"/>
          <w:szCs w:val="24"/>
          <w:highlight w:val="none"/>
        </w:rPr>
        <w:t>包括但不限于以下内容：</w:t>
      </w:r>
    </w:p>
    <w:p w14:paraId="37A5FB4F">
      <w:pPr>
        <w:pStyle w:val="23"/>
        <w:wordWrap w:val="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1、油品来源及质量保证措施</w:t>
      </w:r>
    </w:p>
    <w:p w14:paraId="26E00845">
      <w:pPr>
        <w:pStyle w:val="23"/>
        <w:wordWrap w:val="0"/>
        <w:spacing w:line="360" w:lineRule="auto"/>
        <w:rPr>
          <w:rFonts w:hint="eastAsia" w:ascii="仿宋" w:hAnsi="仿宋" w:eastAsia="仿宋" w:cs="仿宋"/>
          <w:sz w:val="24"/>
          <w:szCs w:val="24"/>
          <w:highlight w:val="none"/>
          <w:lang w:eastAsia="zh-CN"/>
        </w:rPr>
        <w:sectPr>
          <w:pgSz w:w="11906" w:h="16838"/>
          <w:pgMar w:top="1440" w:right="1800" w:bottom="1440" w:left="1800" w:header="851" w:footer="992" w:gutter="0"/>
          <w:pgBorders>
            <w:top w:val="none" w:sz="0" w:space="0"/>
            <w:left w:val="none" w:sz="0" w:space="0"/>
            <w:bottom w:val="none" w:sz="0" w:space="0"/>
            <w:right w:val="none" w:sz="0" w:space="0"/>
          </w:pgBorders>
          <w:cols w:space="720" w:num="1"/>
          <w:titlePg/>
          <w:docGrid w:linePitch="319" w:charSpace="0"/>
        </w:sectPr>
      </w:pPr>
    </w:p>
    <w:p w14:paraId="4752CAD1">
      <w:pPr>
        <w:pStyle w:val="23"/>
        <w:numPr>
          <w:ilvl w:val="0"/>
          <w:numId w:val="2"/>
        </w:numPr>
        <w:wordWrap w:val="0"/>
        <w:spacing w:line="360" w:lineRule="auto"/>
        <w:ind w:left="0" w:leftChars="0" w:firstLine="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加油网点布局情况、位置及规模</w:t>
      </w:r>
      <w:r>
        <w:rPr>
          <w:rFonts w:hint="eastAsia" w:ascii="仿宋" w:hAnsi="仿宋" w:eastAsia="仿宋" w:cs="仿宋"/>
          <w:sz w:val="24"/>
          <w:szCs w:val="24"/>
          <w:highlight w:val="none"/>
          <w:lang w:val="en-US" w:eastAsia="zh-CN"/>
        </w:rPr>
        <w:br w:type="textWrapping"/>
      </w:r>
      <w:r>
        <w:rPr>
          <w:rFonts w:hint="eastAsia" w:ascii="仿宋" w:hAnsi="仿宋" w:eastAsia="仿宋" w:cs="仿宋"/>
          <w:sz w:val="24"/>
          <w:szCs w:val="24"/>
          <w:highlight w:val="none"/>
          <w:lang w:val="en-US" w:eastAsia="zh-CN"/>
        </w:rPr>
        <w:t>至少应包含以下</w:t>
      </w:r>
      <w:r>
        <w:rPr>
          <w:rFonts w:hint="eastAsia" w:ascii="仿宋" w:hAnsi="仿宋" w:eastAsia="仿宋" w:cs="仿宋"/>
          <w:color w:val="000000"/>
          <w:kern w:val="0"/>
          <w:sz w:val="24"/>
          <w:szCs w:val="24"/>
          <w:highlight w:val="none"/>
        </w:rPr>
        <w:t>加油站基本状况表</w:t>
      </w:r>
      <w:r>
        <w:rPr>
          <w:rFonts w:hint="eastAsia" w:ascii="仿宋" w:hAnsi="仿宋" w:eastAsia="仿宋" w:cs="仿宋"/>
          <w:color w:val="000000"/>
          <w:kern w:val="0"/>
          <w:sz w:val="24"/>
          <w:szCs w:val="24"/>
          <w:highlight w:val="none"/>
          <w:lang w:val="en-US" w:eastAsia="zh-CN"/>
        </w:rPr>
        <w:t>格内容，其它文件部分自行编制：</w:t>
      </w:r>
    </w:p>
    <w:p w14:paraId="1B24A0E0">
      <w:pPr>
        <w:pStyle w:val="23"/>
        <w:wordWrap w:val="0"/>
        <w:spacing w:line="360" w:lineRule="auto"/>
        <w:ind w:firstLine="480" w:firstLineChars="20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标包二：</w:t>
      </w:r>
      <w:r>
        <w:rPr>
          <w:rFonts w:hint="eastAsia" w:ascii="仿宋" w:hAnsi="仿宋" w:eastAsia="仿宋" w:cs="仿宋"/>
          <w:color w:val="000000"/>
          <w:kern w:val="0"/>
          <w:sz w:val="24"/>
          <w:szCs w:val="24"/>
          <w:highlight w:val="none"/>
        </w:rPr>
        <w:t>加油站基本状况表</w:t>
      </w:r>
    </w:p>
    <w:tbl>
      <w:tblPr>
        <w:tblStyle w:val="41"/>
        <w:tblW w:w="139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70"/>
        <w:gridCol w:w="1825"/>
        <w:gridCol w:w="1301"/>
        <w:gridCol w:w="2654"/>
        <w:gridCol w:w="765"/>
        <w:gridCol w:w="1931"/>
        <w:gridCol w:w="2034"/>
        <w:gridCol w:w="2276"/>
      </w:tblGrid>
      <w:tr w14:paraId="709947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41" w:hRule="atLeast"/>
          <w:jc w:val="center"/>
        </w:trPr>
        <w:tc>
          <w:tcPr>
            <w:tcW w:w="1170" w:type="dxa"/>
            <w:tcBorders>
              <w:top w:val="single" w:color="000000" w:sz="4" w:space="0"/>
              <w:left w:val="single" w:color="000000" w:sz="4" w:space="0"/>
              <w:bottom w:val="single" w:color="000000" w:sz="4" w:space="0"/>
              <w:right w:val="single" w:color="000000" w:sz="4" w:space="0"/>
            </w:tcBorders>
            <w:noWrap w:val="0"/>
            <w:vAlign w:val="center"/>
          </w:tcPr>
          <w:p w14:paraId="301470D7">
            <w:pPr>
              <w:pStyle w:val="89"/>
              <w:keepNext w:val="0"/>
              <w:keepLines w:val="0"/>
              <w:pageBreakBefore w:val="0"/>
              <w:widowControl w:val="0"/>
              <w:kinsoku/>
              <w:wordWrap/>
              <w:overflowPunct/>
              <w:topLinePunct w:val="0"/>
              <w:autoSpaceDE/>
              <w:autoSpaceDN/>
              <w:bidi w:val="0"/>
              <w:adjustRightInd/>
              <w:snapToGrid/>
              <w:spacing w:line="391" w:lineRule="exact"/>
              <w:ind w:left="0"/>
              <w:jc w:val="center"/>
              <w:textAlignment w:val="auto"/>
              <w:rPr>
                <w:rFonts w:hint="eastAsia" w:ascii="仿宋" w:hAnsi="仿宋" w:eastAsia="仿宋" w:cs="仿宋"/>
                <w:sz w:val="24"/>
                <w:szCs w:val="24"/>
                <w:highlight w:val="none"/>
                <w:lang w:val="en-US" w:bidi="ar-SA"/>
              </w:rPr>
            </w:pPr>
            <w:r>
              <w:rPr>
                <w:rFonts w:hint="eastAsia" w:ascii="仿宋" w:hAnsi="仿宋" w:eastAsia="仿宋" w:cs="仿宋"/>
                <w:sz w:val="24"/>
                <w:szCs w:val="24"/>
                <w:highlight w:val="none"/>
                <w:lang w:val="en-US" w:bidi="ar-SA"/>
              </w:rPr>
              <w:t>序号</w:t>
            </w:r>
          </w:p>
        </w:tc>
        <w:tc>
          <w:tcPr>
            <w:tcW w:w="1825" w:type="dxa"/>
            <w:tcBorders>
              <w:top w:val="single" w:color="000000" w:sz="4" w:space="0"/>
              <w:left w:val="single" w:color="000000" w:sz="4" w:space="0"/>
              <w:bottom w:val="single" w:color="000000" w:sz="4" w:space="0"/>
              <w:right w:val="single" w:color="000000" w:sz="4" w:space="0"/>
            </w:tcBorders>
            <w:noWrap w:val="0"/>
            <w:vAlign w:val="center"/>
          </w:tcPr>
          <w:p w14:paraId="0D8C60F2">
            <w:pPr>
              <w:pStyle w:val="89"/>
              <w:keepNext w:val="0"/>
              <w:keepLines w:val="0"/>
              <w:pageBreakBefore w:val="0"/>
              <w:widowControl w:val="0"/>
              <w:kinsoku/>
              <w:wordWrap/>
              <w:overflowPunct/>
              <w:topLinePunct w:val="0"/>
              <w:autoSpaceDE/>
              <w:autoSpaceDN/>
              <w:bidi w:val="0"/>
              <w:adjustRightInd/>
              <w:snapToGrid/>
              <w:spacing w:line="391" w:lineRule="exact"/>
              <w:ind w:left="0"/>
              <w:jc w:val="center"/>
              <w:textAlignment w:val="auto"/>
              <w:rPr>
                <w:rFonts w:hint="eastAsia" w:ascii="仿宋" w:hAnsi="仿宋" w:eastAsia="仿宋" w:cs="仿宋"/>
                <w:sz w:val="24"/>
                <w:szCs w:val="24"/>
                <w:highlight w:val="none"/>
                <w:lang w:val="en-US" w:bidi="ar-SA"/>
              </w:rPr>
            </w:pPr>
            <w:r>
              <w:rPr>
                <w:rFonts w:hint="eastAsia" w:ascii="仿宋" w:hAnsi="仿宋" w:eastAsia="仿宋" w:cs="仿宋"/>
                <w:sz w:val="24"/>
                <w:szCs w:val="24"/>
                <w:highlight w:val="none"/>
                <w:lang w:val="en-US" w:bidi="ar-SA"/>
              </w:rPr>
              <w:t>加油站名称</w:t>
            </w:r>
          </w:p>
        </w:tc>
        <w:tc>
          <w:tcPr>
            <w:tcW w:w="1301" w:type="dxa"/>
            <w:tcBorders>
              <w:top w:val="single" w:color="000000" w:sz="4" w:space="0"/>
              <w:left w:val="single" w:color="000000" w:sz="4" w:space="0"/>
              <w:bottom w:val="single" w:color="000000" w:sz="4" w:space="0"/>
              <w:right w:val="single" w:color="000000" w:sz="4" w:space="0"/>
            </w:tcBorders>
            <w:noWrap w:val="0"/>
            <w:vAlign w:val="center"/>
          </w:tcPr>
          <w:p w14:paraId="046C08BC">
            <w:pPr>
              <w:pStyle w:val="89"/>
              <w:keepNext w:val="0"/>
              <w:keepLines w:val="0"/>
              <w:pageBreakBefore w:val="0"/>
              <w:widowControl w:val="0"/>
              <w:kinsoku/>
              <w:wordWrap/>
              <w:overflowPunct/>
              <w:topLinePunct w:val="0"/>
              <w:autoSpaceDE/>
              <w:autoSpaceDN/>
              <w:bidi w:val="0"/>
              <w:adjustRightInd/>
              <w:snapToGrid/>
              <w:spacing w:line="391" w:lineRule="exact"/>
              <w:ind w:left="0" w:right="190" w:rightChars="0"/>
              <w:jc w:val="center"/>
              <w:textAlignment w:val="auto"/>
              <w:rPr>
                <w:rFonts w:hint="eastAsia" w:ascii="仿宋" w:hAnsi="仿宋" w:eastAsia="仿宋" w:cs="仿宋"/>
                <w:sz w:val="24"/>
                <w:szCs w:val="24"/>
                <w:highlight w:val="none"/>
                <w:lang w:val="en-US" w:bidi="ar-SA"/>
              </w:rPr>
            </w:pPr>
            <w:r>
              <w:rPr>
                <w:rFonts w:hint="eastAsia" w:ascii="仿宋" w:hAnsi="仿宋" w:eastAsia="仿宋" w:cs="仿宋"/>
                <w:sz w:val="24"/>
                <w:szCs w:val="24"/>
                <w:highlight w:val="none"/>
                <w:lang w:val="en-US" w:bidi="ar-SA"/>
              </w:rPr>
              <w:t>地址</w:t>
            </w:r>
          </w:p>
        </w:tc>
        <w:tc>
          <w:tcPr>
            <w:tcW w:w="2654" w:type="dxa"/>
            <w:tcBorders>
              <w:top w:val="single" w:color="000000" w:sz="4" w:space="0"/>
              <w:left w:val="single" w:color="000000" w:sz="4" w:space="0"/>
              <w:bottom w:val="single" w:color="000000" w:sz="4" w:space="0"/>
              <w:right w:val="single" w:color="auto" w:sz="4" w:space="0"/>
            </w:tcBorders>
            <w:noWrap w:val="0"/>
            <w:vAlign w:val="center"/>
          </w:tcPr>
          <w:p w14:paraId="14C88915">
            <w:pPr>
              <w:pStyle w:val="89"/>
              <w:keepNext w:val="0"/>
              <w:keepLines w:val="0"/>
              <w:pageBreakBefore w:val="0"/>
              <w:widowControl w:val="0"/>
              <w:kinsoku/>
              <w:wordWrap/>
              <w:overflowPunct/>
              <w:topLinePunct w:val="0"/>
              <w:autoSpaceDE/>
              <w:autoSpaceDN/>
              <w:bidi w:val="0"/>
              <w:adjustRightInd/>
              <w:snapToGrid/>
              <w:spacing w:line="240" w:lineRule="auto"/>
              <w:ind w:left="0" w:right="190" w:rightChars="0" w:firstLine="720" w:firstLineChars="300"/>
              <w:jc w:val="both"/>
              <w:textAlignment w:val="auto"/>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经营形式</w:t>
            </w:r>
          </w:p>
          <w:p w14:paraId="384BC0BF">
            <w:pPr>
              <w:pStyle w:val="89"/>
              <w:keepNext w:val="0"/>
              <w:keepLines w:val="0"/>
              <w:pageBreakBefore w:val="0"/>
              <w:widowControl w:val="0"/>
              <w:kinsoku/>
              <w:wordWrap/>
              <w:overflowPunct/>
              <w:topLinePunct w:val="0"/>
              <w:autoSpaceDE/>
              <w:autoSpaceDN/>
              <w:bidi w:val="0"/>
              <w:adjustRightInd/>
              <w:snapToGrid/>
              <w:spacing w:line="391" w:lineRule="exact"/>
              <w:ind w:left="0"/>
              <w:jc w:val="center"/>
              <w:textAlignment w:val="auto"/>
              <w:rPr>
                <w:rFonts w:hint="eastAsia" w:ascii="仿宋" w:hAnsi="仿宋" w:eastAsia="仿宋" w:cs="仿宋"/>
                <w:sz w:val="24"/>
                <w:szCs w:val="24"/>
                <w:highlight w:val="none"/>
                <w:lang w:val="en-US" w:bidi="ar-SA"/>
              </w:rPr>
            </w:pPr>
            <w:r>
              <w:rPr>
                <w:rFonts w:hint="eastAsia" w:ascii="仿宋" w:hAnsi="仿宋" w:eastAsia="仿宋" w:cs="仿宋"/>
                <w:sz w:val="24"/>
                <w:szCs w:val="24"/>
                <w:highlight w:val="none"/>
                <w:lang w:val="en-US" w:eastAsia="zh-CN" w:bidi="ar-SA"/>
              </w:rPr>
              <w:t>（直营/加盟等）</w:t>
            </w:r>
          </w:p>
        </w:tc>
        <w:tc>
          <w:tcPr>
            <w:tcW w:w="765" w:type="dxa"/>
            <w:tcBorders>
              <w:top w:val="single" w:color="000000" w:sz="4" w:space="0"/>
              <w:left w:val="single" w:color="auto" w:sz="4" w:space="0"/>
              <w:bottom w:val="single" w:color="000000" w:sz="4" w:space="0"/>
              <w:right w:val="single" w:color="000000" w:sz="4" w:space="0"/>
            </w:tcBorders>
            <w:noWrap w:val="0"/>
            <w:vAlign w:val="center"/>
          </w:tcPr>
          <w:p w14:paraId="5E50B6C4">
            <w:pPr>
              <w:pStyle w:val="89"/>
              <w:keepNext w:val="0"/>
              <w:keepLines w:val="0"/>
              <w:pageBreakBefore w:val="0"/>
              <w:widowControl w:val="0"/>
              <w:kinsoku/>
              <w:wordWrap/>
              <w:overflowPunct/>
              <w:topLinePunct w:val="0"/>
              <w:autoSpaceDE/>
              <w:autoSpaceDN/>
              <w:bidi w:val="0"/>
              <w:adjustRightInd/>
              <w:snapToGrid/>
              <w:spacing w:line="391" w:lineRule="exact"/>
              <w:ind w:left="0" w:leftChars="0"/>
              <w:jc w:val="center"/>
              <w:textAlignment w:val="auto"/>
              <w:rPr>
                <w:rFonts w:hint="eastAsia" w:ascii="仿宋" w:hAnsi="仿宋" w:eastAsia="仿宋" w:cs="仿宋"/>
                <w:sz w:val="24"/>
                <w:szCs w:val="24"/>
                <w:highlight w:val="none"/>
                <w:lang w:val="en-US" w:bidi="ar-SA"/>
              </w:rPr>
            </w:pPr>
            <w:r>
              <w:rPr>
                <w:rFonts w:hint="eastAsia" w:ascii="仿宋" w:hAnsi="仿宋" w:eastAsia="仿宋" w:cs="仿宋"/>
                <w:sz w:val="24"/>
                <w:szCs w:val="24"/>
                <w:highlight w:val="none"/>
                <w:lang w:val="en-US" w:bidi="ar-SA"/>
              </w:rPr>
              <w:t>面积</w:t>
            </w:r>
          </w:p>
        </w:tc>
        <w:tc>
          <w:tcPr>
            <w:tcW w:w="1931" w:type="dxa"/>
            <w:tcBorders>
              <w:top w:val="single" w:color="000000" w:sz="4" w:space="0"/>
              <w:left w:val="single" w:color="000000" w:sz="4" w:space="0"/>
              <w:bottom w:val="single" w:color="000000" w:sz="4" w:space="0"/>
              <w:right w:val="single" w:color="000000" w:sz="4" w:space="0"/>
            </w:tcBorders>
            <w:noWrap w:val="0"/>
            <w:vAlign w:val="center"/>
          </w:tcPr>
          <w:p w14:paraId="74731CB7">
            <w:pPr>
              <w:pStyle w:val="89"/>
              <w:keepNext w:val="0"/>
              <w:keepLines w:val="0"/>
              <w:pageBreakBefore w:val="0"/>
              <w:widowControl w:val="0"/>
              <w:kinsoku/>
              <w:wordWrap/>
              <w:overflowPunct/>
              <w:topLinePunct w:val="0"/>
              <w:autoSpaceDE/>
              <w:autoSpaceDN/>
              <w:bidi w:val="0"/>
              <w:adjustRightInd/>
              <w:snapToGrid/>
              <w:spacing w:line="391" w:lineRule="exact"/>
              <w:ind w:left="0"/>
              <w:jc w:val="center"/>
              <w:textAlignment w:val="auto"/>
              <w:rPr>
                <w:rFonts w:hint="eastAsia" w:ascii="仿宋" w:hAnsi="仿宋" w:eastAsia="仿宋" w:cs="仿宋"/>
                <w:sz w:val="24"/>
                <w:szCs w:val="24"/>
                <w:highlight w:val="none"/>
                <w:lang w:val="en-US" w:bidi="ar-SA"/>
              </w:rPr>
            </w:pPr>
            <w:r>
              <w:rPr>
                <w:rFonts w:hint="eastAsia" w:ascii="仿宋" w:hAnsi="仿宋" w:eastAsia="仿宋" w:cs="仿宋"/>
                <w:sz w:val="24"/>
                <w:szCs w:val="24"/>
                <w:highlight w:val="none"/>
                <w:lang w:val="en-US" w:bidi="ar-SA"/>
              </w:rPr>
              <w:t>负责人</w:t>
            </w:r>
          </w:p>
        </w:tc>
        <w:tc>
          <w:tcPr>
            <w:tcW w:w="2034" w:type="dxa"/>
            <w:tcBorders>
              <w:top w:val="single" w:color="000000" w:sz="4" w:space="0"/>
              <w:left w:val="single" w:color="000000" w:sz="4" w:space="0"/>
              <w:bottom w:val="single" w:color="000000" w:sz="4" w:space="0"/>
              <w:right w:val="single" w:color="000000" w:sz="4" w:space="0"/>
            </w:tcBorders>
            <w:noWrap w:val="0"/>
            <w:vAlign w:val="center"/>
          </w:tcPr>
          <w:p w14:paraId="6B199008">
            <w:pPr>
              <w:pStyle w:val="89"/>
              <w:keepNext w:val="0"/>
              <w:keepLines w:val="0"/>
              <w:pageBreakBefore w:val="0"/>
              <w:widowControl w:val="0"/>
              <w:kinsoku/>
              <w:wordWrap/>
              <w:overflowPunct/>
              <w:topLinePunct w:val="0"/>
              <w:autoSpaceDE/>
              <w:autoSpaceDN/>
              <w:bidi w:val="0"/>
              <w:adjustRightInd/>
              <w:snapToGrid/>
              <w:spacing w:line="391" w:lineRule="exact"/>
              <w:ind w:left="0"/>
              <w:jc w:val="center"/>
              <w:textAlignment w:val="auto"/>
              <w:rPr>
                <w:rFonts w:hint="eastAsia" w:ascii="仿宋" w:hAnsi="仿宋" w:eastAsia="仿宋" w:cs="仿宋"/>
                <w:sz w:val="24"/>
                <w:szCs w:val="24"/>
                <w:highlight w:val="none"/>
                <w:lang w:val="en-US" w:bidi="ar-SA"/>
              </w:rPr>
            </w:pPr>
            <w:r>
              <w:rPr>
                <w:rFonts w:hint="eastAsia" w:ascii="仿宋" w:hAnsi="仿宋" w:eastAsia="仿宋" w:cs="仿宋"/>
                <w:sz w:val="24"/>
                <w:szCs w:val="24"/>
                <w:highlight w:val="none"/>
                <w:lang w:val="en-US" w:bidi="ar-SA"/>
              </w:rPr>
              <w:t>电话</w:t>
            </w:r>
          </w:p>
        </w:tc>
        <w:tc>
          <w:tcPr>
            <w:tcW w:w="2276" w:type="dxa"/>
            <w:tcBorders>
              <w:top w:val="single" w:color="000000" w:sz="4" w:space="0"/>
              <w:left w:val="single" w:color="000000" w:sz="4" w:space="0"/>
              <w:bottom w:val="single" w:color="000000" w:sz="4" w:space="0"/>
              <w:right w:val="single" w:color="000000" w:sz="4" w:space="0"/>
            </w:tcBorders>
            <w:noWrap w:val="0"/>
            <w:vAlign w:val="center"/>
          </w:tcPr>
          <w:p w14:paraId="7953ACD3">
            <w:pPr>
              <w:pStyle w:val="89"/>
              <w:keepNext w:val="0"/>
              <w:keepLines w:val="0"/>
              <w:pageBreakBefore w:val="0"/>
              <w:widowControl w:val="0"/>
              <w:kinsoku/>
              <w:wordWrap/>
              <w:overflowPunct/>
              <w:topLinePunct w:val="0"/>
              <w:autoSpaceDE/>
              <w:autoSpaceDN/>
              <w:bidi w:val="0"/>
              <w:adjustRightInd/>
              <w:snapToGrid/>
              <w:spacing w:line="391" w:lineRule="exact"/>
              <w:ind w:left="0" w:leftChars="0" w:firstLine="0" w:firstLineChars="0"/>
              <w:jc w:val="center"/>
              <w:textAlignment w:val="auto"/>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备注</w:t>
            </w:r>
          </w:p>
        </w:tc>
      </w:tr>
      <w:tr w14:paraId="61F390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3" w:hRule="atLeast"/>
          <w:jc w:val="center"/>
        </w:trPr>
        <w:tc>
          <w:tcPr>
            <w:tcW w:w="1170" w:type="dxa"/>
            <w:tcBorders>
              <w:top w:val="single" w:color="000000" w:sz="4" w:space="0"/>
              <w:left w:val="single" w:color="000000" w:sz="4" w:space="0"/>
              <w:bottom w:val="single" w:color="000000" w:sz="4" w:space="0"/>
              <w:right w:val="single" w:color="000000" w:sz="4" w:space="0"/>
            </w:tcBorders>
            <w:noWrap w:val="0"/>
            <w:vAlign w:val="top"/>
          </w:tcPr>
          <w:p w14:paraId="4536189E">
            <w:pPr>
              <w:pStyle w:val="89"/>
              <w:rPr>
                <w:rFonts w:hint="eastAsia" w:ascii="仿宋" w:hAnsi="仿宋" w:eastAsia="仿宋" w:cs="仿宋"/>
                <w:sz w:val="28"/>
                <w:szCs w:val="28"/>
                <w:highlight w:val="none"/>
                <w:lang w:val="en-US" w:bidi="ar-SA"/>
              </w:rPr>
            </w:pPr>
          </w:p>
        </w:tc>
        <w:tc>
          <w:tcPr>
            <w:tcW w:w="1825" w:type="dxa"/>
            <w:tcBorders>
              <w:top w:val="single" w:color="000000" w:sz="4" w:space="0"/>
              <w:left w:val="single" w:color="000000" w:sz="4" w:space="0"/>
              <w:bottom w:val="single" w:color="000000" w:sz="4" w:space="0"/>
              <w:right w:val="single" w:color="000000" w:sz="4" w:space="0"/>
            </w:tcBorders>
            <w:noWrap w:val="0"/>
            <w:vAlign w:val="top"/>
          </w:tcPr>
          <w:p w14:paraId="4B7BCAF4">
            <w:pPr>
              <w:pStyle w:val="89"/>
              <w:rPr>
                <w:rFonts w:hint="eastAsia" w:ascii="仿宋" w:hAnsi="仿宋" w:eastAsia="仿宋" w:cs="仿宋"/>
                <w:sz w:val="28"/>
                <w:szCs w:val="28"/>
                <w:highlight w:val="none"/>
                <w:lang w:val="en-US" w:bidi="ar-SA"/>
              </w:rPr>
            </w:pPr>
          </w:p>
        </w:tc>
        <w:tc>
          <w:tcPr>
            <w:tcW w:w="1301" w:type="dxa"/>
            <w:tcBorders>
              <w:top w:val="single" w:color="000000" w:sz="4" w:space="0"/>
              <w:left w:val="single" w:color="000000" w:sz="4" w:space="0"/>
              <w:bottom w:val="single" w:color="000000" w:sz="4" w:space="0"/>
              <w:right w:val="single" w:color="000000" w:sz="4" w:space="0"/>
            </w:tcBorders>
            <w:noWrap w:val="0"/>
            <w:vAlign w:val="top"/>
          </w:tcPr>
          <w:p w14:paraId="510BB2C9">
            <w:pPr>
              <w:pStyle w:val="89"/>
              <w:rPr>
                <w:rFonts w:hint="eastAsia" w:ascii="仿宋" w:hAnsi="仿宋" w:eastAsia="仿宋" w:cs="仿宋"/>
                <w:sz w:val="28"/>
                <w:szCs w:val="28"/>
                <w:highlight w:val="none"/>
                <w:lang w:val="en-US" w:bidi="ar-SA"/>
              </w:rPr>
            </w:pPr>
          </w:p>
        </w:tc>
        <w:tc>
          <w:tcPr>
            <w:tcW w:w="2654" w:type="dxa"/>
            <w:tcBorders>
              <w:top w:val="single" w:color="000000" w:sz="4" w:space="0"/>
              <w:left w:val="single" w:color="000000" w:sz="4" w:space="0"/>
              <w:bottom w:val="single" w:color="000000" w:sz="4" w:space="0"/>
              <w:right w:val="single" w:color="auto" w:sz="4" w:space="0"/>
            </w:tcBorders>
            <w:noWrap w:val="0"/>
            <w:vAlign w:val="top"/>
          </w:tcPr>
          <w:p w14:paraId="175DBA36">
            <w:pPr>
              <w:pStyle w:val="89"/>
              <w:rPr>
                <w:rFonts w:hint="eastAsia" w:ascii="仿宋" w:hAnsi="仿宋" w:eastAsia="仿宋" w:cs="仿宋"/>
                <w:sz w:val="28"/>
                <w:szCs w:val="28"/>
                <w:highlight w:val="none"/>
                <w:lang w:val="en-US" w:bidi="ar-SA"/>
              </w:rPr>
            </w:pPr>
          </w:p>
        </w:tc>
        <w:tc>
          <w:tcPr>
            <w:tcW w:w="765" w:type="dxa"/>
            <w:tcBorders>
              <w:top w:val="single" w:color="000000" w:sz="4" w:space="0"/>
              <w:left w:val="single" w:color="auto" w:sz="4" w:space="0"/>
              <w:bottom w:val="single" w:color="000000" w:sz="4" w:space="0"/>
              <w:right w:val="single" w:color="000000" w:sz="4" w:space="0"/>
            </w:tcBorders>
            <w:noWrap w:val="0"/>
            <w:vAlign w:val="top"/>
          </w:tcPr>
          <w:p w14:paraId="05CFFC90">
            <w:pPr>
              <w:pStyle w:val="89"/>
              <w:rPr>
                <w:rFonts w:hint="eastAsia" w:ascii="仿宋" w:hAnsi="仿宋" w:eastAsia="仿宋" w:cs="仿宋"/>
                <w:sz w:val="28"/>
                <w:szCs w:val="28"/>
                <w:highlight w:val="none"/>
                <w:lang w:val="en-US" w:bidi="ar-SA"/>
              </w:rPr>
            </w:pPr>
          </w:p>
        </w:tc>
        <w:tc>
          <w:tcPr>
            <w:tcW w:w="1931" w:type="dxa"/>
            <w:tcBorders>
              <w:top w:val="single" w:color="000000" w:sz="4" w:space="0"/>
              <w:left w:val="single" w:color="000000" w:sz="4" w:space="0"/>
              <w:bottom w:val="single" w:color="000000" w:sz="4" w:space="0"/>
              <w:right w:val="single" w:color="000000" w:sz="4" w:space="0"/>
            </w:tcBorders>
            <w:noWrap w:val="0"/>
            <w:vAlign w:val="top"/>
          </w:tcPr>
          <w:p w14:paraId="2A1786C0">
            <w:pPr>
              <w:pStyle w:val="89"/>
              <w:rPr>
                <w:rFonts w:hint="eastAsia" w:ascii="仿宋" w:hAnsi="仿宋" w:eastAsia="仿宋" w:cs="仿宋"/>
                <w:sz w:val="28"/>
                <w:szCs w:val="28"/>
                <w:highlight w:val="none"/>
                <w:lang w:val="en-US" w:bidi="ar-SA"/>
              </w:rPr>
            </w:pPr>
          </w:p>
        </w:tc>
        <w:tc>
          <w:tcPr>
            <w:tcW w:w="2034" w:type="dxa"/>
            <w:tcBorders>
              <w:top w:val="single" w:color="000000" w:sz="4" w:space="0"/>
              <w:left w:val="single" w:color="000000" w:sz="4" w:space="0"/>
              <w:bottom w:val="single" w:color="000000" w:sz="4" w:space="0"/>
              <w:right w:val="single" w:color="000000" w:sz="4" w:space="0"/>
            </w:tcBorders>
            <w:noWrap w:val="0"/>
            <w:vAlign w:val="top"/>
          </w:tcPr>
          <w:p w14:paraId="3CA03A52">
            <w:pPr>
              <w:pStyle w:val="89"/>
              <w:rPr>
                <w:rFonts w:hint="eastAsia" w:ascii="仿宋" w:hAnsi="仿宋" w:eastAsia="仿宋" w:cs="仿宋"/>
                <w:sz w:val="28"/>
                <w:szCs w:val="28"/>
                <w:highlight w:val="none"/>
                <w:lang w:val="en-US" w:bidi="ar-SA"/>
              </w:rPr>
            </w:pPr>
          </w:p>
        </w:tc>
        <w:tc>
          <w:tcPr>
            <w:tcW w:w="2276" w:type="dxa"/>
            <w:tcBorders>
              <w:top w:val="single" w:color="000000" w:sz="4" w:space="0"/>
              <w:left w:val="single" w:color="000000" w:sz="4" w:space="0"/>
              <w:bottom w:val="single" w:color="000000" w:sz="4" w:space="0"/>
              <w:right w:val="single" w:color="000000" w:sz="4" w:space="0"/>
            </w:tcBorders>
            <w:noWrap w:val="0"/>
            <w:vAlign w:val="top"/>
          </w:tcPr>
          <w:p w14:paraId="575F3BCE">
            <w:pPr>
              <w:pStyle w:val="89"/>
              <w:ind w:left="478" w:leftChars="104" w:hanging="260" w:hangingChars="93"/>
              <w:rPr>
                <w:rFonts w:hint="eastAsia" w:ascii="仿宋" w:hAnsi="仿宋" w:eastAsia="仿宋" w:cs="仿宋"/>
                <w:sz w:val="28"/>
                <w:szCs w:val="28"/>
                <w:highlight w:val="none"/>
                <w:lang w:val="en-US" w:bidi="ar-SA"/>
              </w:rPr>
            </w:pPr>
          </w:p>
        </w:tc>
      </w:tr>
      <w:tr w14:paraId="504476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3" w:hRule="atLeast"/>
          <w:jc w:val="center"/>
        </w:trPr>
        <w:tc>
          <w:tcPr>
            <w:tcW w:w="1170" w:type="dxa"/>
            <w:tcBorders>
              <w:top w:val="single" w:color="000000" w:sz="4" w:space="0"/>
              <w:left w:val="single" w:color="000000" w:sz="4" w:space="0"/>
              <w:bottom w:val="single" w:color="000000" w:sz="4" w:space="0"/>
              <w:right w:val="single" w:color="000000" w:sz="4" w:space="0"/>
            </w:tcBorders>
            <w:noWrap w:val="0"/>
            <w:vAlign w:val="top"/>
          </w:tcPr>
          <w:p w14:paraId="5A5CEBBE">
            <w:pPr>
              <w:pStyle w:val="89"/>
              <w:rPr>
                <w:rFonts w:hint="eastAsia" w:ascii="仿宋" w:hAnsi="仿宋" w:eastAsia="仿宋" w:cs="仿宋"/>
                <w:sz w:val="28"/>
                <w:szCs w:val="28"/>
                <w:highlight w:val="none"/>
                <w:lang w:val="en-US" w:bidi="ar-SA"/>
              </w:rPr>
            </w:pPr>
          </w:p>
        </w:tc>
        <w:tc>
          <w:tcPr>
            <w:tcW w:w="1825" w:type="dxa"/>
            <w:tcBorders>
              <w:top w:val="single" w:color="000000" w:sz="4" w:space="0"/>
              <w:left w:val="single" w:color="000000" w:sz="4" w:space="0"/>
              <w:bottom w:val="single" w:color="000000" w:sz="4" w:space="0"/>
              <w:right w:val="single" w:color="000000" w:sz="4" w:space="0"/>
            </w:tcBorders>
            <w:noWrap w:val="0"/>
            <w:vAlign w:val="top"/>
          </w:tcPr>
          <w:p w14:paraId="6D0CECEF">
            <w:pPr>
              <w:pStyle w:val="89"/>
              <w:rPr>
                <w:rFonts w:hint="eastAsia" w:ascii="仿宋" w:hAnsi="仿宋" w:eastAsia="仿宋" w:cs="仿宋"/>
                <w:sz w:val="28"/>
                <w:szCs w:val="28"/>
                <w:highlight w:val="none"/>
                <w:lang w:val="en-US" w:bidi="ar-SA"/>
              </w:rPr>
            </w:pPr>
          </w:p>
        </w:tc>
        <w:tc>
          <w:tcPr>
            <w:tcW w:w="1301" w:type="dxa"/>
            <w:tcBorders>
              <w:top w:val="single" w:color="000000" w:sz="4" w:space="0"/>
              <w:left w:val="single" w:color="000000" w:sz="4" w:space="0"/>
              <w:bottom w:val="single" w:color="000000" w:sz="4" w:space="0"/>
              <w:right w:val="single" w:color="000000" w:sz="4" w:space="0"/>
            </w:tcBorders>
            <w:noWrap w:val="0"/>
            <w:vAlign w:val="top"/>
          </w:tcPr>
          <w:p w14:paraId="7BFB10D4">
            <w:pPr>
              <w:pStyle w:val="89"/>
              <w:rPr>
                <w:rFonts w:hint="eastAsia" w:ascii="仿宋" w:hAnsi="仿宋" w:eastAsia="仿宋" w:cs="仿宋"/>
                <w:sz w:val="28"/>
                <w:szCs w:val="28"/>
                <w:highlight w:val="none"/>
                <w:lang w:val="en-US" w:bidi="ar-SA"/>
              </w:rPr>
            </w:pPr>
          </w:p>
        </w:tc>
        <w:tc>
          <w:tcPr>
            <w:tcW w:w="2654" w:type="dxa"/>
            <w:tcBorders>
              <w:top w:val="single" w:color="000000" w:sz="4" w:space="0"/>
              <w:left w:val="single" w:color="000000" w:sz="4" w:space="0"/>
              <w:bottom w:val="single" w:color="000000" w:sz="4" w:space="0"/>
              <w:right w:val="single" w:color="auto" w:sz="4" w:space="0"/>
            </w:tcBorders>
            <w:noWrap w:val="0"/>
            <w:vAlign w:val="top"/>
          </w:tcPr>
          <w:p w14:paraId="487BE9CC">
            <w:pPr>
              <w:pStyle w:val="89"/>
              <w:rPr>
                <w:rFonts w:hint="eastAsia" w:ascii="仿宋" w:hAnsi="仿宋" w:eastAsia="仿宋" w:cs="仿宋"/>
                <w:sz w:val="28"/>
                <w:szCs w:val="28"/>
                <w:highlight w:val="none"/>
                <w:lang w:val="en-US" w:bidi="ar-SA"/>
              </w:rPr>
            </w:pPr>
          </w:p>
        </w:tc>
        <w:tc>
          <w:tcPr>
            <w:tcW w:w="765" w:type="dxa"/>
            <w:tcBorders>
              <w:top w:val="single" w:color="000000" w:sz="4" w:space="0"/>
              <w:left w:val="single" w:color="auto" w:sz="4" w:space="0"/>
              <w:bottom w:val="single" w:color="000000" w:sz="4" w:space="0"/>
              <w:right w:val="single" w:color="000000" w:sz="4" w:space="0"/>
            </w:tcBorders>
            <w:noWrap w:val="0"/>
            <w:vAlign w:val="top"/>
          </w:tcPr>
          <w:p w14:paraId="350418E3">
            <w:pPr>
              <w:pStyle w:val="89"/>
              <w:rPr>
                <w:rFonts w:hint="eastAsia" w:ascii="仿宋" w:hAnsi="仿宋" w:eastAsia="仿宋" w:cs="仿宋"/>
                <w:sz w:val="28"/>
                <w:szCs w:val="28"/>
                <w:highlight w:val="none"/>
                <w:lang w:val="en-US" w:bidi="ar-SA"/>
              </w:rPr>
            </w:pPr>
          </w:p>
        </w:tc>
        <w:tc>
          <w:tcPr>
            <w:tcW w:w="1931" w:type="dxa"/>
            <w:tcBorders>
              <w:top w:val="single" w:color="000000" w:sz="4" w:space="0"/>
              <w:left w:val="single" w:color="000000" w:sz="4" w:space="0"/>
              <w:bottom w:val="single" w:color="000000" w:sz="4" w:space="0"/>
              <w:right w:val="single" w:color="000000" w:sz="4" w:space="0"/>
            </w:tcBorders>
            <w:noWrap w:val="0"/>
            <w:vAlign w:val="top"/>
          </w:tcPr>
          <w:p w14:paraId="4D9A980C">
            <w:pPr>
              <w:pStyle w:val="89"/>
              <w:rPr>
                <w:rFonts w:hint="eastAsia" w:ascii="仿宋" w:hAnsi="仿宋" w:eastAsia="仿宋" w:cs="仿宋"/>
                <w:sz w:val="28"/>
                <w:szCs w:val="28"/>
                <w:highlight w:val="none"/>
                <w:lang w:val="en-US" w:bidi="ar-SA"/>
              </w:rPr>
            </w:pPr>
          </w:p>
        </w:tc>
        <w:tc>
          <w:tcPr>
            <w:tcW w:w="2034" w:type="dxa"/>
            <w:tcBorders>
              <w:top w:val="single" w:color="000000" w:sz="4" w:space="0"/>
              <w:left w:val="single" w:color="000000" w:sz="4" w:space="0"/>
              <w:bottom w:val="single" w:color="000000" w:sz="4" w:space="0"/>
              <w:right w:val="single" w:color="000000" w:sz="4" w:space="0"/>
            </w:tcBorders>
            <w:noWrap w:val="0"/>
            <w:vAlign w:val="top"/>
          </w:tcPr>
          <w:p w14:paraId="25B501BE">
            <w:pPr>
              <w:pStyle w:val="89"/>
              <w:rPr>
                <w:rFonts w:hint="eastAsia" w:ascii="仿宋" w:hAnsi="仿宋" w:eastAsia="仿宋" w:cs="仿宋"/>
                <w:sz w:val="28"/>
                <w:szCs w:val="28"/>
                <w:highlight w:val="none"/>
                <w:lang w:val="en-US" w:bidi="ar-SA"/>
              </w:rPr>
            </w:pPr>
          </w:p>
        </w:tc>
        <w:tc>
          <w:tcPr>
            <w:tcW w:w="2276" w:type="dxa"/>
            <w:tcBorders>
              <w:top w:val="single" w:color="000000" w:sz="4" w:space="0"/>
              <w:left w:val="single" w:color="000000" w:sz="4" w:space="0"/>
              <w:bottom w:val="single" w:color="000000" w:sz="4" w:space="0"/>
              <w:right w:val="single" w:color="000000" w:sz="4" w:space="0"/>
            </w:tcBorders>
            <w:noWrap w:val="0"/>
            <w:vAlign w:val="top"/>
          </w:tcPr>
          <w:p w14:paraId="1439CAB8">
            <w:pPr>
              <w:pStyle w:val="89"/>
              <w:ind w:left="478" w:leftChars="104" w:hanging="260" w:hangingChars="93"/>
              <w:rPr>
                <w:rFonts w:hint="eastAsia" w:ascii="仿宋" w:hAnsi="仿宋" w:eastAsia="仿宋" w:cs="仿宋"/>
                <w:sz w:val="28"/>
                <w:szCs w:val="28"/>
                <w:highlight w:val="none"/>
                <w:lang w:val="en-US" w:bidi="ar-SA"/>
              </w:rPr>
            </w:pPr>
          </w:p>
        </w:tc>
      </w:tr>
      <w:tr w14:paraId="4A9548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733" w:hRule="atLeast"/>
          <w:jc w:val="center"/>
        </w:trPr>
        <w:tc>
          <w:tcPr>
            <w:tcW w:w="1170" w:type="dxa"/>
            <w:tcBorders>
              <w:top w:val="single" w:color="000000" w:sz="4" w:space="0"/>
              <w:left w:val="single" w:color="000000" w:sz="4" w:space="0"/>
              <w:bottom w:val="single" w:color="000000" w:sz="4" w:space="0"/>
              <w:right w:val="single" w:color="000000" w:sz="4" w:space="0"/>
            </w:tcBorders>
            <w:noWrap w:val="0"/>
            <w:vAlign w:val="top"/>
          </w:tcPr>
          <w:p w14:paraId="3002F236">
            <w:pPr>
              <w:pStyle w:val="89"/>
              <w:rPr>
                <w:rFonts w:hint="eastAsia" w:ascii="仿宋" w:hAnsi="仿宋" w:eastAsia="仿宋" w:cs="仿宋"/>
                <w:sz w:val="28"/>
                <w:szCs w:val="28"/>
                <w:highlight w:val="none"/>
                <w:lang w:val="en-US" w:bidi="ar-SA"/>
              </w:rPr>
            </w:pPr>
          </w:p>
        </w:tc>
        <w:tc>
          <w:tcPr>
            <w:tcW w:w="1825" w:type="dxa"/>
            <w:tcBorders>
              <w:top w:val="single" w:color="000000" w:sz="4" w:space="0"/>
              <w:left w:val="single" w:color="000000" w:sz="4" w:space="0"/>
              <w:bottom w:val="single" w:color="000000" w:sz="4" w:space="0"/>
              <w:right w:val="single" w:color="000000" w:sz="4" w:space="0"/>
            </w:tcBorders>
            <w:noWrap w:val="0"/>
            <w:vAlign w:val="top"/>
          </w:tcPr>
          <w:p w14:paraId="1EE78111">
            <w:pPr>
              <w:pStyle w:val="89"/>
              <w:rPr>
                <w:rFonts w:hint="eastAsia" w:ascii="仿宋" w:hAnsi="仿宋" w:eastAsia="仿宋" w:cs="仿宋"/>
                <w:sz w:val="28"/>
                <w:szCs w:val="28"/>
                <w:highlight w:val="none"/>
                <w:lang w:val="en-US" w:bidi="ar-SA"/>
              </w:rPr>
            </w:pPr>
          </w:p>
        </w:tc>
        <w:tc>
          <w:tcPr>
            <w:tcW w:w="1301" w:type="dxa"/>
            <w:tcBorders>
              <w:top w:val="single" w:color="000000" w:sz="4" w:space="0"/>
              <w:left w:val="single" w:color="000000" w:sz="4" w:space="0"/>
              <w:bottom w:val="single" w:color="000000" w:sz="4" w:space="0"/>
              <w:right w:val="single" w:color="000000" w:sz="4" w:space="0"/>
            </w:tcBorders>
            <w:noWrap w:val="0"/>
            <w:vAlign w:val="top"/>
          </w:tcPr>
          <w:p w14:paraId="1340706E">
            <w:pPr>
              <w:pStyle w:val="89"/>
              <w:rPr>
                <w:rFonts w:hint="eastAsia" w:ascii="仿宋" w:hAnsi="仿宋" w:eastAsia="仿宋" w:cs="仿宋"/>
                <w:sz w:val="28"/>
                <w:szCs w:val="28"/>
                <w:highlight w:val="none"/>
                <w:lang w:val="en-US" w:bidi="ar-SA"/>
              </w:rPr>
            </w:pPr>
          </w:p>
        </w:tc>
        <w:tc>
          <w:tcPr>
            <w:tcW w:w="2654" w:type="dxa"/>
            <w:tcBorders>
              <w:top w:val="single" w:color="000000" w:sz="4" w:space="0"/>
              <w:left w:val="single" w:color="000000" w:sz="4" w:space="0"/>
              <w:bottom w:val="single" w:color="000000" w:sz="4" w:space="0"/>
              <w:right w:val="single" w:color="auto" w:sz="4" w:space="0"/>
            </w:tcBorders>
            <w:noWrap w:val="0"/>
            <w:vAlign w:val="top"/>
          </w:tcPr>
          <w:p w14:paraId="78BB2CE9">
            <w:pPr>
              <w:pStyle w:val="89"/>
              <w:rPr>
                <w:rFonts w:hint="eastAsia" w:ascii="仿宋" w:hAnsi="仿宋" w:eastAsia="仿宋" w:cs="仿宋"/>
                <w:sz w:val="28"/>
                <w:szCs w:val="28"/>
                <w:highlight w:val="none"/>
                <w:lang w:val="en-US" w:bidi="ar-SA"/>
              </w:rPr>
            </w:pPr>
          </w:p>
        </w:tc>
        <w:tc>
          <w:tcPr>
            <w:tcW w:w="765" w:type="dxa"/>
            <w:tcBorders>
              <w:top w:val="single" w:color="000000" w:sz="4" w:space="0"/>
              <w:left w:val="single" w:color="auto" w:sz="4" w:space="0"/>
              <w:bottom w:val="single" w:color="000000" w:sz="4" w:space="0"/>
              <w:right w:val="single" w:color="000000" w:sz="4" w:space="0"/>
            </w:tcBorders>
            <w:noWrap w:val="0"/>
            <w:vAlign w:val="top"/>
          </w:tcPr>
          <w:p w14:paraId="72B6F212">
            <w:pPr>
              <w:pStyle w:val="89"/>
              <w:rPr>
                <w:rFonts w:hint="eastAsia" w:ascii="仿宋" w:hAnsi="仿宋" w:eastAsia="仿宋" w:cs="仿宋"/>
                <w:sz w:val="28"/>
                <w:szCs w:val="28"/>
                <w:highlight w:val="none"/>
                <w:lang w:val="en-US" w:bidi="ar-SA"/>
              </w:rPr>
            </w:pPr>
          </w:p>
        </w:tc>
        <w:tc>
          <w:tcPr>
            <w:tcW w:w="1931" w:type="dxa"/>
            <w:tcBorders>
              <w:top w:val="single" w:color="000000" w:sz="4" w:space="0"/>
              <w:left w:val="single" w:color="000000" w:sz="4" w:space="0"/>
              <w:bottom w:val="single" w:color="000000" w:sz="4" w:space="0"/>
              <w:right w:val="single" w:color="000000" w:sz="4" w:space="0"/>
            </w:tcBorders>
            <w:noWrap w:val="0"/>
            <w:vAlign w:val="top"/>
          </w:tcPr>
          <w:p w14:paraId="0218D719">
            <w:pPr>
              <w:pStyle w:val="89"/>
              <w:rPr>
                <w:rFonts w:hint="eastAsia" w:ascii="仿宋" w:hAnsi="仿宋" w:eastAsia="仿宋" w:cs="仿宋"/>
                <w:sz w:val="28"/>
                <w:szCs w:val="28"/>
                <w:highlight w:val="none"/>
                <w:lang w:val="en-US" w:bidi="ar-SA"/>
              </w:rPr>
            </w:pPr>
          </w:p>
        </w:tc>
        <w:tc>
          <w:tcPr>
            <w:tcW w:w="2034" w:type="dxa"/>
            <w:tcBorders>
              <w:top w:val="single" w:color="000000" w:sz="4" w:space="0"/>
              <w:left w:val="single" w:color="000000" w:sz="4" w:space="0"/>
              <w:bottom w:val="single" w:color="000000" w:sz="4" w:space="0"/>
              <w:right w:val="single" w:color="000000" w:sz="4" w:space="0"/>
            </w:tcBorders>
            <w:noWrap w:val="0"/>
            <w:vAlign w:val="top"/>
          </w:tcPr>
          <w:p w14:paraId="357665A9">
            <w:pPr>
              <w:pStyle w:val="89"/>
              <w:rPr>
                <w:rFonts w:hint="eastAsia" w:ascii="仿宋" w:hAnsi="仿宋" w:eastAsia="仿宋" w:cs="仿宋"/>
                <w:sz w:val="28"/>
                <w:szCs w:val="28"/>
                <w:highlight w:val="none"/>
                <w:lang w:val="en-US" w:bidi="ar-SA"/>
              </w:rPr>
            </w:pPr>
          </w:p>
        </w:tc>
        <w:tc>
          <w:tcPr>
            <w:tcW w:w="2276" w:type="dxa"/>
            <w:tcBorders>
              <w:top w:val="single" w:color="000000" w:sz="4" w:space="0"/>
              <w:left w:val="single" w:color="000000" w:sz="4" w:space="0"/>
              <w:bottom w:val="single" w:color="000000" w:sz="4" w:space="0"/>
              <w:right w:val="single" w:color="000000" w:sz="4" w:space="0"/>
            </w:tcBorders>
            <w:noWrap w:val="0"/>
            <w:vAlign w:val="top"/>
          </w:tcPr>
          <w:p w14:paraId="664DEBF2">
            <w:pPr>
              <w:pStyle w:val="89"/>
              <w:ind w:left="478" w:leftChars="104" w:hanging="260" w:hangingChars="93"/>
              <w:rPr>
                <w:rFonts w:hint="eastAsia" w:ascii="仿宋" w:hAnsi="仿宋" w:eastAsia="仿宋" w:cs="仿宋"/>
                <w:sz w:val="28"/>
                <w:szCs w:val="28"/>
                <w:highlight w:val="none"/>
                <w:lang w:val="en-US" w:bidi="ar-SA"/>
              </w:rPr>
            </w:pPr>
          </w:p>
        </w:tc>
      </w:tr>
      <w:tr w14:paraId="6519B8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3" w:hRule="atLeast"/>
          <w:jc w:val="center"/>
        </w:trPr>
        <w:tc>
          <w:tcPr>
            <w:tcW w:w="1170" w:type="dxa"/>
            <w:tcBorders>
              <w:top w:val="single" w:color="000000" w:sz="4" w:space="0"/>
              <w:left w:val="single" w:color="000000" w:sz="4" w:space="0"/>
              <w:bottom w:val="single" w:color="000000" w:sz="4" w:space="0"/>
              <w:right w:val="single" w:color="000000" w:sz="4" w:space="0"/>
            </w:tcBorders>
            <w:noWrap w:val="0"/>
            <w:vAlign w:val="top"/>
          </w:tcPr>
          <w:p w14:paraId="5E319C44">
            <w:pPr>
              <w:pStyle w:val="89"/>
              <w:rPr>
                <w:rFonts w:hint="eastAsia" w:ascii="仿宋" w:hAnsi="仿宋" w:eastAsia="仿宋" w:cs="仿宋"/>
                <w:sz w:val="28"/>
                <w:szCs w:val="28"/>
                <w:highlight w:val="none"/>
                <w:lang w:val="en-US" w:bidi="ar-SA"/>
              </w:rPr>
            </w:pPr>
          </w:p>
        </w:tc>
        <w:tc>
          <w:tcPr>
            <w:tcW w:w="1825" w:type="dxa"/>
            <w:tcBorders>
              <w:top w:val="single" w:color="000000" w:sz="4" w:space="0"/>
              <w:left w:val="single" w:color="000000" w:sz="4" w:space="0"/>
              <w:bottom w:val="single" w:color="000000" w:sz="4" w:space="0"/>
              <w:right w:val="single" w:color="000000" w:sz="4" w:space="0"/>
            </w:tcBorders>
            <w:noWrap w:val="0"/>
            <w:vAlign w:val="top"/>
          </w:tcPr>
          <w:p w14:paraId="556FD155">
            <w:pPr>
              <w:pStyle w:val="89"/>
              <w:rPr>
                <w:rFonts w:hint="eastAsia" w:ascii="仿宋" w:hAnsi="仿宋" w:eastAsia="仿宋" w:cs="仿宋"/>
                <w:sz w:val="28"/>
                <w:szCs w:val="28"/>
                <w:highlight w:val="none"/>
                <w:lang w:val="en-US" w:bidi="ar-SA"/>
              </w:rPr>
            </w:pPr>
          </w:p>
        </w:tc>
        <w:tc>
          <w:tcPr>
            <w:tcW w:w="1301" w:type="dxa"/>
            <w:tcBorders>
              <w:top w:val="single" w:color="000000" w:sz="4" w:space="0"/>
              <w:left w:val="single" w:color="000000" w:sz="4" w:space="0"/>
              <w:bottom w:val="single" w:color="000000" w:sz="4" w:space="0"/>
              <w:right w:val="single" w:color="000000" w:sz="4" w:space="0"/>
            </w:tcBorders>
            <w:noWrap w:val="0"/>
            <w:vAlign w:val="top"/>
          </w:tcPr>
          <w:p w14:paraId="6D76EE1B">
            <w:pPr>
              <w:pStyle w:val="89"/>
              <w:rPr>
                <w:rFonts w:hint="eastAsia" w:ascii="仿宋" w:hAnsi="仿宋" w:eastAsia="仿宋" w:cs="仿宋"/>
                <w:sz w:val="28"/>
                <w:szCs w:val="28"/>
                <w:highlight w:val="none"/>
                <w:lang w:val="en-US" w:bidi="ar-SA"/>
              </w:rPr>
            </w:pPr>
          </w:p>
        </w:tc>
        <w:tc>
          <w:tcPr>
            <w:tcW w:w="2654" w:type="dxa"/>
            <w:tcBorders>
              <w:top w:val="single" w:color="000000" w:sz="4" w:space="0"/>
              <w:left w:val="single" w:color="000000" w:sz="4" w:space="0"/>
              <w:bottom w:val="single" w:color="000000" w:sz="4" w:space="0"/>
              <w:right w:val="single" w:color="auto" w:sz="4" w:space="0"/>
            </w:tcBorders>
            <w:noWrap w:val="0"/>
            <w:vAlign w:val="top"/>
          </w:tcPr>
          <w:p w14:paraId="20CDFEBC">
            <w:pPr>
              <w:pStyle w:val="89"/>
              <w:rPr>
                <w:rFonts w:hint="eastAsia" w:ascii="仿宋" w:hAnsi="仿宋" w:eastAsia="仿宋" w:cs="仿宋"/>
                <w:sz w:val="28"/>
                <w:szCs w:val="28"/>
                <w:highlight w:val="none"/>
                <w:lang w:val="en-US" w:bidi="ar-SA"/>
              </w:rPr>
            </w:pPr>
          </w:p>
        </w:tc>
        <w:tc>
          <w:tcPr>
            <w:tcW w:w="765" w:type="dxa"/>
            <w:tcBorders>
              <w:top w:val="single" w:color="000000" w:sz="4" w:space="0"/>
              <w:left w:val="single" w:color="auto" w:sz="4" w:space="0"/>
              <w:bottom w:val="single" w:color="000000" w:sz="4" w:space="0"/>
              <w:right w:val="single" w:color="000000" w:sz="4" w:space="0"/>
            </w:tcBorders>
            <w:noWrap w:val="0"/>
            <w:vAlign w:val="top"/>
          </w:tcPr>
          <w:p w14:paraId="1FAC5A7F">
            <w:pPr>
              <w:pStyle w:val="89"/>
              <w:rPr>
                <w:rFonts w:hint="eastAsia" w:ascii="仿宋" w:hAnsi="仿宋" w:eastAsia="仿宋" w:cs="仿宋"/>
                <w:sz w:val="28"/>
                <w:szCs w:val="28"/>
                <w:highlight w:val="none"/>
                <w:lang w:val="en-US" w:bidi="ar-SA"/>
              </w:rPr>
            </w:pPr>
          </w:p>
        </w:tc>
        <w:tc>
          <w:tcPr>
            <w:tcW w:w="1931" w:type="dxa"/>
            <w:tcBorders>
              <w:top w:val="single" w:color="000000" w:sz="4" w:space="0"/>
              <w:left w:val="single" w:color="000000" w:sz="4" w:space="0"/>
              <w:bottom w:val="single" w:color="000000" w:sz="4" w:space="0"/>
              <w:right w:val="single" w:color="000000" w:sz="4" w:space="0"/>
            </w:tcBorders>
            <w:noWrap w:val="0"/>
            <w:vAlign w:val="top"/>
          </w:tcPr>
          <w:p w14:paraId="1963A269">
            <w:pPr>
              <w:pStyle w:val="89"/>
              <w:rPr>
                <w:rFonts w:hint="eastAsia" w:ascii="仿宋" w:hAnsi="仿宋" w:eastAsia="仿宋" w:cs="仿宋"/>
                <w:sz w:val="28"/>
                <w:szCs w:val="28"/>
                <w:highlight w:val="none"/>
                <w:lang w:val="en-US" w:bidi="ar-SA"/>
              </w:rPr>
            </w:pPr>
          </w:p>
        </w:tc>
        <w:tc>
          <w:tcPr>
            <w:tcW w:w="2034" w:type="dxa"/>
            <w:tcBorders>
              <w:top w:val="single" w:color="000000" w:sz="4" w:space="0"/>
              <w:left w:val="single" w:color="000000" w:sz="4" w:space="0"/>
              <w:bottom w:val="single" w:color="000000" w:sz="4" w:space="0"/>
              <w:right w:val="single" w:color="000000" w:sz="4" w:space="0"/>
            </w:tcBorders>
            <w:noWrap w:val="0"/>
            <w:vAlign w:val="top"/>
          </w:tcPr>
          <w:p w14:paraId="77A33AD2">
            <w:pPr>
              <w:pStyle w:val="89"/>
              <w:rPr>
                <w:rFonts w:hint="eastAsia" w:ascii="仿宋" w:hAnsi="仿宋" w:eastAsia="仿宋" w:cs="仿宋"/>
                <w:sz w:val="28"/>
                <w:szCs w:val="28"/>
                <w:highlight w:val="none"/>
                <w:lang w:val="en-US" w:bidi="ar-SA"/>
              </w:rPr>
            </w:pPr>
          </w:p>
        </w:tc>
        <w:tc>
          <w:tcPr>
            <w:tcW w:w="2276" w:type="dxa"/>
            <w:tcBorders>
              <w:top w:val="single" w:color="000000" w:sz="4" w:space="0"/>
              <w:left w:val="single" w:color="000000" w:sz="4" w:space="0"/>
              <w:bottom w:val="single" w:color="000000" w:sz="4" w:space="0"/>
              <w:right w:val="single" w:color="000000" w:sz="4" w:space="0"/>
            </w:tcBorders>
            <w:noWrap w:val="0"/>
            <w:vAlign w:val="top"/>
          </w:tcPr>
          <w:p w14:paraId="7575283C">
            <w:pPr>
              <w:pStyle w:val="89"/>
              <w:ind w:left="478" w:leftChars="104" w:hanging="260" w:hangingChars="93"/>
              <w:rPr>
                <w:rFonts w:hint="eastAsia" w:ascii="仿宋" w:hAnsi="仿宋" w:eastAsia="仿宋" w:cs="仿宋"/>
                <w:sz w:val="28"/>
                <w:szCs w:val="28"/>
                <w:highlight w:val="none"/>
                <w:lang w:val="en-US" w:bidi="ar-SA"/>
              </w:rPr>
            </w:pPr>
          </w:p>
        </w:tc>
      </w:tr>
      <w:tr w14:paraId="5D2627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3" w:hRule="atLeast"/>
          <w:jc w:val="center"/>
        </w:trPr>
        <w:tc>
          <w:tcPr>
            <w:tcW w:w="1170" w:type="dxa"/>
            <w:tcBorders>
              <w:top w:val="single" w:color="000000" w:sz="4" w:space="0"/>
              <w:left w:val="single" w:color="000000" w:sz="4" w:space="0"/>
              <w:bottom w:val="single" w:color="000000" w:sz="4" w:space="0"/>
              <w:right w:val="single" w:color="000000" w:sz="4" w:space="0"/>
            </w:tcBorders>
            <w:noWrap w:val="0"/>
            <w:vAlign w:val="top"/>
          </w:tcPr>
          <w:p w14:paraId="480E5A92">
            <w:pPr>
              <w:pStyle w:val="89"/>
              <w:rPr>
                <w:rFonts w:hint="eastAsia" w:ascii="仿宋" w:hAnsi="仿宋" w:eastAsia="仿宋" w:cs="仿宋"/>
                <w:sz w:val="28"/>
                <w:szCs w:val="28"/>
                <w:highlight w:val="none"/>
                <w:lang w:val="en-US" w:bidi="ar-SA"/>
              </w:rPr>
            </w:pPr>
          </w:p>
        </w:tc>
        <w:tc>
          <w:tcPr>
            <w:tcW w:w="1825" w:type="dxa"/>
            <w:tcBorders>
              <w:top w:val="single" w:color="000000" w:sz="4" w:space="0"/>
              <w:left w:val="single" w:color="000000" w:sz="4" w:space="0"/>
              <w:bottom w:val="single" w:color="000000" w:sz="4" w:space="0"/>
              <w:right w:val="single" w:color="000000" w:sz="4" w:space="0"/>
            </w:tcBorders>
            <w:noWrap w:val="0"/>
            <w:vAlign w:val="top"/>
          </w:tcPr>
          <w:p w14:paraId="73C0FEE2">
            <w:pPr>
              <w:pStyle w:val="89"/>
              <w:rPr>
                <w:rFonts w:hint="eastAsia" w:ascii="仿宋" w:hAnsi="仿宋" w:eastAsia="仿宋" w:cs="仿宋"/>
                <w:sz w:val="28"/>
                <w:szCs w:val="28"/>
                <w:highlight w:val="none"/>
                <w:lang w:val="en-US" w:bidi="ar-SA"/>
              </w:rPr>
            </w:pPr>
          </w:p>
        </w:tc>
        <w:tc>
          <w:tcPr>
            <w:tcW w:w="1301" w:type="dxa"/>
            <w:tcBorders>
              <w:top w:val="single" w:color="000000" w:sz="4" w:space="0"/>
              <w:left w:val="single" w:color="000000" w:sz="4" w:space="0"/>
              <w:bottom w:val="single" w:color="000000" w:sz="4" w:space="0"/>
              <w:right w:val="single" w:color="000000" w:sz="4" w:space="0"/>
            </w:tcBorders>
            <w:noWrap w:val="0"/>
            <w:vAlign w:val="top"/>
          </w:tcPr>
          <w:p w14:paraId="677F4B81">
            <w:pPr>
              <w:pStyle w:val="89"/>
              <w:rPr>
                <w:rFonts w:hint="eastAsia" w:ascii="仿宋" w:hAnsi="仿宋" w:eastAsia="仿宋" w:cs="仿宋"/>
                <w:sz w:val="28"/>
                <w:szCs w:val="28"/>
                <w:highlight w:val="none"/>
                <w:lang w:val="en-US" w:bidi="ar-SA"/>
              </w:rPr>
            </w:pPr>
          </w:p>
        </w:tc>
        <w:tc>
          <w:tcPr>
            <w:tcW w:w="2654" w:type="dxa"/>
            <w:tcBorders>
              <w:top w:val="single" w:color="000000" w:sz="4" w:space="0"/>
              <w:left w:val="single" w:color="000000" w:sz="4" w:space="0"/>
              <w:bottom w:val="single" w:color="000000" w:sz="4" w:space="0"/>
              <w:right w:val="single" w:color="auto" w:sz="4" w:space="0"/>
            </w:tcBorders>
            <w:noWrap w:val="0"/>
            <w:vAlign w:val="top"/>
          </w:tcPr>
          <w:p w14:paraId="6FB55C9B">
            <w:pPr>
              <w:pStyle w:val="89"/>
              <w:rPr>
                <w:rFonts w:hint="eastAsia" w:ascii="仿宋" w:hAnsi="仿宋" w:eastAsia="仿宋" w:cs="仿宋"/>
                <w:sz w:val="28"/>
                <w:szCs w:val="28"/>
                <w:highlight w:val="none"/>
                <w:lang w:val="en-US" w:bidi="ar-SA"/>
              </w:rPr>
            </w:pPr>
          </w:p>
        </w:tc>
        <w:tc>
          <w:tcPr>
            <w:tcW w:w="765" w:type="dxa"/>
            <w:tcBorders>
              <w:top w:val="single" w:color="000000" w:sz="4" w:space="0"/>
              <w:left w:val="single" w:color="auto" w:sz="4" w:space="0"/>
              <w:bottom w:val="single" w:color="000000" w:sz="4" w:space="0"/>
              <w:right w:val="single" w:color="000000" w:sz="4" w:space="0"/>
            </w:tcBorders>
            <w:noWrap w:val="0"/>
            <w:vAlign w:val="top"/>
          </w:tcPr>
          <w:p w14:paraId="06ECED99">
            <w:pPr>
              <w:pStyle w:val="89"/>
              <w:rPr>
                <w:rFonts w:hint="eastAsia" w:ascii="仿宋" w:hAnsi="仿宋" w:eastAsia="仿宋" w:cs="仿宋"/>
                <w:sz w:val="28"/>
                <w:szCs w:val="28"/>
                <w:highlight w:val="none"/>
                <w:lang w:val="en-US" w:bidi="ar-SA"/>
              </w:rPr>
            </w:pPr>
          </w:p>
        </w:tc>
        <w:tc>
          <w:tcPr>
            <w:tcW w:w="1931" w:type="dxa"/>
            <w:tcBorders>
              <w:top w:val="single" w:color="000000" w:sz="4" w:space="0"/>
              <w:left w:val="single" w:color="000000" w:sz="4" w:space="0"/>
              <w:bottom w:val="single" w:color="000000" w:sz="4" w:space="0"/>
              <w:right w:val="single" w:color="000000" w:sz="4" w:space="0"/>
            </w:tcBorders>
            <w:noWrap w:val="0"/>
            <w:vAlign w:val="top"/>
          </w:tcPr>
          <w:p w14:paraId="782BB904">
            <w:pPr>
              <w:pStyle w:val="89"/>
              <w:rPr>
                <w:rFonts w:hint="eastAsia" w:ascii="仿宋" w:hAnsi="仿宋" w:eastAsia="仿宋" w:cs="仿宋"/>
                <w:sz w:val="28"/>
                <w:szCs w:val="28"/>
                <w:highlight w:val="none"/>
                <w:lang w:val="en-US" w:bidi="ar-SA"/>
              </w:rPr>
            </w:pPr>
          </w:p>
        </w:tc>
        <w:tc>
          <w:tcPr>
            <w:tcW w:w="2034" w:type="dxa"/>
            <w:tcBorders>
              <w:top w:val="single" w:color="000000" w:sz="4" w:space="0"/>
              <w:left w:val="single" w:color="000000" w:sz="4" w:space="0"/>
              <w:bottom w:val="single" w:color="000000" w:sz="4" w:space="0"/>
              <w:right w:val="single" w:color="000000" w:sz="4" w:space="0"/>
            </w:tcBorders>
            <w:noWrap w:val="0"/>
            <w:vAlign w:val="top"/>
          </w:tcPr>
          <w:p w14:paraId="42E78420">
            <w:pPr>
              <w:pStyle w:val="89"/>
              <w:rPr>
                <w:rFonts w:hint="eastAsia" w:ascii="仿宋" w:hAnsi="仿宋" w:eastAsia="仿宋" w:cs="仿宋"/>
                <w:sz w:val="28"/>
                <w:szCs w:val="28"/>
                <w:highlight w:val="none"/>
                <w:lang w:val="en-US" w:bidi="ar-SA"/>
              </w:rPr>
            </w:pPr>
          </w:p>
        </w:tc>
        <w:tc>
          <w:tcPr>
            <w:tcW w:w="2276" w:type="dxa"/>
            <w:tcBorders>
              <w:top w:val="single" w:color="000000" w:sz="4" w:space="0"/>
              <w:left w:val="single" w:color="000000" w:sz="4" w:space="0"/>
              <w:bottom w:val="single" w:color="000000" w:sz="4" w:space="0"/>
              <w:right w:val="single" w:color="000000" w:sz="4" w:space="0"/>
            </w:tcBorders>
            <w:noWrap w:val="0"/>
            <w:vAlign w:val="top"/>
          </w:tcPr>
          <w:p w14:paraId="15B039F4">
            <w:pPr>
              <w:pStyle w:val="89"/>
              <w:ind w:left="478" w:leftChars="104" w:hanging="260" w:hangingChars="93"/>
              <w:rPr>
                <w:rFonts w:hint="eastAsia" w:ascii="仿宋" w:hAnsi="仿宋" w:eastAsia="仿宋" w:cs="仿宋"/>
                <w:sz w:val="28"/>
                <w:szCs w:val="28"/>
                <w:highlight w:val="none"/>
                <w:lang w:val="en-US" w:bidi="ar-SA"/>
              </w:rPr>
            </w:pPr>
          </w:p>
        </w:tc>
      </w:tr>
      <w:tr w14:paraId="5E57C2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2" w:hRule="atLeast"/>
          <w:jc w:val="center"/>
        </w:trPr>
        <w:tc>
          <w:tcPr>
            <w:tcW w:w="1170" w:type="dxa"/>
            <w:tcBorders>
              <w:top w:val="single" w:color="000000" w:sz="4" w:space="0"/>
              <w:left w:val="single" w:color="000000" w:sz="4" w:space="0"/>
              <w:bottom w:val="single" w:color="000000" w:sz="4" w:space="0"/>
              <w:right w:val="single" w:color="000000" w:sz="4" w:space="0"/>
            </w:tcBorders>
            <w:noWrap w:val="0"/>
            <w:vAlign w:val="center"/>
          </w:tcPr>
          <w:p w14:paraId="34B16AC5">
            <w:pPr>
              <w:pStyle w:val="89"/>
              <w:jc w:val="center"/>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w:t>
            </w:r>
          </w:p>
        </w:tc>
        <w:tc>
          <w:tcPr>
            <w:tcW w:w="1825" w:type="dxa"/>
            <w:tcBorders>
              <w:top w:val="single" w:color="000000" w:sz="4" w:space="0"/>
              <w:left w:val="single" w:color="000000" w:sz="4" w:space="0"/>
              <w:bottom w:val="single" w:color="000000" w:sz="4" w:space="0"/>
              <w:right w:val="single" w:color="000000" w:sz="4" w:space="0"/>
            </w:tcBorders>
            <w:noWrap w:val="0"/>
            <w:vAlign w:val="center"/>
          </w:tcPr>
          <w:p w14:paraId="6CE476B1">
            <w:pPr>
              <w:pStyle w:val="89"/>
              <w:jc w:val="center"/>
              <w:rPr>
                <w:rFonts w:hint="eastAsia" w:ascii="仿宋" w:hAnsi="仿宋" w:eastAsia="仿宋" w:cs="仿宋"/>
                <w:sz w:val="28"/>
                <w:szCs w:val="28"/>
                <w:highlight w:val="none"/>
                <w:lang w:val="en-US" w:bidi="ar-SA"/>
              </w:rPr>
            </w:pPr>
            <w:r>
              <w:rPr>
                <w:rFonts w:hint="eastAsia" w:ascii="仿宋" w:hAnsi="仿宋" w:eastAsia="仿宋" w:cs="仿宋"/>
                <w:sz w:val="28"/>
                <w:szCs w:val="28"/>
                <w:highlight w:val="none"/>
                <w:lang w:val="en-US" w:eastAsia="zh-CN" w:bidi="ar-SA"/>
              </w:rPr>
              <w:t>……</w:t>
            </w:r>
          </w:p>
        </w:tc>
        <w:tc>
          <w:tcPr>
            <w:tcW w:w="1301" w:type="dxa"/>
            <w:tcBorders>
              <w:top w:val="single" w:color="000000" w:sz="4" w:space="0"/>
              <w:left w:val="single" w:color="000000" w:sz="4" w:space="0"/>
              <w:bottom w:val="single" w:color="000000" w:sz="4" w:space="0"/>
              <w:right w:val="single" w:color="000000" w:sz="4" w:space="0"/>
            </w:tcBorders>
            <w:noWrap w:val="0"/>
            <w:vAlign w:val="center"/>
          </w:tcPr>
          <w:p w14:paraId="6B324C5A">
            <w:pPr>
              <w:pStyle w:val="89"/>
              <w:jc w:val="center"/>
              <w:rPr>
                <w:rFonts w:hint="eastAsia" w:ascii="仿宋" w:hAnsi="仿宋" w:eastAsia="仿宋" w:cs="仿宋"/>
                <w:sz w:val="28"/>
                <w:szCs w:val="28"/>
                <w:highlight w:val="none"/>
                <w:lang w:val="en-US" w:bidi="ar-SA"/>
              </w:rPr>
            </w:pPr>
            <w:r>
              <w:rPr>
                <w:rFonts w:hint="eastAsia" w:ascii="仿宋" w:hAnsi="仿宋" w:eastAsia="仿宋" w:cs="仿宋"/>
                <w:sz w:val="28"/>
                <w:szCs w:val="28"/>
                <w:highlight w:val="none"/>
                <w:lang w:val="en-US" w:eastAsia="zh-CN" w:bidi="ar-SA"/>
              </w:rPr>
              <w:t>……</w:t>
            </w:r>
          </w:p>
        </w:tc>
        <w:tc>
          <w:tcPr>
            <w:tcW w:w="2654" w:type="dxa"/>
            <w:tcBorders>
              <w:top w:val="single" w:color="000000" w:sz="4" w:space="0"/>
              <w:left w:val="single" w:color="000000" w:sz="4" w:space="0"/>
              <w:bottom w:val="single" w:color="000000" w:sz="4" w:space="0"/>
              <w:right w:val="single" w:color="auto" w:sz="4" w:space="0"/>
            </w:tcBorders>
            <w:noWrap w:val="0"/>
            <w:vAlign w:val="center"/>
          </w:tcPr>
          <w:p w14:paraId="1CBD0926">
            <w:pPr>
              <w:pStyle w:val="89"/>
              <w:jc w:val="center"/>
              <w:rPr>
                <w:rFonts w:hint="eastAsia" w:ascii="仿宋" w:hAnsi="仿宋" w:eastAsia="仿宋" w:cs="仿宋"/>
                <w:sz w:val="28"/>
                <w:szCs w:val="28"/>
                <w:highlight w:val="none"/>
                <w:lang w:val="en-US" w:bidi="ar-SA"/>
              </w:rPr>
            </w:pPr>
            <w:r>
              <w:rPr>
                <w:rFonts w:hint="eastAsia" w:ascii="仿宋" w:hAnsi="仿宋" w:eastAsia="仿宋" w:cs="仿宋"/>
                <w:sz w:val="28"/>
                <w:szCs w:val="28"/>
                <w:highlight w:val="none"/>
                <w:lang w:val="en-US" w:eastAsia="zh-CN" w:bidi="ar-SA"/>
              </w:rPr>
              <w:t>……</w:t>
            </w:r>
          </w:p>
        </w:tc>
        <w:tc>
          <w:tcPr>
            <w:tcW w:w="765" w:type="dxa"/>
            <w:tcBorders>
              <w:top w:val="single" w:color="000000" w:sz="4" w:space="0"/>
              <w:left w:val="single" w:color="auto" w:sz="4" w:space="0"/>
              <w:bottom w:val="single" w:color="000000" w:sz="4" w:space="0"/>
              <w:right w:val="single" w:color="000000" w:sz="4" w:space="0"/>
            </w:tcBorders>
            <w:noWrap w:val="0"/>
            <w:vAlign w:val="center"/>
          </w:tcPr>
          <w:p w14:paraId="37FC6233">
            <w:pPr>
              <w:pStyle w:val="89"/>
              <w:jc w:val="center"/>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w:t>
            </w:r>
          </w:p>
        </w:tc>
        <w:tc>
          <w:tcPr>
            <w:tcW w:w="1931" w:type="dxa"/>
            <w:tcBorders>
              <w:top w:val="single" w:color="000000" w:sz="4" w:space="0"/>
              <w:left w:val="single" w:color="000000" w:sz="4" w:space="0"/>
              <w:bottom w:val="single" w:color="000000" w:sz="4" w:space="0"/>
              <w:right w:val="single" w:color="000000" w:sz="4" w:space="0"/>
            </w:tcBorders>
            <w:noWrap w:val="0"/>
            <w:vAlign w:val="center"/>
          </w:tcPr>
          <w:p w14:paraId="10BB7422">
            <w:pPr>
              <w:pStyle w:val="89"/>
              <w:jc w:val="center"/>
              <w:rPr>
                <w:rFonts w:hint="eastAsia" w:ascii="仿宋" w:hAnsi="仿宋" w:eastAsia="仿宋" w:cs="仿宋"/>
                <w:sz w:val="28"/>
                <w:szCs w:val="28"/>
                <w:highlight w:val="none"/>
                <w:lang w:val="en-US" w:bidi="ar-SA"/>
              </w:rPr>
            </w:pPr>
            <w:r>
              <w:rPr>
                <w:rFonts w:hint="eastAsia" w:ascii="仿宋" w:hAnsi="仿宋" w:eastAsia="仿宋" w:cs="仿宋"/>
                <w:sz w:val="28"/>
                <w:szCs w:val="28"/>
                <w:highlight w:val="none"/>
                <w:lang w:val="en-US" w:eastAsia="zh-CN" w:bidi="ar-SA"/>
              </w:rPr>
              <w:t>……</w:t>
            </w:r>
          </w:p>
        </w:tc>
        <w:tc>
          <w:tcPr>
            <w:tcW w:w="2034" w:type="dxa"/>
            <w:tcBorders>
              <w:top w:val="single" w:color="000000" w:sz="4" w:space="0"/>
              <w:left w:val="single" w:color="000000" w:sz="4" w:space="0"/>
              <w:bottom w:val="single" w:color="000000" w:sz="4" w:space="0"/>
              <w:right w:val="single" w:color="000000" w:sz="4" w:space="0"/>
            </w:tcBorders>
            <w:noWrap w:val="0"/>
            <w:vAlign w:val="center"/>
          </w:tcPr>
          <w:p w14:paraId="0D779875">
            <w:pPr>
              <w:pStyle w:val="89"/>
              <w:jc w:val="center"/>
              <w:rPr>
                <w:rFonts w:hint="eastAsia" w:ascii="仿宋" w:hAnsi="仿宋" w:eastAsia="仿宋" w:cs="仿宋"/>
                <w:sz w:val="28"/>
                <w:szCs w:val="28"/>
                <w:highlight w:val="none"/>
                <w:lang w:val="en-US" w:bidi="ar-SA"/>
              </w:rPr>
            </w:pPr>
            <w:r>
              <w:rPr>
                <w:rFonts w:hint="eastAsia" w:ascii="仿宋" w:hAnsi="仿宋" w:eastAsia="仿宋" w:cs="仿宋"/>
                <w:sz w:val="28"/>
                <w:szCs w:val="28"/>
                <w:highlight w:val="none"/>
                <w:lang w:val="en-US" w:eastAsia="zh-CN" w:bidi="ar-SA"/>
              </w:rPr>
              <w:t>……</w:t>
            </w:r>
          </w:p>
        </w:tc>
        <w:tc>
          <w:tcPr>
            <w:tcW w:w="2276" w:type="dxa"/>
            <w:tcBorders>
              <w:top w:val="single" w:color="000000" w:sz="4" w:space="0"/>
              <w:left w:val="single" w:color="000000" w:sz="4" w:space="0"/>
              <w:bottom w:val="single" w:color="000000" w:sz="4" w:space="0"/>
              <w:right w:val="single" w:color="000000" w:sz="4" w:space="0"/>
            </w:tcBorders>
            <w:noWrap w:val="0"/>
            <w:vAlign w:val="center"/>
          </w:tcPr>
          <w:p w14:paraId="6DF9FCCD">
            <w:pPr>
              <w:pStyle w:val="89"/>
              <w:jc w:val="center"/>
              <w:rPr>
                <w:rFonts w:hint="eastAsia" w:ascii="仿宋" w:hAnsi="仿宋" w:eastAsia="仿宋" w:cs="仿宋"/>
                <w:sz w:val="28"/>
                <w:szCs w:val="28"/>
                <w:highlight w:val="none"/>
                <w:lang w:val="en-US" w:bidi="ar-SA"/>
              </w:rPr>
            </w:pPr>
            <w:r>
              <w:rPr>
                <w:rFonts w:hint="eastAsia" w:ascii="仿宋" w:hAnsi="仿宋" w:eastAsia="仿宋" w:cs="仿宋"/>
                <w:sz w:val="28"/>
                <w:szCs w:val="28"/>
                <w:highlight w:val="none"/>
                <w:lang w:val="en-US" w:eastAsia="zh-CN" w:bidi="ar-SA"/>
              </w:rPr>
              <w:t>……</w:t>
            </w:r>
          </w:p>
        </w:tc>
      </w:tr>
    </w:tbl>
    <w:p w14:paraId="52D2311A">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投标单位：（盖章）</w:t>
      </w:r>
    </w:p>
    <w:p w14:paraId="4869B249">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法定代表人</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负责人</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 xml:space="preserve">或委托代理人：      </w:t>
      </w:r>
      <w:r>
        <w:rPr>
          <w:rFonts w:hint="eastAsia" w:ascii="仿宋" w:hAnsi="仿宋" w:eastAsia="仿宋" w:cs="仿宋"/>
          <w:sz w:val="24"/>
          <w:szCs w:val="24"/>
          <w:highlight w:val="none"/>
          <w:lang w:val="zh-CN"/>
        </w:rPr>
        <w:t>（签字或盖章）</w:t>
      </w:r>
    </w:p>
    <w:p w14:paraId="16FA452E">
      <w:pPr>
        <w:snapToGrid w:val="0"/>
        <w:spacing w:line="360" w:lineRule="auto"/>
        <w:ind w:firstLine="240" w:firstLineChars="100"/>
        <w:rPr>
          <w:rFonts w:ascii="仿宋" w:hAnsi="仿宋" w:eastAsia="仿宋" w:cs="仿宋"/>
          <w:b/>
          <w:bCs/>
          <w:sz w:val="24"/>
          <w:szCs w:val="24"/>
          <w:highlight w:val="none"/>
        </w:rPr>
      </w:pPr>
      <w:r>
        <w:rPr>
          <w:rFonts w:hint="eastAsia" w:ascii="仿宋" w:hAnsi="仿宋" w:eastAsia="仿宋" w:cs="仿宋"/>
          <w:sz w:val="24"/>
          <w:szCs w:val="24"/>
          <w:highlight w:val="none"/>
        </w:rPr>
        <w:t>日期：</w:t>
      </w:r>
    </w:p>
    <w:p w14:paraId="1E540846">
      <w:pPr>
        <w:rPr>
          <w:rFonts w:hint="eastAsia" w:ascii="仿宋" w:hAnsi="仿宋" w:eastAsia="仿宋" w:cs="仿宋"/>
          <w:sz w:val="24"/>
          <w:szCs w:val="24"/>
          <w:highlight w:val="none"/>
          <w:lang w:eastAsia="zh-CN"/>
        </w:rPr>
        <w:sectPr>
          <w:pgSz w:w="16838" w:h="11906" w:orient="landscape"/>
          <w:pgMar w:top="1800" w:right="1440" w:bottom="1800" w:left="1440" w:header="851" w:footer="992" w:gutter="0"/>
          <w:pgBorders>
            <w:top w:val="none" w:sz="0" w:space="0"/>
            <w:left w:val="none" w:sz="0" w:space="0"/>
            <w:bottom w:val="none" w:sz="0" w:space="0"/>
            <w:right w:val="none" w:sz="0" w:space="0"/>
          </w:pgBorders>
          <w:cols w:space="720" w:num="1"/>
          <w:titlePg/>
          <w:docGrid w:linePitch="319" w:charSpace="0"/>
        </w:sectPr>
      </w:pPr>
    </w:p>
    <w:p w14:paraId="61FEB662">
      <w:pPr>
        <w:pStyle w:val="23"/>
        <w:wordWrap w:val="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3、加油服务软硬件设备、设施状况</w:t>
      </w:r>
    </w:p>
    <w:p w14:paraId="1E0A7955">
      <w:pPr>
        <w:pStyle w:val="23"/>
        <w:wordWrap w:val="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4、管理措施</w:t>
      </w:r>
    </w:p>
    <w:p w14:paraId="00332172">
      <w:pPr>
        <w:pStyle w:val="23"/>
        <w:tabs>
          <w:tab w:val="left" w:pos="3375"/>
        </w:tabs>
        <w:wordWrap w:val="0"/>
        <w:spacing w:line="360" w:lineRule="auto"/>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5、服务承诺</w:t>
      </w:r>
    </w:p>
    <w:p w14:paraId="6D272394">
      <w:pP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br w:type="page"/>
      </w:r>
    </w:p>
    <w:p w14:paraId="62944B8B">
      <w:pPr>
        <w:pStyle w:val="23"/>
        <w:tabs>
          <w:tab w:val="left" w:pos="3375"/>
        </w:tabs>
        <w:wordWrap w:val="0"/>
        <w:spacing w:line="360" w:lineRule="auto"/>
        <w:jc w:val="center"/>
        <w:rPr>
          <w:rFonts w:hint="eastAsia"/>
          <w:highlight w:val="none"/>
          <w:lang w:eastAsia="zh-CN"/>
        </w:rPr>
      </w:pPr>
      <w:r>
        <w:rPr>
          <w:rFonts w:hint="eastAsia" w:ascii="黑体" w:hAnsi="黑体" w:eastAsia="仿宋" w:cs="Times New Roman"/>
          <w:b/>
          <w:kern w:val="2"/>
          <w:sz w:val="30"/>
          <w:szCs w:val="22"/>
          <w:highlight w:val="none"/>
          <w:lang w:val="en-US" w:eastAsia="zh-CN" w:bidi="ar-SA"/>
        </w:rPr>
        <w:t>第六部分  合同（范本）</w:t>
      </w:r>
      <w:bookmarkEnd w:id="20"/>
    </w:p>
    <w:p w14:paraId="74996702">
      <w:pPr>
        <w:pStyle w:val="23"/>
        <w:spacing w:line="520" w:lineRule="exact"/>
        <w:contextualSpacing/>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                                        合同编号:</w:t>
      </w:r>
    </w:p>
    <w:p w14:paraId="6329D70B">
      <w:pPr>
        <w:pStyle w:val="23"/>
        <w:spacing w:line="520" w:lineRule="exact"/>
        <w:contextualSpacing/>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                                         采购编号： </w:t>
      </w:r>
    </w:p>
    <w:p w14:paraId="187FE1A2">
      <w:pPr>
        <w:spacing w:line="480" w:lineRule="exact"/>
        <w:ind w:firstLine="480" w:firstLineChars="200"/>
        <w:jc w:val="left"/>
        <w:outlineLvl w:val="0"/>
        <w:rPr>
          <w:rFonts w:hint="eastAsia" w:ascii="仿宋" w:hAnsi="仿宋" w:eastAsia="仿宋" w:cs="仿宋"/>
          <w:sz w:val="24"/>
          <w:szCs w:val="24"/>
          <w:highlight w:val="none"/>
        </w:rPr>
      </w:pPr>
      <w:r>
        <w:rPr>
          <w:rFonts w:hint="eastAsia" w:ascii="仿宋" w:hAnsi="仿宋" w:eastAsia="仿宋" w:cs="仿宋"/>
          <w:sz w:val="24"/>
          <w:szCs w:val="24"/>
          <w:highlight w:val="none"/>
        </w:rPr>
        <w:t>本合同于202</w:t>
      </w:r>
      <w:r>
        <w:rPr>
          <w:rFonts w:hint="eastAsia" w:ascii="仿宋" w:hAnsi="仿宋" w:eastAsia="仿宋" w:cs="仿宋"/>
          <w:sz w:val="24"/>
          <w:szCs w:val="24"/>
          <w:highlight w:val="none"/>
          <w:lang w:val="en-US" w:eastAsia="zh-CN"/>
        </w:rPr>
        <w:t>6</w:t>
      </w:r>
      <w:r>
        <w:rPr>
          <w:rFonts w:hint="eastAsia" w:ascii="仿宋" w:hAnsi="仿宋" w:eastAsia="仿宋" w:cs="仿宋"/>
          <w:sz w:val="24"/>
          <w:szCs w:val="24"/>
          <w:highlight w:val="none"/>
        </w:rPr>
        <w:t>年</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月</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日由甲、乙双方共同签订。甲方为威海交通场站管理有限公司、乙方为</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。本合同双方必须遵守《中华人民共和国民法典》,并各自履行应负的全部责任。</w:t>
      </w:r>
    </w:p>
    <w:p w14:paraId="23B9B034">
      <w:pPr>
        <w:spacing w:line="480" w:lineRule="exact"/>
        <w:rPr>
          <w:rFonts w:hint="eastAsia" w:ascii="仿宋" w:hAnsi="仿宋" w:eastAsia="仿宋" w:cs="仿宋"/>
          <w:b/>
          <w:sz w:val="24"/>
          <w:szCs w:val="24"/>
          <w:highlight w:val="none"/>
        </w:rPr>
      </w:pPr>
      <w:r>
        <w:rPr>
          <w:rFonts w:hint="eastAsia" w:ascii="仿宋" w:hAnsi="仿宋" w:eastAsia="仿宋" w:cs="仿宋"/>
          <w:sz w:val="24"/>
          <w:szCs w:val="24"/>
          <w:highlight w:val="none"/>
        </w:rPr>
        <w:tab/>
      </w:r>
      <w:r>
        <w:rPr>
          <w:rFonts w:hint="eastAsia" w:ascii="仿宋" w:hAnsi="仿宋" w:eastAsia="仿宋" w:cs="仿宋"/>
          <w:b/>
          <w:sz w:val="24"/>
          <w:szCs w:val="24"/>
          <w:highlight w:val="none"/>
        </w:rPr>
        <w:t>一、合同的组成部分</w:t>
      </w:r>
    </w:p>
    <w:p w14:paraId="256D230D">
      <w:pPr>
        <w:spacing w:line="48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1．中标通知书</w:t>
      </w:r>
    </w:p>
    <w:p w14:paraId="338DB4F6">
      <w:pPr>
        <w:spacing w:line="48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2．本合同书</w:t>
      </w:r>
    </w:p>
    <w:p w14:paraId="7EB97DD5">
      <w:pPr>
        <w:spacing w:line="48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3．乙方补充、修改和澄清的文件(含开标、评标过程中，双方同意的对有关问题的补充资料和澄清文件)</w:t>
      </w:r>
    </w:p>
    <w:p w14:paraId="56321062">
      <w:pPr>
        <w:spacing w:line="48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4．WHJTCZ202</w:t>
      </w:r>
      <w:r>
        <w:rPr>
          <w:rFonts w:hint="eastAsia" w:ascii="仿宋" w:hAnsi="仿宋" w:eastAsia="仿宋" w:cs="仿宋"/>
          <w:sz w:val="24"/>
          <w:szCs w:val="24"/>
          <w:highlight w:val="none"/>
          <w:lang w:val="en-US" w:eastAsia="zh-CN"/>
        </w:rPr>
        <w:t>6</w:t>
      </w:r>
      <w:r>
        <w:rPr>
          <w:rFonts w:hint="eastAsia" w:ascii="仿宋" w:hAnsi="仿宋" w:eastAsia="仿宋" w:cs="仿宋"/>
          <w:sz w:val="24"/>
          <w:szCs w:val="24"/>
          <w:highlight w:val="none"/>
        </w:rPr>
        <w:t>-000</w:t>
      </w:r>
      <w:r>
        <w:rPr>
          <w:rFonts w:hint="eastAsia" w:ascii="仿宋" w:hAnsi="仿宋" w:eastAsia="仿宋" w:cs="仿宋"/>
          <w:sz w:val="24"/>
          <w:szCs w:val="24"/>
          <w:highlight w:val="none"/>
          <w:lang w:val="en-US" w:eastAsia="zh-CN"/>
        </w:rPr>
        <w:t>7</w:t>
      </w:r>
      <w:r>
        <w:rPr>
          <w:rFonts w:hint="eastAsia" w:ascii="仿宋" w:hAnsi="仿宋" w:eastAsia="仿宋" w:cs="仿宋"/>
          <w:sz w:val="24"/>
          <w:szCs w:val="24"/>
          <w:highlight w:val="none"/>
        </w:rPr>
        <w:t>招标文件</w:t>
      </w:r>
    </w:p>
    <w:p w14:paraId="0CE92410">
      <w:pPr>
        <w:spacing w:line="48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5．乙方的投标文件</w:t>
      </w:r>
    </w:p>
    <w:p w14:paraId="68CA68DC">
      <w:pPr>
        <w:spacing w:line="48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上述文件将相互补充，若有不明确或不一致之处，以上列次序在先者为准。</w:t>
      </w:r>
    </w:p>
    <w:p w14:paraId="4BF1C267">
      <w:pPr>
        <w:spacing w:line="480" w:lineRule="exact"/>
        <w:ind w:firstLine="482" w:firstLineChars="200"/>
        <w:rPr>
          <w:rFonts w:hint="eastAsia" w:ascii="仿宋" w:hAnsi="仿宋" w:eastAsia="仿宋" w:cs="仿宋"/>
          <w:b/>
          <w:sz w:val="24"/>
          <w:szCs w:val="24"/>
          <w:highlight w:val="none"/>
        </w:rPr>
      </w:pPr>
      <w:r>
        <w:rPr>
          <w:rFonts w:hint="eastAsia" w:ascii="仿宋" w:hAnsi="仿宋" w:eastAsia="仿宋" w:cs="仿宋"/>
          <w:b/>
          <w:sz w:val="24"/>
          <w:szCs w:val="24"/>
          <w:highlight w:val="none"/>
        </w:rPr>
        <w:t>二、加油服务范围</w:t>
      </w:r>
    </w:p>
    <w:p w14:paraId="4A4253D4">
      <w:pPr>
        <w:spacing w:line="480" w:lineRule="exact"/>
        <w:ind w:firstLine="480" w:firstLineChars="200"/>
        <w:rPr>
          <w:rFonts w:hint="eastAsia" w:ascii="仿宋" w:hAnsi="仿宋" w:eastAsia="仿宋" w:cs="仿宋"/>
          <w:sz w:val="24"/>
          <w:szCs w:val="24"/>
          <w:highlight w:val="none"/>
        </w:rPr>
      </w:pPr>
      <w:r>
        <w:rPr>
          <w:rFonts w:hint="eastAsia" w:ascii="仿宋" w:hAnsi="仿宋" w:eastAsia="仿宋" w:cs="仿宋"/>
          <w:bCs/>
          <w:sz w:val="24"/>
          <w:szCs w:val="24"/>
          <w:highlight w:val="none"/>
          <w:lang w:val="en-US" w:eastAsia="zh-CN"/>
        </w:rPr>
        <w:t>标包二：选定全国范围定点加油服务单位。</w:t>
      </w:r>
      <w:r>
        <w:rPr>
          <w:rFonts w:hint="eastAsia" w:ascii="仿宋" w:hAnsi="仿宋" w:eastAsia="仿宋" w:cs="仿宋"/>
          <w:sz w:val="24"/>
          <w:szCs w:val="24"/>
          <w:highlight w:val="none"/>
        </w:rPr>
        <w:t>威海交通场站管理有限公司的车辆加油均纳入本合同范围，并享受本合同确定的车辆加油优惠价格和服务。</w:t>
      </w:r>
    </w:p>
    <w:p w14:paraId="1AEB6884">
      <w:pPr>
        <w:spacing w:line="480" w:lineRule="exact"/>
        <w:ind w:firstLine="477" w:firstLineChars="198"/>
        <w:rPr>
          <w:rFonts w:hint="eastAsia" w:ascii="仿宋" w:hAnsi="仿宋" w:eastAsia="仿宋" w:cs="仿宋"/>
          <w:b/>
          <w:sz w:val="24"/>
          <w:szCs w:val="24"/>
          <w:highlight w:val="none"/>
        </w:rPr>
      </w:pPr>
      <w:r>
        <w:rPr>
          <w:rFonts w:hint="eastAsia" w:ascii="仿宋" w:hAnsi="仿宋" w:eastAsia="仿宋" w:cs="仿宋"/>
          <w:b/>
          <w:sz w:val="24"/>
          <w:szCs w:val="24"/>
          <w:highlight w:val="none"/>
        </w:rPr>
        <w:t>三、加油服务优惠：</w:t>
      </w:r>
    </w:p>
    <w:p w14:paraId="1B71819C">
      <w:pPr>
        <w:spacing w:line="480" w:lineRule="exact"/>
        <w:ind w:firstLine="480" w:firstLineChars="200"/>
        <w:rPr>
          <w:rFonts w:hint="eastAsia" w:ascii="仿宋" w:hAnsi="仿宋" w:eastAsia="仿宋" w:cs="仿宋"/>
          <w:highlight w:val="none"/>
          <w:lang w:val="en-US" w:eastAsia="zh-CN"/>
        </w:rPr>
      </w:pPr>
      <w:r>
        <w:rPr>
          <w:rFonts w:hint="eastAsia" w:ascii="仿宋" w:hAnsi="仿宋" w:eastAsia="仿宋" w:cs="仿宋"/>
          <w:bCs/>
          <w:sz w:val="24"/>
          <w:szCs w:val="24"/>
          <w:highlight w:val="none"/>
        </w:rPr>
        <w:t>在国家有关部门批准的当前市场价格的基础上：</w:t>
      </w:r>
      <w:r>
        <w:rPr>
          <w:rFonts w:hint="eastAsia" w:ascii="仿宋" w:hAnsi="仿宋" w:eastAsia="仿宋" w:cs="仿宋"/>
          <w:bCs/>
          <w:sz w:val="24"/>
          <w:szCs w:val="24"/>
          <w:highlight w:val="none"/>
          <w:lang w:val="en-US" w:eastAsia="zh-CN"/>
        </w:rPr>
        <w:t>折扣</w:t>
      </w:r>
      <w:r>
        <w:rPr>
          <w:rFonts w:hint="eastAsia" w:ascii="仿宋" w:hAnsi="仿宋" w:eastAsia="仿宋" w:cs="仿宋"/>
          <w:bCs/>
          <w:sz w:val="24"/>
          <w:szCs w:val="24"/>
          <w:highlight w:val="none"/>
          <w:u w:val="single"/>
          <w:lang w:val="en-US" w:eastAsia="zh-CN"/>
        </w:rPr>
        <w:t xml:space="preserve">    </w:t>
      </w:r>
      <w:r>
        <w:rPr>
          <w:rFonts w:hint="eastAsia" w:ascii="仿宋" w:hAnsi="仿宋" w:eastAsia="仿宋" w:cs="仿宋"/>
          <w:bCs/>
          <w:sz w:val="24"/>
          <w:szCs w:val="24"/>
          <w:highlight w:val="none"/>
          <w:u w:val="none"/>
          <w:lang w:val="en-US" w:eastAsia="zh-CN"/>
        </w:rPr>
        <w:t>%</w:t>
      </w:r>
      <w:r>
        <w:rPr>
          <w:rFonts w:hint="eastAsia" w:ascii="仿宋" w:hAnsi="仿宋" w:eastAsia="仿宋" w:cs="仿宋"/>
          <w:bCs/>
          <w:sz w:val="24"/>
          <w:szCs w:val="24"/>
          <w:highlight w:val="none"/>
          <w:lang w:eastAsia="zh-CN"/>
        </w:rPr>
        <w:t>，若中标单位的优惠力度高</w:t>
      </w:r>
      <w:r>
        <w:rPr>
          <w:rFonts w:hint="eastAsia" w:ascii="仿宋" w:hAnsi="仿宋" w:eastAsia="仿宋" w:cs="仿宋"/>
          <w:color w:val="auto"/>
          <w:kern w:val="2"/>
          <w:sz w:val="24"/>
          <w:szCs w:val="24"/>
          <w:highlight w:val="none"/>
          <w:lang w:eastAsia="zh-CN" w:bidi="ar-SA"/>
        </w:rPr>
        <w:t>于该标准的，按其优惠政策执行。</w:t>
      </w:r>
      <w:r>
        <w:rPr>
          <w:rFonts w:hint="eastAsia" w:ascii="仿宋" w:hAnsi="仿宋" w:eastAsia="仿宋" w:cs="仿宋"/>
          <w:b/>
          <w:bCs/>
          <w:kern w:val="0"/>
          <w:sz w:val="24"/>
          <w:szCs w:val="24"/>
          <w:highlight w:val="none"/>
          <w:lang w:val="en-US" w:eastAsia="zh-CN"/>
        </w:rPr>
        <w:t>（</w:t>
      </w:r>
      <w:r>
        <w:rPr>
          <w:rFonts w:hint="eastAsia" w:ascii="仿宋" w:hAnsi="仿宋" w:eastAsia="仿宋" w:cs="仿宋"/>
          <w:b/>
          <w:bCs/>
          <w:color w:val="000000"/>
          <w:kern w:val="0"/>
          <w:sz w:val="24"/>
          <w:szCs w:val="24"/>
          <w:highlight w:val="none"/>
          <w:lang w:val="en-US" w:eastAsia="zh-CN"/>
        </w:rPr>
        <w:t>仅在</w:t>
      </w:r>
      <w:r>
        <w:rPr>
          <w:rFonts w:hint="eastAsia" w:ascii="仿宋" w:hAnsi="仿宋" w:eastAsia="仿宋" w:cs="仿宋"/>
          <w:b/>
          <w:bCs/>
          <w:spacing w:val="8"/>
          <w:kern w:val="2"/>
          <w:sz w:val="24"/>
          <w:szCs w:val="24"/>
          <w:highlight w:val="none"/>
          <w:lang w:val="en-US" w:eastAsia="zh-CN" w:bidi="ar-SA"/>
        </w:rPr>
        <w:t>山东省内的加油站点执行折扣优惠</w:t>
      </w:r>
      <w:r>
        <w:rPr>
          <w:rFonts w:hint="eastAsia" w:ascii="仿宋" w:hAnsi="仿宋" w:eastAsia="仿宋" w:cs="仿宋"/>
          <w:b/>
          <w:bCs/>
          <w:kern w:val="0"/>
          <w:sz w:val="24"/>
          <w:szCs w:val="24"/>
          <w:highlight w:val="none"/>
          <w:lang w:val="en-US" w:eastAsia="zh-CN"/>
        </w:rPr>
        <w:t>）</w:t>
      </w:r>
    </w:p>
    <w:p w14:paraId="5542088D">
      <w:pPr>
        <w:spacing w:line="480" w:lineRule="exact"/>
        <w:ind w:firstLine="477" w:firstLineChars="198"/>
        <w:rPr>
          <w:rFonts w:hint="eastAsia" w:ascii="仿宋" w:hAnsi="仿宋" w:eastAsia="仿宋" w:cs="仿宋"/>
          <w:b/>
          <w:sz w:val="24"/>
          <w:szCs w:val="24"/>
          <w:highlight w:val="none"/>
        </w:rPr>
      </w:pPr>
      <w:r>
        <w:rPr>
          <w:rFonts w:hint="eastAsia" w:ascii="仿宋" w:hAnsi="仿宋" w:eastAsia="仿宋" w:cs="仿宋"/>
          <w:b/>
          <w:sz w:val="24"/>
          <w:szCs w:val="24"/>
          <w:highlight w:val="none"/>
        </w:rPr>
        <w:t>四、定点加油服务期限</w:t>
      </w:r>
    </w:p>
    <w:p w14:paraId="5B04F04C">
      <w:pPr>
        <w:spacing w:line="480" w:lineRule="exact"/>
        <w:ind w:firstLine="475" w:firstLineChars="198"/>
        <w:rPr>
          <w:rFonts w:hint="eastAsia" w:ascii="仿宋" w:hAnsi="仿宋" w:eastAsia="仿宋" w:cs="仿宋"/>
          <w:sz w:val="24"/>
          <w:szCs w:val="24"/>
          <w:highlight w:val="none"/>
        </w:rPr>
      </w:pPr>
      <w:r>
        <w:rPr>
          <w:rFonts w:hint="eastAsia" w:ascii="仿宋" w:hAnsi="仿宋" w:eastAsia="仿宋" w:cs="仿宋"/>
          <w:sz w:val="24"/>
          <w:szCs w:val="24"/>
          <w:highlight w:val="none"/>
        </w:rPr>
        <w:t>自合同签订之日起一年,合同期满双方无异议的合同可以续签，但最长不超过三年。</w:t>
      </w:r>
    </w:p>
    <w:p w14:paraId="350A38F5">
      <w:pPr>
        <w:spacing w:line="480" w:lineRule="exact"/>
        <w:ind w:firstLine="477" w:firstLineChars="198"/>
        <w:rPr>
          <w:rFonts w:hint="eastAsia" w:ascii="仿宋" w:hAnsi="仿宋" w:eastAsia="仿宋" w:cs="仿宋"/>
          <w:sz w:val="24"/>
          <w:szCs w:val="24"/>
          <w:highlight w:val="none"/>
        </w:rPr>
      </w:pPr>
      <w:r>
        <w:rPr>
          <w:rFonts w:hint="eastAsia" w:ascii="仿宋" w:hAnsi="仿宋" w:eastAsia="仿宋" w:cs="仿宋"/>
          <w:b/>
          <w:sz w:val="24"/>
          <w:szCs w:val="24"/>
          <w:highlight w:val="none"/>
        </w:rPr>
        <w:t>五、车辆加油基本内容：</w:t>
      </w:r>
    </w:p>
    <w:p w14:paraId="17CD8230">
      <w:pPr>
        <w:spacing w:line="480" w:lineRule="exact"/>
        <w:ind w:firstLine="600" w:firstLineChars="250"/>
        <w:rPr>
          <w:rFonts w:hint="eastAsia" w:ascii="仿宋" w:hAnsi="仿宋" w:eastAsia="仿宋" w:cs="仿宋"/>
          <w:sz w:val="24"/>
          <w:szCs w:val="24"/>
          <w:highlight w:val="none"/>
        </w:rPr>
      </w:pPr>
      <w:r>
        <w:rPr>
          <w:rFonts w:hint="eastAsia" w:ascii="仿宋" w:hAnsi="仿宋" w:eastAsia="仿宋" w:cs="仿宋"/>
          <w:sz w:val="24"/>
          <w:szCs w:val="24"/>
          <w:highlight w:val="none"/>
        </w:rPr>
        <w:t>1、乙方根据甲方要求，严格按牌价加优惠费率的办法承办车辆定点加油业务。</w:t>
      </w:r>
    </w:p>
    <w:p w14:paraId="54BF13A5">
      <w:pPr>
        <w:spacing w:line="480" w:lineRule="exact"/>
        <w:ind w:left="-2" w:leftChars="-1" w:firstLine="600" w:firstLineChars="250"/>
        <w:rPr>
          <w:rFonts w:hint="eastAsia" w:ascii="仿宋" w:hAnsi="仿宋" w:eastAsia="仿宋" w:cs="仿宋"/>
          <w:sz w:val="24"/>
          <w:szCs w:val="24"/>
          <w:highlight w:val="none"/>
        </w:rPr>
      </w:pPr>
      <w:r>
        <w:rPr>
          <w:rFonts w:hint="eastAsia" w:ascii="仿宋" w:hAnsi="仿宋" w:eastAsia="仿宋" w:cs="仿宋"/>
          <w:sz w:val="24"/>
          <w:szCs w:val="24"/>
          <w:highlight w:val="none"/>
        </w:rPr>
        <w:t>2、乙方应根据甲方的要求，成立专门机构、指定专人负责甲方用车加油管理，提供二十四小时的优质加油服务。</w:t>
      </w:r>
    </w:p>
    <w:p w14:paraId="54B14077">
      <w:pPr>
        <w:spacing w:line="480" w:lineRule="exact"/>
        <w:ind w:left="-2" w:leftChars="-1" w:firstLine="600" w:firstLineChars="250"/>
        <w:rPr>
          <w:rFonts w:hint="eastAsia" w:ascii="仿宋" w:hAnsi="仿宋" w:eastAsia="仿宋" w:cs="仿宋"/>
          <w:sz w:val="24"/>
          <w:szCs w:val="24"/>
          <w:highlight w:val="none"/>
        </w:rPr>
      </w:pPr>
      <w:r>
        <w:rPr>
          <w:rFonts w:hint="eastAsia" w:ascii="仿宋" w:hAnsi="仿宋" w:eastAsia="仿宋" w:cs="仿宋"/>
          <w:sz w:val="24"/>
          <w:szCs w:val="24"/>
          <w:highlight w:val="none"/>
        </w:rPr>
        <w:t>3、遇国家调整油价，乙方必须及时将油价变动情况按甲方的要求向甲方备案。</w:t>
      </w:r>
    </w:p>
    <w:p w14:paraId="216062CB">
      <w:pPr>
        <w:spacing w:line="480" w:lineRule="exact"/>
        <w:ind w:left="720"/>
        <w:rPr>
          <w:rFonts w:hint="eastAsia" w:ascii="仿宋" w:hAnsi="仿宋" w:eastAsia="仿宋" w:cs="仿宋"/>
          <w:b/>
          <w:sz w:val="24"/>
          <w:szCs w:val="24"/>
          <w:highlight w:val="none"/>
        </w:rPr>
      </w:pPr>
      <w:r>
        <w:rPr>
          <w:rFonts w:hint="eastAsia" w:ascii="仿宋" w:hAnsi="仿宋" w:eastAsia="仿宋" w:cs="仿宋"/>
          <w:b/>
          <w:sz w:val="24"/>
          <w:szCs w:val="24"/>
          <w:highlight w:val="none"/>
        </w:rPr>
        <w:t>六、双方责任和义务</w:t>
      </w:r>
    </w:p>
    <w:p w14:paraId="5E7781AE">
      <w:pPr>
        <w:spacing w:line="48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甲方的责任和义务</w:t>
      </w:r>
    </w:p>
    <w:p w14:paraId="3EC502BA">
      <w:pPr>
        <w:spacing w:line="48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（一）在检查中发现乙方严重</w:t>
      </w:r>
      <w:r>
        <w:rPr>
          <w:rFonts w:hint="eastAsia" w:ascii="仿宋" w:hAnsi="仿宋" w:eastAsia="仿宋" w:cs="仿宋"/>
          <w:color w:val="auto"/>
          <w:sz w:val="24"/>
          <w:szCs w:val="24"/>
          <w:highlight w:val="none"/>
          <w:lang w:eastAsia="zh-CN"/>
        </w:rPr>
        <w:t>违反</w:t>
      </w:r>
      <w:r>
        <w:rPr>
          <w:rFonts w:hint="eastAsia" w:ascii="仿宋" w:hAnsi="仿宋" w:eastAsia="仿宋" w:cs="仿宋"/>
          <w:sz w:val="24"/>
          <w:szCs w:val="24"/>
          <w:highlight w:val="none"/>
        </w:rPr>
        <w:t>本协议书规定，甲方有权终止乙方的定点单位资格。</w:t>
      </w:r>
    </w:p>
    <w:p w14:paraId="4321EC88">
      <w:pPr>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（二）甲方有权监督车辆加油定点单位服务质量，对于乙方服务质量提出警告，直至取消定点单位资格的处罚。</w:t>
      </w:r>
    </w:p>
    <w:p w14:paraId="2DE46F67">
      <w:pPr>
        <w:spacing w:line="480" w:lineRule="exact"/>
        <w:ind w:firstLine="360" w:firstLineChars="15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乙方的责任和义务</w:t>
      </w:r>
    </w:p>
    <w:p w14:paraId="252C43A4">
      <w:pPr>
        <w:spacing w:line="480" w:lineRule="exact"/>
        <w:ind w:firstLine="570"/>
        <w:rPr>
          <w:rFonts w:hint="eastAsia" w:ascii="仿宋" w:hAnsi="仿宋" w:eastAsia="仿宋" w:cs="仿宋"/>
          <w:sz w:val="24"/>
          <w:szCs w:val="24"/>
          <w:highlight w:val="none"/>
        </w:rPr>
      </w:pPr>
      <w:r>
        <w:rPr>
          <w:rFonts w:hint="eastAsia" w:ascii="仿宋" w:hAnsi="仿宋" w:eastAsia="仿宋" w:cs="仿宋"/>
          <w:sz w:val="24"/>
          <w:szCs w:val="24"/>
          <w:highlight w:val="none"/>
        </w:rPr>
        <w:t>（一）严格遵守国家法律、法规和有关规定，合法经营，按章办事，自觉维护甲方的利益。</w:t>
      </w:r>
    </w:p>
    <w:p w14:paraId="56DB6F4F">
      <w:pPr>
        <w:spacing w:line="480" w:lineRule="exact"/>
        <w:ind w:firstLine="570"/>
        <w:rPr>
          <w:rFonts w:hint="eastAsia" w:ascii="仿宋" w:hAnsi="仿宋" w:eastAsia="仿宋" w:cs="仿宋"/>
          <w:sz w:val="24"/>
          <w:szCs w:val="24"/>
          <w:highlight w:val="none"/>
        </w:rPr>
      </w:pPr>
      <w:r>
        <w:rPr>
          <w:rFonts w:hint="eastAsia" w:ascii="仿宋" w:hAnsi="仿宋" w:eastAsia="仿宋" w:cs="仿宋"/>
          <w:sz w:val="24"/>
          <w:szCs w:val="24"/>
          <w:highlight w:val="none"/>
        </w:rPr>
        <w:t>（二）严格执行本协议，全面履行服务承诺，提供快捷、方便、满意的服务。</w:t>
      </w:r>
    </w:p>
    <w:p w14:paraId="069AD942">
      <w:pPr>
        <w:spacing w:line="480" w:lineRule="exact"/>
        <w:ind w:left="0" w:leftChars="0" w:firstLine="64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（三）严格遵守价格优惠承诺，在办理加油业务时，不得收取本协议规定以外的其它费用。</w:t>
      </w:r>
    </w:p>
    <w:p w14:paraId="5FB8ED5A">
      <w:pPr>
        <w:spacing w:line="480" w:lineRule="exact"/>
        <w:ind w:left="0" w:leftChars="0" w:firstLine="64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（四）确定具体定点加油站，配备专兼职工作人员，优先办理车辆加油业务，对车辆加油做到“服务热情、品质优良、优先加油”。</w:t>
      </w:r>
    </w:p>
    <w:p w14:paraId="0B33C240">
      <w:pPr>
        <w:spacing w:line="480" w:lineRule="exact"/>
        <w:ind w:left="0" w:leftChars="0" w:firstLine="64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（五）及时向甲方通报各种油品价格变化等方面的情况。</w:t>
      </w:r>
    </w:p>
    <w:p w14:paraId="0B6509EB">
      <w:pPr>
        <w:spacing w:line="480" w:lineRule="exact"/>
        <w:ind w:left="0" w:leftChars="0" w:firstLine="64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（六）承诺不违规加油，计量用具符合国家有关标准，不</w:t>
      </w:r>
      <w:r>
        <w:rPr>
          <w:rFonts w:hint="eastAsia" w:ascii="仿宋" w:hAnsi="仿宋" w:eastAsia="仿宋" w:cs="仿宋"/>
          <w:sz w:val="24"/>
          <w:szCs w:val="24"/>
          <w:highlight w:val="none"/>
          <w:lang w:val="zh-CN"/>
        </w:rPr>
        <w:t>缺斤短两，</w:t>
      </w:r>
      <w:r>
        <w:rPr>
          <w:rFonts w:hint="eastAsia" w:ascii="仿宋" w:hAnsi="仿宋" w:eastAsia="仿宋" w:cs="仿宋"/>
          <w:sz w:val="24"/>
          <w:szCs w:val="24"/>
          <w:highlight w:val="none"/>
        </w:rPr>
        <w:t>不套取现金、回扣，否则愿意接受处罚。</w:t>
      </w:r>
    </w:p>
    <w:p w14:paraId="3D3ED3DC">
      <w:pPr>
        <w:spacing w:line="480" w:lineRule="exact"/>
        <w:ind w:left="0" w:leftChars="0" w:firstLine="64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（七）保证在油品供应紧张时，保证加油站油品不断档，车辆加油不限量。</w:t>
      </w:r>
    </w:p>
    <w:p w14:paraId="12AA2EED">
      <w:pPr>
        <w:spacing w:line="480" w:lineRule="exact"/>
        <w:ind w:left="0" w:leftChars="0" w:firstLine="64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（八）认真落实防火安全责任制，确保加油车辆的安全，因安全生产措施不力，造成加油车辆损失的，应负赔偿责任。</w:t>
      </w:r>
    </w:p>
    <w:p w14:paraId="47B34232">
      <w:pPr>
        <w:spacing w:line="480" w:lineRule="exact"/>
        <w:ind w:left="0" w:leftChars="0" w:firstLine="64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（九）24小时提供加油服务，节假日照常营业。</w:t>
      </w:r>
    </w:p>
    <w:p w14:paraId="6C0FD85C">
      <w:pPr>
        <w:spacing w:line="480" w:lineRule="exact"/>
        <w:ind w:firstLine="482" w:firstLineChars="200"/>
        <w:rPr>
          <w:rFonts w:hint="eastAsia" w:ascii="仿宋" w:hAnsi="仿宋" w:eastAsia="仿宋" w:cs="仿宋"/>
          <w:b/>
          <w:sz w:val="24"/>
          <w:szCs w:val="24"/>
          <w:highlight w:val="none"/>
        </w:rPr>
      </w:pPr>
      <w:r>
        <w:rPr>
          <w:rFonts w:hint="eastAsia" w:ascii="仿宋" w:hAnsi="仿宋" w:eastAsia="仿宋" w:cs="仿宋"/>
          <w:b/>
          <w:sz w:val="24"/>
          <w:szCs w:val="24"/>
          <w:highlight w:val="none"/>
        </w:rPr>
        <w:t>七、结算</w:t>
      </w:r>
    </w:p>
    <w:p w14:paraId="22279C6C">
      <w:pPr>
        <w:spacing w:line="48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由甲方与乙方根据实际使用量据实结算，并开具增值税专用发票。</w:t>
      </w:r>
    </w:p>
    <w:p w14:paraId="76BCB904">
      <w:pPr>
        <w:spacing w:line="480" w:lineRule="exact"/>
        <w:ind w:firstLine="482" w:firstLineChars="200"/>
        <w:rPr>
          <w:rFonts w:hint="eastAsia" w:ascii="仿宋" w:hAnsi="仿宋" w:eastAsia="仿宋" w:cs="仿宋"/>
          <w:b/>
          <w:sz w:val="24"/>
          <w:szCs w:val="24"/>
          <w:highlight w:val="none"/>
        </w:rPr>
      </w:pPr>
      <w:r>
        <w:rPr>
          <w:rFonts w:hint="eastAsia" w:ascii="仿宋" w:hAnsi="仿宋" w:eastAsia="仿宋" w:cs="仿宋"/>
          <w:b/>
          <w:sz w:val="24"/>
          <w:szCs w:val="24"/>
          <w:highlight w:val="none"/>
        </w:rPr>
        <w:t>八、变更、修改和转让</w:t>
      </w:r>
    </w:p>
    <w:p w14:paraId="62C1AD46">
      <w:pPr>
        <w:spacing w:line="48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乙方应严格按协议约定履行义务，未经甲方书面同意，乙方不得与甲方擅自就协议条款进行变更、修改；不得部分或者全部转让其应履行的合同义务。</w:t>
      </w:r>
    </w:p>
    <w:p w14:paraId="5F8C848F">
      <w:pPr>
        <w:spacing w:line="480" w:lineRule="exact"/>
        <w:ind w:firstLine="482" w:firstLineChars="200"/>
        <w:rPr>
          <w:rFonts w:hint="eastAsia" w:ascii="仿宋" w:hAnsi="仿宋" w:eastAsia="仿宋" w:cs="仿宋"/>
          <w:sz w:val="24"/>
          <w:szCs w:val="24"/>
          <w:highlight w:val="none"/>
        </w:rPr>
      </w:pPr>
      <w:r>
        <w:rPr>
          <w:rFonts w:hint="eastAsia" w:ascii="仿宋" w:hAnsi="仿宋" w:eastAsia="仿宋" w:cs="仿宋"/>
          <w:b/>
          <w:bCs/>
          <w:sz w:val="24"/>
          <w:szCs w:val="24"/>
          <w:highlight w:val="none"/>
        </w:rPr>
        <w:t>九、合同解除</w:t>
      </w:r>
    </w:p>
    <w:p w14:paraId="262CF35F">
      <w:pPr>
        <w:spacing w:line="48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乙方迟延履行义务或者履行义务不符合约定以及违反其他有关规定而应解除协议的，除承担违约责任外，经甲方书面同意，山东省鲁成招标有限公司将向其发出书面通知，解除本协议。</w:t>
      </w:r>
    </w:p>
    <w:p w14:paraId="636A636A">
      <w:pPr>
        <w:spacing w:line="480" w:lineRule="exact"/>
        <w:ind w:firstLine="482" w:firstLineChars="200"/>
        <w:rPr>
          <w:rFonts w:hint="eastAsia" w:ascii="仿宋" w:hAnsi="仿宋" w:eastAsia="仿宋" w:cs="仿宋"/>
          <w:b/>
          <w:sz w:val="24"/>
          <w:szCs w:val="24"/>
          <w:highlight w:val="none"/>
        </w:rPr>
      </w:pPr>
      <w:r>
        <w:rPr>
          <w:rFonts w:hint="eastAsia" w:ascii="仿宋" w:hAnsi="仿宋" w:eastAsia="仿宋" w:cs="仿宋"/>
          <w:b/>
          <w:sz w:val="24"/>
          <w:szCs w:val="24"/>
          <w:highlight w:val="none"/>
        </w:rPr>
        <w:t>十、争议解决</w:t>
      </w:r>
    </w:p>
    <w:p w14:paraId="5CD1DAB0">
      <w:pPr>
        <w:spacing w:line="48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1、协议双方应通过友好协商，解决执行本协议中所发生的或与本协议有关的一切争议，如协商不成，可向协议签约地的人民法院提起诉讼，</w:t>
      </w:r>
      <w:r>
        <w:rPr>
          <w:rFonts w:hint="eastAsia" w:ascii="仿宋" w:hAnsi="仿宋" w:eastAsia="仿宋" w:cs="仿宋"/>
          <w:color w:val="auto"/>
          <w:sz w:val="24"/>
          <w:szCs w:val="24"/>
          <w:highlight w:val="none"/>
          <w:lang w:eastAsia="zh-CN"/>
        </w:rPr>
        <w:t>诉讼费、鉴定费、保全费、保全保险费、</w:t>
      </w:r>
      <w:r>
        <w:rPr>
          <w:rFonts w:hint="eastAsia" w:ascii="仿宋" w:hAnsi="仿宋" w:eastAsia="仿宋" w:cs="仿宋"/>
          <w:color w:val="auto"/>
          <w:sz w:val="24"/>
          <w:szCs w:val="24"/>
          <w:highlight w:val="none"/>
        </w:rPr>
        <w:t>律师费全部由败诉方承担。</w:t>
      </w:r>
    </w:p>
    <w:p w14:paraId="2985E2E3">
      <w:pPr>
        <w:spacing w:line="48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2、在诉讼期间，本协议无争议的部分应继续执行。</w:t>
      </w:r>
    </w:p>
    <w:p w14:paraId="46264342">
      <w:pPr>
        <w:spacing w:line="480" w:lineRule="exact"/>
        <w:ind w:firstLine="482" w:firstLineChars="200"/>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十一、合同生效</w:t>
      </w:r>
    </w:p>
    <w:p w14:paraId="46FDE375">
      <w:pPr>
        <w:spacing w:line="480" w:lineRule="exact"/>
        <w:ind w:firstLine="480" w:firstLineChars="200"/>
        <w:rPr>
          <w:rFonts w:hint="eastAsia" w:ascii="仿宋" w:hAnsi="仿宋" w:eastAsia="仿宋" w:cs="仿宋"/>
          <w:sz w:val="24"/>
          <w:szCs w:val="24"/>
          <w:highlight w:val="none"/>
          <w:shd w:val="pct10" w:color="auto" w:fill="FFFFFF"/>
        </w:rPr>
      </w:pPr>
      <w:r>
        <w:rPr>
          <w:rFonts w:hint="eastAsia" w:ascii="仿宋" w:hAnsi="仿宋" w:eastAsia="仿宋" w:cs="仿宋"/>
          <w:sz w:val="24"/>
          <w:szCs w:val="24"/>
          <w:highlight w:val="none"/>
        </w:rPr>
        <w:t>本协议由双方代表签字并加盖双方公章或合同章后生效。</w:t>
      </w:r>
    </w:p>
    <w:p w14:paraId="31AE91D0">
      <w:pPr>
        <w:spacing w:line="480" w:lineRule="exact"/>
        <w:ind w:firstLine="480" w:firstLineChars="200"/>
        <w:jc w:val="both"/>
        <w:outlineLvl w:val="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合同签订地：山东省威海市经济技术开发区</w:t>
      </w:r>
    </w:p>
    <w:p w14:paraId="3407D9E4">
      <w:pPr>
        <w:pStyle w:val="13"/>
        <w:rPr>
          <w:rFonts w:hint="eastAsia" w:ascii="仿宋" w:hAnsi="仿宋" w:eastAsia="仿宋" w:cs="仿宋"/>
          <w:sz w:val="24"/>
          <w:szCs w:val="24"/>
          <w:highlight w:val="none"/>
          <w:lang w:val="en-US" w:eastAsia="zh-CN"/>
        </w:rPr>
      </w:pPr>
    </w:p>
    <w:p w14:paraId="06D754AA">
      <w:pPr>
        <w:spacing w:line="480" w:lineRule="exact"/>
        <w:ind w:firstLine="480" w:firstLineChars="200"/>
        <w:outlineLvl w:val="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甲    方:威海交通场站管理有　   乙 　　方: </w:t>
      </w:r>
    </w:p>
    <w:p w14:paraId="6AFEDA73">
      <w:pPr>
        <w:pStyle w:val="23"/>
        <w:spacing w:line="480" w:lineRule="exact"/>
        <w:ind w:firstLine="1680" w:firstLineChars="700"/>
        <w:rPr>
          <w:rFonts w:hint="eastAsia" w:ascii="仿宋" w:hAnsi="仿宋" w:eastAsia="仿宋" w:cs="仿宋"/>
          <w:sz w:val="24"/>
          <w:szCs w:val="24"/>
          <w:highlight w:val="none"/>
        </w:rPr>
      </w:pPr>
      <w:r>
        <w:rPr>
          <w:rFonts w:hint="eastAsia" w:ascii="仿宋" w:hAnsi="仿宋" w:eastAsia="仿宋" w:cs="仿宋"/>
          <w:sz w:val="24"/>
          <w:szCs w:val="24"/>
          <w:highlight w:val="none"/>
        </w:rPr>
        <w:t>限公司</w:t>
      </w:r>
    </w:p>
    <w:p w14:paraId="195179DA">
      <w:pPr>
        <w:pStyle w:val="23"/>
        <w:tabs>
          <w:tab w:val="left" w:pos="6200"/>
        </w:tabs>
        <w:spacing w:line="480" w:lineRule="exact"/>
        <w:ind w:left="50"/>
        <w:rPr>
          <w:rFonts w:hint="eastAsia" w:ascii="仿宋" w:hAnsi="仿宋" w:eastAsia="仿宋" w:cs="仿宋"/>
          <w:sz w:val="24"/>
          <w:szCs w:val="24"/>
          <w:highlight w:val="none"/>
        </w:rPr>
      </w:pPr>
    </w:p>
    <w:p w14:paraId="1A42AE53">
      <w:pPr>
        <w:pStyle w:val="23"/>
        <w:tabs>
          <w:tab w:val="left" w:pos="6200"/>
        </w:tabs>
        <w:spacing w:line="480" w:lineRule="exact"/>
        <w:ind w:left="50" w:leftChars="24"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单位盖章:                 　    单位盖章:</w:t>
      </w:r>
    </w:p>
    <w:p w14:paraId="028AA1A5">
      <w:pPr>
        <w:pStyle w:val="23"/>
        <w:spacing w:line="480" w:lineRule="exact"/>
        <w:ind w:left="50" w:leftChars="24" w:firstLine="480" w:firstLineChars="200"/>
        <w:rPr>
          <w:rFonts w:hint="eastAsia" w:ascii="仿宋" w:hAnsi="仿宋" w:eastAsia="仿宋" w:cs="仿宋"/>
          <w:sz w:val="24"/>
          <w:szCs w:val="24"/>
          <w:highlight w:val="none"/>
        </w:rPr>
      </w:pPr>
    </w:p>
    <w:p w14:paraId="1328CCA0">
      <w:pPr>
        <w:pStyle w:val="23"/>
        <w:spacing w:line="480" w:lineRule="exact"/>
        <w:ind w:left="50" w:leftChars="24"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代表签字:                 　    代表签字:</w:t>
      </w:r>
    </w:p>
    <w:p w14:paraId="4D4F4384">
      <w:pPr>
        <w:spacing w:line="480" w:lineRule="exact"/>
        <w:rPr>
          <w:rFonts w:hint="eastAsia" w:ascii="仿宋" w:hAnsi="仿宋" w:eastAsia="仿宋" w:cs="仿宋"/>
          <w:sz w:val="24"/>
          <w:szCs w:val="24"/>
          <w:highlight w:val="none"/>
        </w:rPr>
      </w:pPr>
    </w:p>
    <w:p w14:paraId="59786725">
      <w:pPr>
        <w:spacing w:line="520" w:lineRule="exact"/>
        <w:rPr>
          <w:rFonts w:hint="eastAsia" w:ascii="仿宋" w:hAnsi="仿宋" w:eastAsia="仿宋" w:cs="仿宋"/>
          <w:sz w:val="24"/>
          <w:szCs w:val="24"/>
          <w:highlight w:val="none"/>
        </w:rPr>
      </w:pPr>
    </w:p>
    <w:p w14:paraId="1E977D8C">
      <w:pPr>
        <w:pStyle w:val="23"/>
        <w:tabs>
          <w:tab w:val="left" w:pos="900"/>
        </w:tabs>
        <w:spacing w:line="520" w:lineRule="exact"/>
        <w:ind w:left="46" w:leftChars="22"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注：本合同条款仅供参考，中标后需根据情况另行修改。</w:t>
      </w:r>
      <w:r>
        <w:rPr>
          <w:rFonts w:hint="eastAsia" w:ascii="仿宋" w:hAnsi="仿宋" w:eastAsia="仿宋" w:cs="仿宋"/>
          <w:kern w:val="0"/>
          <w:sz w:val="24"/>
          <w:szCs w:val="24"/>
          <w:highlight w:val="none"/>
        </w:rPr>
        <w:t> </w:t>
      </w:r>
    </w:p>
    <w:p w14:paraId="7D56E562">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4"/>
          <w:szCs w:val="24"/>
          <w:highlight w:val="none"/>
        </w:rPr>
      </w:pPr>
    </w:p>
    <w:sectPr>
      <w:pgSz w:w="11906" w:h="16838"/>
      <w:pgMar w:top="1440" w:right="1800" w:bottom="1440" w:left="1800" w:header="851" w:footer="992" w:gutter="0"/>
      <w:pgBorders>
        <w:top w:val="none" w:sz="0" w:space="0"/>
        <w:left w:val="none" w:sz="0" w:space="0"/>
        <w:bottom w:val="none" w:sz="0" w:space="0"/>
        <w:right w:val="none" w:sz="0" w:space="0"/>
      </w:pgBorders>
      <w:cols w:space="720" w:num="1"/>
      <w:titlePg/>
      <w:docGrid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7A899026-90AF-4F38-A168-C9841EC8713E}"/>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34EF2A1E-1C10-4776-BF75-229B55F11956}"/>
  </w:font>
  <w:font w:name="仿宋">
    <w:panose1 w:val="02010609060101010101"/>
    <w:charset w:val="86"/>
    <w:family w:val="modern"/>
    <w:pitch w:val="default"/>
    <w:sig w:usb0="800002BF" w:usb1="38CF7CFA" w:usb2="00000016" w:usb3="00000000" w:csb0="00040001" w:csb1="00000000"/>
    <w:embedRegular r:id="rId3" w:fontKey="{246AFD84-476C-4E91-82B5-983344ED4614}"/>
  </w:font>
  <w:font w:name="微软雅黑">
    <w:panose1 w:val="020B0503020204020204"/>
    <w:charset w:val="86"/>
    <w:family w:val="swiss"/>
    <w:pitch w:val="default"/>
    <w:sig w:usb0="80000287" w:usb1="2ACF3C50" w:usb2="00000016" w:usb3="00000000" w:csb0="0004001F" w:csb1="00000000"/>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MingLiU">
    <w:altName w:val="PMingLiU-ExtB"/>
    <w:panose1 w:val="02020509000000000000"/>
    <w:charset w:val="88"/>
    <w:family w:val="moder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Tahoma">
    <w:panose1 w:val="020B0604030504040204"/>
    <w:charset w:val="00"/>
    <w:family w:val="swiss"/>
    <w:pitch w:val="default"/>
    <w:sig w:usb0="E1002EFF" w:usb1="C000605B" w:usb2="00000029" w:usb3="00000000" w:csb0="200101FF" w:csb1="2028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embedRegular r:id="rId4" w:fontKey="{4D5DA16E-5B49-4A41-B65C-94D55CE89DBE}"/>
  </w:font>
  <w:font w:name="WPSEMBED1">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41D17B">
    <w:pPr>
      <w:pStyle w:val="28"/>
      <w:jc w:val="center"/>
      <w:rPr>
        <w:rFonts w:eastAsia="仿宋_GB2312"/>
        <w:sz w:val="24"/>
      </w:rPr>
    </w:pPr>
    <w:r>
      <w:rPr>
        <w:sz w:val="24"/>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14935" cy="131445"/>
              <wp:effectExtent l="0" t="0" r="0" b="0"/>
              <wp:wrapNone/>
              <wp:docPr id="9" name="文本框 6"/>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w="15875">
                        <a:noFill/>
                      </a:ln>
                    </wps:spPr>
                    <wps:txbx>
                      <w:txbxContent>
                        <w:p w14:paraId="38F051C0">
                          <w:pPr>
                            <w:pStyle w:val="28"/>
                          </w:pPr>
                          <w:r>
                            <w:fldChar w:fldCharType="begin"/>
                          </w:r>
                          <w:r>
                            <w:instrText xml:space="preserve"> PAGE  \* MERGEFORMAT </w:instrText>
                          </w:r>
                          <w:r>
                            <w:fldChar w:fldCharType="separate"/>
                          </w:r>
                          <w:r>
                            <w:t>66</w:t>
                          </w:r>
                          <w:r>
                            <w:fldChar w:fldCharType="end"/>
                          </w:r>
                        </w:p>
                      </w:txbxContent>
                    </wps:txbx>
                    <wps:bodyPr wrap="none" lIns="0" tIns="0" rIns="0" bIns="0" upright="0">
                      <a:spAutoFit/>
                    </wps:bodyPr>
                  </wps:wsp>
                </a:graphicData>
              </a:graphic>
            </wp:anchor>
          </w:drawing>
        </mc:Choice>
        <mc:Fallback>
          <w:pict>
            <v:shape id="文本框 6" o:spid="_x0000_s1026" o:spt="202" type="#_x0000_t202" style="position:absolute;left:0pt;margin-top:0pt;height:10.35pt;width:9.05pt;mso-position-horizontal:center;mso-position-horizontal-relative:margin;mso-wrap-style:none;z-index:251666432;mso-width-relative:page;mso-height-relative:page;" filled="f" stroked="f" coordsize="21600,21600" o:gfxdata="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BADMeA1AAAAAMBAAAPAAAAAAAAAAEAIAAA&#10;ACIAAABkcnMvZG93bnJldi54bWxQSwECFAAUAAAACACHTuJAYImhqtcBAAChAwAADgAAAAAAAAAB&#10;ACAAAAAjAQAAZHJzL2Uyb0RvYy54bWxQSwUGAAAAAAYABgBZAQAAbAUAAAAA&#10;">
              <v:fill on="f" focussize="0,0"/>
              <v:stroke on="f" weight="1.25pt"/>
              <v:imagedata o:title=""/>
              <o:lock v:ext="edit" aspectratio="f"/>
              <v:textbox inset="0mm,0mm,0mm,0mm" style="mso-fit-shape-to-text:t;">
                <w:txbxContent>
                  <w:p w14:paraId="38F051C0">
                    <w:pPr>
                      <w:pStyle w:val="28"/>
                    </w:pPr>
                    <w:r>
                      <w:fldChar w:fldCharType="begin"/>
                    </w:r>
                    <w:r>
                      <w:instrText xml:space="preserve"> PAGE  \* MERGEFORMAT </w:instrText>
                    </w:r>
                    <w:r>
                      <w:fldChar w:fldCharType="separate"/>
                    </w:r>
                    <w:r>
                      <w:t>66</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19230E">
    <w:pPr>
      <w:pStyle w:val="2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0998BF">
    <w:pPr>
      <w:pStyle w:val="28"/>
    </w:pP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14935" cy="131445"/>
              <wp:effectExtent l="0" t="0" r="0" b="0"/>
              <wp:wrapNone/>
              <wp:docPr id="8" name="文本框 8"/>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a:noFill/>
                      </a:ln>
                    </wps:spPr>
                    <wps:txbx>
                      <w:txbxContent>
                        <w:p w14:paraId="04039A30">
                          <w:pPr>
                            <w:pStyle w:val="28"/>
                            <w:rPr>
                              <w:rFonts w:hint="eastAsia"/>
                            </w:rPr>
                          </w:pP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0.35pt;width:9.05pt;mso-position-horizontal:center;mso-position-horizontal-relative:margin;mso-wrap-style:none;z-index:251665408;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Q+V+SdAAAAADAQAADwAAAAAAAAABACAAAAAiAAAAZHJzL2Rvd25y&#10;ZXYueG1sUEsBAhQAFAAAAAgAh07iQPZf3ozNAQAAlwMAAA4AAAAAAAAAAQAgAAAAHwEAAGRycy9l&#10;Mm9Eb2MueG1sUEsFBgAAAAAGAAYAWQEAAF4FAAAAAA==&#10;">
              <v:fill on="f" focussize="0,0"/>
              <v:stroke on="f"/>
              <v:imagedata o:title=""/>
              <o:lock v:ext="edit" aspectratio="f"/>
              <v:textbox inset="0mm,0mm,0mm,0mm" style="mso-fit-shape-to-text:t;">
                <w:txbxContent>
                  <w:p w14:paraId="04039A30">
                    <w:pPr>
                      <w:pStyle w:val="28"/>
                      <w:rPr>
                        <w:rFonts w:hint="eastAsia"/>
                      </w:rPr>
                    </w:pP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1CC4D2">
    <w:pPr>
      <w:pStyle w:val="28"/>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2" name="文本框 3073"/>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a:noFill/>
                      </a:ln>
                    </wps:spPr>
                    <wps:txbx>
                      <w:txbxContent>
                        <w:p w14:paraId="62D883B7">
                          <w:pPr>
                            <w:pStyle w:val="28"/>
                            <w:jc w:val="center"/>
                          </w:pPr>
                          <w:r>
                            <w:fldChar w:fldCharType="begin"/>
                          </w:r>
                          <w:r>
                            <w:instrText xml:space="preserve"> PAGE  \* MERGEFORMAT </w:instrText>
                          </w:r>
                          <w:r>
                            <w:fldChar w:fldCharType="separate"/>
                          </w:r>
                          <w:r>
                            <w:t>46</w:t>
                          </w:r>
                          <w:r>
                            <w:fldChar w:fldCharType="end"/>
                          </w:r>
                        </w:p>
                      </w:txbxContent>
                    </wps:txbx>
                    <wps:bodyPr wrap="none" lIns="0" tIns="0" rIns="0" bIns="0" upright="1">
                      <a:spAutoFit/>
                    </wps:bodyPr>
                  </wps:wsp>
                </a:graphicData>
              </a:graphic>
            </wp:anchor>
          </w:drawing>
        </mc:Choice>
        <mc:Fallback>
          <w:pict>
            <v:shape id="文本框 3073" o:spid="_x0000_s1026" o:spt="202" type="#_x0000_t202" style="position:absolute;left:0pt;margin-top:0pt;height:10.35pt;width:9.05pt;mso-position-horizontal:center;mso-position-horizontal-relative:margin;mso-wrap-style:none;z-index:251659264;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EPlfknQAAAAAwEAAA8AAAAAAAAAAQAgAAAAIgAAAGRycy9k&#10;b3ducmV2LnhtbFBLAQIUABQAAAAIAIdO4kCyU2r90QEAAJoDAAAOAAAAAAAAAAEAIAAAAB8BAABk&#10;cnMvZTJvRG9jLnhtbFBLBQYAAAAABgAGAFkBAABiBQAAAAA=&#10;">
              <v:fill on="f" focussize="0,0"/>
              <v:stroke on="f"/>
              <v:imagedata o:title=""/>
              <o:lock v:ext="edit" aspectratio="f"/>
              <v:textbox inset="0mm,0mm,0mm,0mm" style="mso-fit-shape-to-text:t;">
                <w:txbxContent>
                  <w:p w14:paraId="62D883B7">
                    <w:pPr>
                      <w:pStyle w:val="28"/>
                      <w:jc w:val="center"/>
                    </w:pPr>
                    <w:r>
                      <w:fldChar w:fldCharType="begin"/>
                    </w:r>
                    <w:r>
                      <w:instrText xml:space="preserve"> PAGE  \* MERGEFORMAT </w:instrText>
                    </w:r>
                    <w:r>
                      <w:fldChar w:fldCharType="separate"/>
                    </w:r>
                    <w:r>
                      <w:t>46</w:t>
                    </w:r>
                    <w:r>
                      <w:fldChar w:fldCharType="end"/>
                    </w:r>
                  </w:p>
                </w:txbxContent>
              </v:textbox>
            </v:shape>
          </w:pict>
        </mc:Fallback>
      </mc:AlternateContent>
    </w:r>
  </w:p>
  <w:p w14:paraId="4C94E02E">
    <w:pPr>
      <w:pStyle w:val="28"/>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0771B2">
    <w:pPr>
      <w:pStyle w:val="28"/>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14935" cy="131445"/>
              <wp:effectExtent l="0" t="0" r="0" b="0"/>
              <wp:wrapNone/>
              <wp:docPr id="6" name="文本框 4"/>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a:noFill/>
                      </a:ln>
                    </wps:spPr>
                    <wps:txbx>
                      <w:txbxContent>
                        <w:p w14:paraId="5AC24396">
                          <w:pPr>
                            <w:pStyle w:val="28"/>
                          </w:pPr>
                          <w:r>
                            <w:fldChar w:fldCharType="begin"/>
                          </w:r>
                          <w:r>
                            <w:instrText xml:space="preserve"> PAGE  \* MERGEFORMAT </w:instrText>
                          </w:r>
                          <w:r>
                            <w:fldChar w:fldCharType="separate"/>
                          </w:r>
                          <w:r>
                            <w:t>60</w:t>
                          </w:r>
                          <w:r>
                            <w:fldChar w:fldCharType="end"/>
                          </w:r>
                        </w:p>
                      </w:txbxContent>
                    </wps:txbx>
                    <wps:bodyPr wrap="none" lIns="0" tIns="0" rIns="0" bIns="0" upright="1">
                      <a:spAutoFit/>
                    </wps:bodyPr>
                  </wps:wsp>
                </a:graphicData>
              </a:graphic>
            </wp:anchor>
          </w:drawing>
        </mc:Choice>
        <mc:Fallback>
          <w:pict>
            <v:shape id="文本框 4" o:spid="_x0000_s1026" o:spt="202" type="#_x0000_t202" style="position:absolute;left:0pt;margin-top:0pt;height:10.35pt;width:9.05pt;mso-position-horizontal:center;mso-position-horizontal-relative:margin;mso-wrap-style:none;z-index:251663360;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EPlfknQAAAAAwEAAA8AAAAAAAAAAQAgAAAAIgAAAGRycy9kb3du&#10;cmV2LnhtbFBLAQIUABQAAAAIAIdO4kCsMT1EzgEAAJcDAAAOAAAAAAAAAAEAIAAAAB8BAABkcnMv&#10;ZTJvRG9jLnhtbFBLBQYAAAAABgAGAFkBAABfBQAAAAA=&#10;">
              <v:fill on="f" focussize="0,0"/>
              <v:stroke on="f"/>
              <v:imagedata o:title=""/>
              <o:lock v:ext="edit" aspectratio="f"/>
              <v:textbox inset="0mm,0mm,0mm,0mm" style="mso-fit-shape-to-text:t;">
                <w:txbxContent>
                  <w:p w14:paraId="5AC24396">
                    <w:pPr>
                      <w:pStyle w:val="28"/>
                    </w:pPr>
                    <w:r>
                      <w:fldChar w:fldCharType="begin"/>
                    </w:r>
                    <w:r>
                      <w:instrText xml:space="preserve"> PAGE  \* MERGEFORMAT </w:instrText>
                    </w:r>
                    <w:r>
                      <w:fldChar w:fldCharType="separate"/>
                    </w:r>
                    <w:r>
                      <w:t>60</w:t>
                    </w:r>
                    <w:r>
                      <w:fldChar w:fldCharType="end"/>
                    </w: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03505" cy="139700"/>
              <wp:effectExtent l="0" t="0" r="0" b="0"/>
              <wp:wrapNone/>
              <wp:docPr id="4" name="文本框 3074"/>
              <wp:cNvGraphicFramePr/>
              <a:graphic xmlns:a="http://schemas.openxmlformats.org/drawingml/2006/main">
                <a:graphicData uri="http://schemas.microsoft.com/office/word/2010/wordprocessingShape">
                  <wps:wsp>
                    <wps:cNvSpPr txBox="1"/>
                    <wps:spPr>
                      <a:xfrm>
                        <a:off x="0" y="0"/>
                        <a:ext cx="103505" cy="139700"/>
                      </a:xfrm>
                      <a:prstGeom prst="rect">
                        <a:avLst/>
                      </a:prstGeom>
                      <a:noFill/>
                      <a:ln>
                        <a:noFill/>
                      </a:ln>
                    </wps:spPr>
                    <wps:txbx>
                      <w:txbxContent>
                        <w:p w14:paraId="436FB0C0">
                          <w:pPr>
                            <w:pStyle w:val="28"/>
                          </w:pPr>
                        </w:p>
                      </w:txbxContent>
                    </wps:txbx>
                    <wps:bodyPr wrap="none" lIns="0" tIns="0" rIns="0" bIns="0" upright="1">
                      <a:spAutoFit/>
                    </wps:bodyPr>
                  </wps:wsp>
                </a:graphicData>
              </a:graphic>
            </wp:anchor>
          </w:drawing>
        </mc:Choice>
        <mc:Fallback>
          <w:pict>
            <v:shape id="文本框 3074" o:spid="_x0000_s1026" o:spt="202" type="#_x0000_t202" style="position:absolute;left:0pt;margin-top:0pt;height:11pt;width:8.15pt;mso-position-horizontal:center;mso-position-horizontal-relative:margin;mso-wrap-style:none;z-index:251661312;mso-width-relative:page;mso-height-relative:page;" filled="f" stroked="f" coordsize="21600,21600" o:gfxdata="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CgyIUc0AAAAAMBAAAPAAAAAAAAAAEAIAAAACIAAABkcnMv&#10;ZG93bnJldi54bWxQSwECFAAUAAAACACHTuJAFVVzDNIBAACaAwAADgAAAAAAAAABACAAAAAfAQAA&#10;ZHJzL2Uyb0RvYy54bWxQSwUGAAAAAAYABgBZAQAAYwUAAAAA&#10;">
              <v:fill on="f" focussize="0,0"/>
              <v:stroke on="f"/>
              <v:imagedata o:title=""/>
              <o:lock v:ext="edit" aspectratio="f"/>
              <v:textbox inset="0mm,0mm,0mm,0mm" style="mso-fit-shape-to-text:t;">
                <w:txbxContent>
                  <w:p w14:paraId="436FB0C0">
                    <w:pPr>
                      <w:pStyle w:val="28"/>
                    </w:pP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AC2F79">
    <w:pPr>
      <w:pStyle w:val="28"/>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3" name="文本框 3073"/>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a:noFill/>
                      </a:ln>
                    </wps:spPr>
                    <wps:txbx>
                      <w:txbxContent>
                        <w:p w14:paraId="25511E5A">
                          <w:pPr>
                            <w:pStyle w:val="28"/>
                            <w:jc w:val="center"/>
                          </w:pPr>
                          <w:r>
                            <w:fldChar w:fldCharType="begin"/>
                          </w:r>
                          <w:r>
                            <w:instrText xml:space="preserve"> PAGE  \* MERGEFORMAT </w:instrText>
                          </w:r>
                          <w:r>
                            <w:fldChar w:fldCharType="separate"/>
                          </w:r>
                          <w:r>
                            <w:t>46</w:t>
                          </w:r>
                          <w:r>
                            <w:fldChar w:fldCharType="end"/>
                          </w:r>
                        </w:p>
                      </w:txbxContent>
                    </wps:txbx>
                    <wps:bodyPr wrap="none" lIns="0" tIns="0" rIns="0" bIns="0" upright="1">
                      <a:spAutoFit/>
                    </wps:bodyPr>
                  </wps:wsp>
                </a:graphicData>
              </a:graphic>
            </wp:anchor>
          </w:drawing>
        </mc:Choice>
        <mc:Fallback>
          <w:pict>
            <v:shape id="文本框 3073" o:spid="_x0000_s1026" o:spt="202" type="#_x0000_t202" style="position:absolute;left:0pt;margin-top:0pt;height:10.35pt;width:9.05pt;mso-position-horizontal:center;mso-position-horizontal-relative:margin;mso-wrap-style:none;z-index:251660288;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EPlfknQAAAAAwEAAA8AAAAAAAAAAQAgAAAAIgAAAGRycy9k&#10;b3ducmV2LnhtbFBLAQIUABQAAAAIAIdO4kAbdfw30QEAAJoDAAAOAAAAAAAAAAEAIAAAAB8BAABk&#10;cnMvZTJvRG9jLnhtbFBLBQYAAAAABgAGAFkBAABiBQAAAAA=&#10;">
              <v:fill on="f" focussize="0,0"/>
              <v:stroke on="f"/>
              <v:imagedata o:title=""/>
              <o:lock v:ext="edit" aspectratio="f"/>
              <v:textbox inset="0mm,0mm,0mm,0mm" style="mso-fit-shape-to-text:t;">
                <w:txbxContent>
                  <w:p w14:paraId="25511E5A">
                    <w:pPr>
                      <w:pStyle w:val="28"/>
                      <w:jc w:val="center"/>
                    </w:pPr>
                    <w:r>
                      <w:fldChar w:fldCharType="begin"/>
                    </w:r>
                    <w:r>
                      <w:instrText xml:space="preserve"> PAGE  \* MERGEFORMAT </w:instrText>
                    </w:r>
                    <w:r>
                      <w:fldChar w:fldCharType="separate"/>
                    </w:r>
                    <w:r>
                      <w:t>46</w:t>
                    </w:r>
                    <w:r>
                      <w:fldChar w:fldCharType="end"/>
                    </w:r>
                  </w:p>
                </w:txbxContent>
              </v:textbox>
            </v:shape>
          </w:pict>
        </mc:Fallback>
      </mc:AlternateContent>
    </w:r>
  </w:p>
  <w:p w14:paraId="0FE1866E">
    <w:pPr>
      <w:pStyle w:val="28"/>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F50D3A">
    <w:pPr>
      <w:pStyle w:val="28"/>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14935" cy="131445"/>
              <wp:effectExtent l="0" t="0" r="0" b="0"/>
              <wp:wrapNone/>
              <wp:docPr id="7" name="文本框 4"/>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a:noFill/>
                      </a:ln>
                    </wps:spPr>
                    <wps:txbx>
                      <w:txbxContent>
                        <w:p w14:paraId="7CECFEAB">
                          <w:pPr>
                            <w:pStyle w:val="28"/>
                          </w:pPr>
                          <w:r>
                            <w:fldChar w:fldCharType="begin"/>
                          </w:r>
                          <w:r>
                            <w:instrText xml:space="preserve"> PAGE  \* MERGEFORMAT </w:instrText>
                          </w:r>
                          <w:r>
                            <w:fldChar w:fldCharType="separate"/>
                          </w:r>
                          <w:r>
                            <w:t>60</w:t>
                          </w:r>
                          <w:r>
                            <w:fldChar w:fldCharType="end"/>
                          </w:r>
                        </w:p>
                      </w:txbxContent>
                    </wps:txbx>
                    <wps:bodyPr wrap="none" lIns="0" tIns="0" rIns="0" bIns="0" upright="1">
                      <a:spAutoFit/>
                    </wps:bodyPr>
                  </wps:wsp>
                </a:graphicData>
              </a:graphic>
            </wp:anchor>
          </w:drawing>
        </mc:Choice>
        <mc:Fallback>
          <w:pict>
            <v:shape id="文本框 4" o:spid="_x0000_s1026" o:spt="202" type="#_x0000_t202" style="position:absolute;left:0pt;margin-top:0pt;height:10.35pt;width:9.05pt;mso-position-horizontal:center;mso-position-horizontal-relative:margin;mso-wrap-style:none;z-index:251664384;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EPlfknQAAAAAwEAAA8AAAAAAAAAAQAgAAAAIgAAAGRycy9kb3du&#10;cmV2LnhtbFBLAQIUABQAAAAIAIdO4kDJWNIhzgEAAJcDAAAOAAAAAAAAAAEAIAAAAB8BAABkcnMv&#10;ZTJvRG9jLnhtbFBLBQYAAAAABgAGAFkBAABfBQAAAAA=&#10;">
              <v:fill on="f" focussize="0,0"/>
              <v:stroke on="f"/>
              <v:imagedata o:title=""/>
              <o:lock v:ext="edit" aspectratio="f"/>
              <v:textbox inset="0mm,0mm,0mm,0mm" style="mso-fit-shape-to-text:t;">
                <w:txbxContent>
                  <w:p w14:paraId="7CECFEAB">
                    <w:pPr>
                      <w:pStyle w:val="28"/>
                    </w:pPr>
                    <w:r>
                      <w:fldChar w:fldCharType="begin"/>
                    </w:r>
                    <w:r>
                      <w:instrText xml:space="preserve"> PAGE  \* MERGEFORMAT </w:instrText>
                    </w:r>
                    <w:r>
                      <w:fldChar w:fldCharType="separate"/>
                    </w:r>
                    <w:r>
                      <w:t>60</w:t>
                    </w:r>
                    <w:r>
                      <w:fldChar w:fldCharType="end"/>
                    </w:r>
                  </w:p>
                </w:txbxContent>
              </v:textbox>
            </v:shape>
          </w:pict>
        </mc:Fallback>
      </mc:AlternateContent>
    </w: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03505" cy="139700"/>
              <wp:effectExtent l="0" t="0" r="0" b="0"/>
              <wp:wrapNone/>
              <wp:docPr id="5" name="文本框 3074"/>
              <wp:cNvGraphicFramePr/>
              <a:graphic xmlns:a="http://schemas.openxmlformats.org/drawingml/2006/main">
                <a:graphicData uri="http://schemas.microsoft.com/office/word/2010/wordprocessingShape">
                  <wps:wsp>
                    <wps:cNvSpPr txBox="1"/>
                    <wps:spPr>
                      <a:xfrm>
                        <a:off x="0" y="0"/>
                        <a:ext cx="103505" cy="139700"/>
                      </a:xfrm>
                      <a:prstGeom prst="rect">
                        <a:avLst/>
                      </a:prstGeom>
                      <a:noFill/>
                      <a:ln>
                        <a:noFill/>
                      </a:ln>
                    </wps:spPr>
                    <wps:txbx>
                      <w:txbxContent>
                        <w:p w14:paraId="1D199262">
                          <w:pPr>
                            <w:pStyle w:val="28"/>
                          </w:pPr>
                        </w:p>
                      </w:txbxContent>
                    </wps:txbx>
                    <wps:bodyPr wrap="none" lIns="0" tIns="0" rIns="0" bIns="0" upright="1">
                      <a:spAutoFit/>
                    </wps:bodyPr>
                  </wps:wsp>
                </a:graphicData>
              </a:graphic>
            </wp:anchor>
          </w:drawing>
        </mc:Choice>
        <mc:Fallback>
          <w:pict>
            <v:shape id="文本框 3074" o:spid="_x0000_s1026" o:spt="202" type="#_x0000_t202" style="position:absolute;left:0pt;margin-top:0pt;height:11pt;width:8.15pt;mso-position-horizontal:center;mso-position-horizontal-relative:margin;mso-wrap-style:none;z-index:251662336;mso-width-relative:page;mso-height-relative:page;" filled="f" stroked="f" coordsize="21600,21600" o:gfxdata="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KDIhRzQAAAAAwEAAA8AAAAAAAAAAQAgAAAAIgAAAGRycy9k&#10;b3ducmV2LnhtbFBLAQIUABQAAAAIAIdO4kC8c+XG0QEAAJoDAAAOAAAAAAAAAAEAIAAAAB8BAABk&#10;cnMvZTJvRG9jLnhtbFBLBQYAAAAABgAGAFkBAABiBQAAAAA=&#10;">
              <v:fill on="f" focussize="0,0"/>
              <v:stroke on="f"/>
              <v:imagedata o:title=""/>
              <o:lock v:ext="edit" aspectratio="f"/>
              <v:textbox inset="0mm,0mm,0mm,0mm" style="mso-fit-shape-to-text:t;">
                <w:txbxContent>
                  <w:p w14:paraId="1D199262">
                    <w:pPr>
                      <w:pStyle w:val="28"/>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4515DC">
    <w:pPr>
      <w:pStyle w:val="29"/>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0D5F56">
    <w:pPr>
      <w:pStyle w:val="2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F34750">
    <w:pPr>
      <w:pStyle w:val="29"/>
      <w:pBdr>
        <w:bottom w:val="none" w:color="auto" w:sz="0" w:space="1"/>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F914C5">
    <w:pPr>
      <w:pStyle w:val="29"/>
      <w:pBdr>
        <w:bottom w:val="none" w:color="auto" w:sz="0" w:space="1"/>
      </w:pBdr>
      <w:jc w:val="left"/>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294E92">
    <w:pPr>
      <w:pStyle w:val="29"/>
      <w:pBdr>
        <w:bottom w:val="none" w:color="auto" w:sz="0" w:space="1"/>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691130">
    <w:pPr>
      <w:pStyle w:val="29"/>
      <w:pBdr>
        <w:bottom w:val="none" w:color="auto" w:sz="0" w:space="1"/>
      </w:pBdr>
      <w:jc w:val="left"/>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A7566C">
    <w:pPr>
      <w:pStyle w:val="29"/>
      <w:pBdr>
        <w:bottom w:val="none" w:color="auto" w:sz="0" w:space="1"/>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3ECBDF">
    <w:pPr>
      <w:tabs>
        <w:tab w:val="left" w:pos="3135"/>
      </w:tabs>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C86CF4F"/>
    <w:multiLevelType w:val="singleLevel"/>
    <w:tmpl w:val="3C86CF4F"/>
    <w:lvl w:ilvl="0" w:tentative="0">
      <w:start w:val="1"/>
      <w:numFmt w:val="decimal"/>
      <w:lvlText w:val="%1."/>
      <w:lvlJc w:val="left"/>
      <w:pPr>
        <w:tabs>
          <w:tab w:val="left" w:pos="312"/>
        </w:tabs>
      </w:pPr>
    </w:lvl>
  </w:abstractNum>
  <w:abstractNum w:abstractNumId="1">
    <w:nsid w:val="5852C880"/>
    <w:multiLevelType w:val="singleLevel"/>
    <w:tmpl w:val="5852C880"/>
    <w:lvl w:ilvl="0" w:tentative="0">
      <w:start w:val="1"/>
      <w:numFmt w:val="decimal"/>
      <w:suff w:val="nothing"/>
      <w:lvlText w:val="%1、"/>
      <w:lvlJc w:val="left"/>
    </w:lvl>
  </w:abstractNum>
  <w:abstractNum w:abstractNumId="2">
    <w:nsid w:val="60AE39CC"/>
    <w:multiLevelType w:val="multilevel"/>
    <w:tmpl w:val="60AE39CC"/>
    <w:lvl w:ilvl="0" w:tentative="0">
      <w:start w:val="1"/>
      <w:numFmt w:val="none"/>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pStyle w:val="5"/>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pStyle w:val="8"/>
      <w:lvlText w:val="           "/>
      <w:lvlJc w:val="left"/>
      <w:pPr>
        <w:tabs>
          <w:tab w:val="left" w:pos="1440"/>
        </w:tabs>
        <w:ind w:left="1152" w:hanging="1152"/>
      </w:pPr>
      <w:rPr>
        <w:rFonts w:hint="eastAsia"/>
      </w:rPr>
    </w:lvl>
    <w:lvl w:ilvl="6" w:tentative="0">
      <w:start w:val="1"/>
      <w:numFmt w:val="decimal"/>
      <w:pStyle w:val="9"/>
      <w:lvlText w:val="%1.%2.%3.%4.%5.%6.%7"/>
      <w:lvlJc w:val="left"/>
      <w:pPr>
        <w:tabs>
          <w:tab w:val="left" w:pos="2520"/>
        </w:tabs>
        <w:ind w:left="1296" w:hanging="1296"/>
      </w:pPr>
      <w:rPr>
        <w:rFonts w:hint="eastAsia"/>
      </w:rPr>
    </w:lvl>
    <w:lvl w:ilvl="7" w:tentative="0">
      <w:start w:val="1"/>
      <w:numFmt w:val="decimal"/>
      <w:pStyle w:val="10"/>
      <w:lvlText w:val="%1.%2.%3.%4.%5.%6.%7.%8"/>
      <w:lvlJc w:val="left"/>
      <w:pPr>
        <w:tabs>
          <w:tab w:val="left" w:pos="1440"/>
        </w:tabs>
        <w:ind w:left="1440" w:hanging="1440"/>
      </w:pPr>
      <w:rPr>
        <w:rFonts w:hint="eastAsia"/>
      </w:rPr>
    </w:lvl>
    <w:lvl w:ilvl="8" w:tentative="0">
      <w:start w:val="1"/>
      <w:numFmt w:val="decimal"/>
      <w:pStyle w:val="11"/>
      <w:lvlText w:val="%1.%2.%3.%4.%5.%6.%7.%8.%9"/>
      <w:lvlJc w:val="left"/>
      <w:pPr>
        <w:tabs>
          <w:tab w:val="left" w:pos="1584"/>
        </w:tabs>
        <w:ind w:left="1584" w:hanging="1584"/>
      </w:pPr>
      <w:rPr>
        <w:rFonts w:hint="eastAsi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420"/>
  <w:hyphenationZone w:val="360"/>
  <w:drawingGridHorizontalSpacing w:val="210"/>
  <w:drawingGridVerticalSpacing w:val="-794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MxMzNmNmU5NjQ4MmQxNjZkYzRkNWUwOWQ2YmE3ZGYifQ=="/>
    <w:docVar w:name="DocumentName" w:val="选定非开挖顶管工程-水平导钻年度供应商招标文件（第2轮定稿10.12）"/>
  </w:docVars>
  <w:rsids>
    <w:rsidRoot w:val="008F3DF1"/>
    <w:rsid w:val="00001097"/>
    <w:rsid w:val="000107A5"/>
    <w:rsid w:val="00011938"/>
    <w:rsid w:val="0002188E"/>
    <w:rsid w:val="000359AF"/>
    <w:rsid w:val="000373A0"/>
    <w:rsid w:val="00051702"/>
    <w:rsid w:val="00056B75"/>
    <w:rsid w:val="000652D4"/>
    <w:rsid w:val="00091BFD"/>
    <w:rsid w:val="000A1562"/>
    <w:rsid w:val="000B2CA0"/>
    <w:rsid w:val="000C506B"/>
    <w:rsid w:val="000D1532"/>
    <w:rsid w:val="000E587C"/>
    <w:rsid w:val="000F1D7A"/>
    <w:rsid w:val="000F401B"/>
    <w:rsid w:val="00105239"/>
    <w:rsid w:val="00114FD8"/>
    <w:rsid w:val="001273F4"/>
    <w:rsid w:val="00127DE4"/>
    <w:rsid w:val="0013384F"/>
    <w:rsid w:val="00133EA6"/>
    <w:rsid w:val="0014461E"/>
    <w:rsid w:val="00161970"/>
    <w:rsid w:val="00163DC6"/>
    <w:rsid w:val="001733A2"/>
    <w:rsid w:val="00173E84"/>
    <w:rsid w:val="00177698"/>
    <w:rsid w:val="00177873"/>
    <w:rsid w:val="00192F9A"/>
    <w:rsid w:val="001E0006"/>
    <w:rsid w:val="001E74DC"/>
    <w:rsid w:val="001F17F0"/>
    <w:rsid w:val="001F4CCE"/>
    <w:rsid w:val="0020789F"/>
    <w:rsid w:val="0021110B"/>
    <w:rsid w:val="0022208F"/>
    <w:rsid w:val="00260C29"/>
    <w:rsid w:val="00265571"/>
    <w:rsid w:val="0027319C"/>
    <w:rsid w:val="00273DA8"/>
    <w:rsid w:val="00274F63"/>
    <w:rsid w:val="002753AA"/>
    <w:rsid w:val="002842BA"/>
    <w:rsid w:val="00285CC0"/>
    <w:rsid w:val="00287530"/>
    <w:rsid w:val="002900F8"/>
    <w:rsid w:val="002A3363"/>
    <w:rsid w:val="002A678C"/>
    <w:rsid w:val="002A7C79"/>
    <w:rsid w:val="002C2C01"/>
    <w:rsid w:val="002C415A"/>
    <w:rsid w:val="002C55BB"/>
    <w:rsid w:val="002D24DE"/>
    <w:rsid w:val="002D7A07"/>
    <w:rsid w:val="002E0D8C"/>
    <w:rsid w:val="002E32BC"/>
    <w:rsid w:val="002E7C2F"/>
    <w:rsid w:val="00300433"/>
    <w:rsid w:val="003024DF"/>
    <w:rsid w:val="00311618"/>
    <w:rsid w:val="00314DFE"/>
    <w:rsid w:val="00325FEE"/>
    <w:rsid w:val="00330228"/>
    <w:rsid w:val="00330847"/>
    <w:rsid w:val="0034436D"/>
    <w:rsid w:val="00354EE7"/>
    <w:rsid w:val="00373CC1"/>
    <w:rsid w:val="003810A9"/>
    <w:rsid w:val="00393BC5"/>
    <w:rsid w:val="00397A2A"/>
    <w:rsid w:val="003A1493"/>
    <w:rsid w:val="003B1643"/>
    <w:rsid w:val="003B1696"/>
    <w:rsid w:val="003B19EC"/>
    <w:rsid w:val="003B4061"/>
    <w:rsid w:val="003D46FB"/>
    <w:rsid w:val="003E1428"/>
    <w:rsid w:val="003E4E43"/>
    <w:rsid w:val="003E54B8"/>
    <w:rsid w:val="003E5A21"/>
    <w:rsid w:val="003F6736"/>
    <w:rsid w:val="0041027E"/>
    <w:rsid w:val="004110FA"/>
    <w:rsid w:val="004143F5"/>
    <w:rsid w:val="00424017"/>
    <w:rsid w:val="00426399"/>
    <w:rsid w:val="00440A56"/>
    <w:rsid w:val="00445552"/>
    <w:rsid w:val="00450EAA"/>
    <w:rsid w:val="00462A67"/>
    <w:rsid w:val="00484781"/>
    <w:rsid w:val="004B3E21"/>
    <w:rsid w:val="004B652B"/>
    <w:rsid w:val="004B6CDB"/>
    <w:rsid w:val="004C50D0"/>
    <w:rsid w:val="004E4AB5"/>
    <w:rsid w:val="004E6976"/>
    <w:rsid w:val="00512336"/>
    <w:rsid w:val="00516B33"/>
    <w:rsid w:val="00520CB3"/>
    <w:rsid w:val="0052117E"/>
    <w:rsid w:val="00524E0C"/>
    <w:rsid w:val="00526386"/>
    <w:rsid w:val="005263F7"/>
    <w:rsid w:val="005264F6"/>
    <w:rsid w:val="005330D2"/>
    <w:rsid w:val="00546853"/>
    <w:rsid w:val="00553506"/>
    <w:rsid w:val="0055409C"/>
    <w:rsid w:val="00560643"/>
    <w:rsid w:val="00564C14"/>
    <w:rsid w:val="00592B3A"/>
    <w:rsid w:val="005A784E"/>
    <w:rsid w:val="005D6E53"/>
    <w:rsid w:val="005E2813"/>
    <w:rsid w:val="005E3E7F"/>
    <w:rsid w:val="005F0A37"/>
    <w:rsid w:val="00607AD5"/>
    <w:rsid w:val="006125DF"/>
    <w:rsid w:val="006504F3"/>
    <w:rsid w:val="0065427B"/>
    <w:rsid w:val="00656CD1"/>
    <w:rsid w:val="00682704"/>
    <w:rsid w:val="00692C25"/>
    <w:rsid w:val="006A30AF"/>
    <w:rsid w:val="006C4313"/>
    <w:rsid w:val="006D3E35"/>
    <w:rsid w:val="007051BD"/>
    <w:rsid w:val="00730B15"/>
    <w:rsid w:val="007311D8"/>
    <w:rsid w:val="0074251B"/>
    <w:rsid w:val="00752D47"/>
    <w:rsid w:val="00753124"/>
    <w:rsid w:val="00766A71"/>
    <w:rsid w:val="00795C0A"/>
    <w:rsid w:val="00795C58"/>
    <w:rsid w:val="007A2B19"/>
    <w:rsid w:val="007A7B7D"/>
    <w:rsid w:val="007A7CB4"/>
    <w:rsid w:val="007B65FB"/>
    <w:rsid w:val="007C426A"/>
    <w:rsid w:val="007D5D6A"/>
    <w:rsid w:val="007D728B"/>
    <w:rsid w:val="007F1952"/>
    <w:rsid w:val="00800F6E"/>
    <w:rsid w:val="00811678"/>
    <w:rsid w:val="00837187"/>
    <w:rsid w:val="00837F49"/>
    <w:rsid w:val="00840900"/>
    <w:rsid w:val="00842A18"/>
    <w:rsid w:val="00842CA7"/>
    <w:rsid w:val="00860907"/>
    <w:rsid w:val="0086139B"/>
    <w:rsid w:val="00871A69"/>
    <w:rsid w:val="008763E3"/>
    <w:rsid w:val="00885830"/>
    <w:rsid w:val="00885F8D"/>
    <w:rsid w:val="0089057A"/>
    <w:rsid w:val="008962BF"/>
    <w:rsid w:val="008B0ABA"/>
    <w:rsid w:val="008B3EA7"/>
    <w:rsid w:val="008D3B2C"/>
    <w:rsid w:val="008D52BA"/>
    <w:rsid w:val="008D7C67"/>
    <w:rsid w:val="008E195A"/>
    <w:rsid w:val="008F2933"/>
    <w:rsid w:val="008F3DF1"/>
    <w:rsid w:val="008F534B"/>
    <w:rsid w:val="0093060F"/>
    <w:rsid w:val="009332D5"/>
    <w:rsid w:val="00940322"/>
    <w:rsid w:val="00950D60"/>
    <w:rsid w:val="009517B0"/>
    <w:rsid w:val="00951EA2"/>
    <w:rsid w:val="00974154"/>
    <w:rsid w:val="0097499D"/>
    <w:rsid w:val="0098079F"/>
    <w:rsid w:val="00996578"/>
    <w:rsid w:val="009A617D"/>
    <w:rsid w:val="009B2656"/>
    <w:rsid w:val="009B4D69"/>
    <w:rsid w:val="009B6BEE"/>
    <w:rsid w:val="009C489A"/>
    <w:rsid w:val="009D4073"/>
    <w:rsid w:val="009D611D"/>
    <w:rsid w:val="009E6AA6"/>
    <w:rsid w:val="009F069E"/>
    <w:rsid w:val="00A27EC4"/>
    <w:rsid w:val="00A460D0"/>
    <w:rsid w:val="00A51E0D"/>
    <w:rsid w:val="00A536CD"/>
    <w:rsid w:val="00A545ED"/>
    <w:rsid w:val="00A567C1"/>
    <w:rsid w:val="00A569B3"/>
    <w:rsid w:val="00A63F72"/>
    <w:rsid w:val="00A70151"/>
    <w:rsid w:val="00A708C3"/>
    <w:rsid w:val="00A736AB"/>
    <w:rsid w:val="00A74972"/>
    <w:rsid w:val="00A824E9"/>
    <w:rsid w:val="00A92EAB"/>
    <w:rsid w:val="00A9613E"/>
    <w:rsid w:val="00AA1CFD"/>
    <w:rsid w:val="00AA2F7D"/>
    <w:rsid w:val="00AA6780"/>
    <w:rsid w:val="00AC4BE9"/>
    <w:rsid w:val="00AD52A9"/>
    <w:rsid w:val="00AE6B76"/>
    <w:rsid w:val="00AF25C1"/>
    <w:rsid w:val="00AF2670"/>
    <w:rsid w:val="00AF3217"/>
    <w:rsid w:val="00B0188B"/>
    <w:rsid w:val="00B21447"/>
    <w:rsid w:val="00B477A1"/>
    <w:rsid w:val="00B60ADB"/>
    <w:rsid w:val="00B61995"/>
    <w:rsid w:val="00B6507B"/>
    <w:rsid w:val="00B915CE"/>
    <w:rsid w:val="00BB09CD"/>
    <w:rsid w:val="00BB3C18"/>
    <w:rsid w:val="00BC317D"/>
    <w:rsid w:val="00BC379D"/>
    <w:rsid w:val="00BC4913"/>
    <w:rsid w:val="00BD08A4"/>
    <w:rsid w:val="00BD0DF6"/>
    <w:rsid w:val="00BD14EE"/>
    <w:rsid w:val="00BD28DF"/>
    <w:rsid w:val="00BE01F4"/>
    <w:rsid w:val="00BE1B0D"/>
    <w:rsid w:val="00BE449B"/>
    <w:rsid w:val="00C14B5C"/>
    <w:rsid w:val="00C15C16"/>
    <w:rsid w:val="00C17511"/>
    <w:rsid w:val="00C312E2"/>
    <w:rsid w:val="00C37264"/>
    <w:rsid w:val="00C40C13"/>
    <w:rsid w:val="00C418A0"/>
    <w:rsid w:val="00C52D25"/>
    <w:rsid w:val="00C56BE0"/>
    <w:rsid w:val="00C641EE"/>
    <w:rsid w:val="00C65FED"/>
    <w:rsid w:val="00C71CF6"/>
    <w:rsid w:val="00C7305E"/>
    <w:rsid w:val="00C778AC"/>
    <w:rsid w:val="00CB2530"/>
    <w:rsid w:val="00CB3B6A"/>
    <w:rsid w:val="00CB43CC"/>
    <w:rsid w:val="00CB7FB6"/>
    <w:rsid w:val="00CD2116"/>
    <w:rsid w:val="00CD470D"/>
    <w:rsid w:val="00CD7796"/>
    <w:rsid w:val="00CE02B1"/>
    <w:rsid w:val="00CF15E9"/>
    <w:rsid w:val="00CF601A"/>
    <w:rsid w:val="00D23A14"/>
    <w:rsid w:val="00D272E1"/>
    <w:rsid w:val="00D3584E"/>
    <w:rsid w:val="00D43E2F"/>
    <w:rsid w:val="00D4442C"/>
    <w:rsid w:val="00D5778D"/>
    <w:rsid w:val="00D647B4"/>
    <w:rsid w:val="00D727FF"/>
    <w:rsid w:val="00D86210"/>
    <w:rsid w:val="00D90408"/>
    <w:rsid w:val="00D9095E"/>
    <w:rsid w:val="00D92578"/>
    <w:rsid w:val="00D9431A"/>
    <w:rsid w:val="00DA407F"/>
    <w:rsid w:val="00DA4BAE"/>
    <w:rsid w:val="00DD63E2"/>
    <w:rsid w:val="00DF0F35"/>
    <w:rsid w:val="00DF18E1"/>
    <w:rsid w:val="00DF1AB0"/>
    <w:rsid w:val="00DF3CC7"/>
    <w:rsid w:val="00E01FF6"/>
    <w:rsid w:val="00E36C39"/>
    <w:rsid w:val="00E42B3A"/>
    <w:rsid w:val="00E77929"/>
    <w:rsid w:val="00E83FA3"/>
    <w:rsid w:val="00E85609"/>
    <w:rsid w:val="00ED008E"/>
    <w:rsid w:val="00ED0C6F"/>
    <w:rsid w:val="00EE209D"/>
    <w:rsid w:val="00EE5A5F"/>
    <w:rsid w:val="00EF1F51"/>
    <w:rsid w:val="00EF2BD5"/>
    <w:rsid w:val="00EF2D6B"/>
    <w:rsid w:val="00F2277A"/>
    <w:rsid w:val="00F32B1D"/>
    <w:rsid w:val="00F5020D"/>
    <w:rsid w:val="00F63E87"/>
    <w:rsid w:val="00F66E57"/>
    <w:rsid w:val="00F71475"/>
    <w:rsid w:val="00F740DA"/>
    <w:rsid w:val="00F800AE"/>
    <w:rsid w:val="00FA4386"/>
    <w:rsid w:val="00FA5573"/>
    <w:rsid w:val="00FC44D5"/>
    <w:rsid w:val="00FC7994"/>
    <w:rsid w:val="00FE24C2"/>
    <w:rsid w:val="010F10D8"/>
    <w:rsid w:val="01386691"/>
    <w:rsid w:val="01482390"/>
    <w:rsid w:val="01626374"/>
    <w:rsid w:val="018607C2"/>
    <w:rsid w:val="01916C5A"/>
    <w:rsid w:val="01A717A7"/>
    <w:rsid w:val="01AA1039"/>
    <w:rsid w:val="01F15E4E"/>
    <w:rsid w:val="02067D25"/>
    <w:rsid w:val="0210458C"/>
    <w:rsid w:val="0224293B"/>
    <w:rsid w:val="02250785"/>
    <w:rsid w:val="023824A9"/>
    <w:rsid w:val="024737BC"/>
    <w:rsid w:val="02537422"/>
    <w:rsid w:val="02593918"/>
    <w:rsid w:val="02632FB4"/>
    <w:rsid w:val="028454C6"/>
    <w:rsid w:val="02BA785F"/>
    <w:rsid w:val="02CD1F13"/>
    <w:rsid w:val="0332621A"/>
    <w:rsid w:val="035B79DB"/>
    <w:rsid w:val="035F6F01"/>
    <w:rsid w:val="03686674"/>
    <w:rsid w:val="037C7496"/>
    <w:rsid w:val="038A3960"/>
    <w:rsid w:val="03A34A56"/>
    <w:rsid w:val="03B222B1"/>
    <w:rsid w:val="03C54999"/>
    <w:rsid w:val="03DB1117"/>
    <w:rsid w:val="03E23B37"/>
    <w:rsid w:val="03E80687"/>
    <w:rsid w:val="03E92685"/>
    <w:rsid w:val="040C2BAD"/>
    <w:rsid w:val="041871BE"/>
    <w:rsid w:val="04381749"/>
    <w:rsid w:val="04382726"/>
    <w:rsid w:val="043C7355"/>
    <w:rsid w:val="046B128A"/>
    <w:rsid w:val="04A643B1"/>
    <w:rsid w:val="04B36B01"/>
    <w:rsid w:val="04BA68C6"/>
    <w:rsid w:val="04BE3BAF"/>
    <w:rsid w:val="04CD527F"/>
    <w:rsid w:val="04E61B13"/>
    <w:rsid w:val="04E752B7"/>
    <w:rsid w:val="04F66AB2"/>
    <w:rsid w:val="050E236F"/>
    <w:rsid w:val="053F17F0"/>
    <w:rsid w:val="058C559B"/>
    <w:rsid w:val="058E795B"/>
    <w:rsid w:val="05960333"/>
    <w:rsid w:val="05C1332E"/>
    <w:rsid w:val="05E76E48"/>
    <w:rsid w:val="05F53ED1"/>
    <w:rsid w:val="06392DBF"/>
    <w:rsid w:val="06570680"/>
    <w:rsid w:val="065E4C1C"/>
    <w:rsid w:val="0661309E"/>
    <w:rsid w:val="0677632A"/>
    <w:rsid w:val="067F52D3"/>
    <w:rsid w:val="069E0C8C"/>
    <w:rsid w:val="06AE4995"/>
    <w:rsid w:val="06BA43A3"/>
    <w:rsid w:val="06CE0008"/>
    <w:rsid w:val="070677A2"/>
    <w:rsid w:val="07464042"/>
    <w:rsid w:val="07C136C9"/>
    <w:rsid w:val="07C22D32"/>
    <w:rsid w:val="07D63618"/>
    <w:rsid w:val="07F0575A"/>
    <w:rsid w:val="07F6156D"/>
    <w:rsid w:val="07FB16AC"/>
    <w:rsid w:val="0803158C"/>
    <w:rsid w:val="080B2B96"/>
    <w:rsid w:val="084E323F"/>
    <w:rsid w:val="08501519"/>
    <w:rsid w:val="08631238"/>
    <w:rsid w:val="088377C5"/>
    <w:rsid w:val="089C05F6"/>
    <w:rsid w:val="08A72DB3"/>
    <w:rsid w:val="08A90D2D"/>
    <w:rsid w:val="08C96D7B"/>
    <w:rsid w:val="08DA1CD0"/>
    <w:rsid w:val="08DF5A76"/>
    <w:rsid w:val="08EB6C4F"/>
    <w:rsid w:val="096F5AD2"/>
    <w:rsid w:val="099B1640"/>
    <w:rsid w:val="09CD0A4B"/>
    <w:rsid w:val="09CD66ED"/>
    <w:rsid w:val="09D726B7"/>
    <w:rsid w:val="09E57988"/>
    <w:rsid w:val="09F72AC1"/>
    <w:rsid w:val="0A1B5868"/>
    <w:rsid w:val="0A554394"/>
    <w:rsid w:val="0A570314"/>
    <w:rsid w:val="0A586566"/>
    <w:rsid w:val="0A9B0C3A"/>
    <w:rsid w:val="0AA43C12"/>
    <w:rsid w:val="0AD377C9"/>
    <w:rsid w:val="0AD94152"/>
    <w:rsid w:val="0B031002"/>
    <w:rsid w:val="0B112BB9"/>
    <w:rsid w:val="0B411470"/>
    <w:rsid w:val="0B4417DD"/>
    <w:rsid w:val="0B482350"/>
    <w:rsid w:val="0B5B5EDE"/>
    <w:rsid w:val="0B626891"/>
    <w:rsid w:val="0BB74BDB"/>
    <w:rsid w:val="0BCD6AE0"/>
    <w:rsid w:val="0BD133ED"/>
    <w:rsid w:val="0BE45BD8"/>
    <w:rsid w:val="0BE97E49"/>
    <w:rsid w:val="0BEE1148"/>
    <w:rsid w:val="0C0627BD"/>
    <w:rsid w:val="0C1A5615"/>
    <w:rsid w:val="0C4C1E7D"/>
    <w:rsid w:val="0C6B2A00"/>
    <w:rsid w:val="0C7C445A"/>
    <w:rsid w:val="0C860B6D"/>
    <w:rsid w:val="0C8F1FE8"/>
    <w:rsid w:val="0CA37841"/>
    <w:rsid w:val="0CDB0BB0"/>
    <w:rsid w:val="0CDC4881"/>
    <w:rsid w:val="0CF173D2"/>
    <w:rsid w:val="0D014D4B"/>
    <w:rsid w:val="0D0878C3"/>
    <w:rsid w:val="0D0A6AC9"/>
    <w:rsid w:val="0D35493D"/>
    <w:rsid w:val="0D37494D"/>
    <w:rsid w:val="0D4D3399"/>
    <w:rsid w:val="0D520C28"/>
    <w:rsid w:val="0D7C003C"/>
    <w:rsid w:val="0DC16A23"/>
    <w:rsid w:val="0DCA2A4D"/>
    <w:rsid w:val="0E0953E6"/>
    <w:rsid w:val="0E0B47ED"/>
    <w:rsid w:val="0E1E7AC7"/>
    <w:rsid w:val="0E1F3980"/>
    <w:rsid w:val="0E2E3EEC"/>
    <w:rsid w:val="0E5D4C81"/>
    <w:rsid w:val="0E7455B2"/>
    <w:rsid w:val="0E7B1AA2"/>
    <w:rsid w:val="0E7F23A4"/>
    <w:rsid w:val="0EB02274"/>
    <w:rsid w:val="0EBC4442"/>
    <w:rsid w:val="0EC355B3"/>
    <w:rsid w:val="0EE52C29"/>
    <w:rsid w:val="0EEE56EB"/>
    <w:rsid w:val="0EFB3A31"/>
    <w:rsid w:val="0F1A3B0B"/>
    <w:rsid w:val="0F29172E"/>
    <w:rsid w:val="0F2A351A"/>
    <w:rsid w:val="0F2E3D3A"/>
    <w:rsid w:val="0F3A6B8F"/>
    <w:rsid w:val="0F5F1A0C"/>
    <w:rsid w:val="0F713C26"/>
    <w:rsid w:val="0F881128"/>
    <w:rsid w:val="0F972C0D"/>
    <w:rsid w:val="0FAB7566"/>
    <w:rsid w:val="0FBA413C"/>
    <w:rsid w:val="0FBE5C0C"/>
    <w:rsid w:val="0FD26F25"/>
    <w:rsid w:val="0FE4264A"/>
    <w:rsid w:val="0FFC1742"/>
    <w:rsid w:val="100101CD"/>
    <w:rsid w:val="10097768"/>
    <w:rsid w:val="101925B4"/>
    <w:rsid w:val="101D191F"/>
    <w:rsid w:val="102E6638"/>
    <w:rsid w:val="10341CED"/>
    <w:rsid w:val="1047087A"/>
    <w:rsid w:val="104A65A1"/>
    <w:rsid w:val="108B094A"/>
    <w:rsid w:val="109E0A4B"/>
    <w:rsid w:val="10AD2D88"/>
    <w:rsid w:val="10C81F6C"/>
    <w:rsid w:val="10EA2BC5"/>
    <w:rsid w:val="10F414EA"/>
    <w:rsid w:val="10FA0DBF"/>
    <w:rsid w:val="11166793"/>
    <w:rsid w:val="11293107"/>
    <w:rsid w:val="112E5EC1"/>
    <w:rsid w:val="1137024E"/>
    <w:rsid w:val="113D0F5B"/>
    <w:rsid w:val="114F2865"/>
    <w:rsid w:val="11596432"/>
    <w:rsid w:val="11A15B97"/>
    <w:rsid w:val="11A77CAA"/>
    <w:rsid w:val="11EE332D"/>
    <w:rsid w:val="11F06FDA"/>
    <w:rsid w:val="11F33CA4"/>
    <w:rsid w:val="11F748B7"/>
    <w:rsid w:val="12056664"/>
    <w:rsid w:val="12085B3C"/>
    <w:rsid w:val="120E415D"/>
    <w:rsid w:val="120E4C15"/>
    <w:rsid w:val="12327377"/>
    <w:rsid w:val="12672719"/>
    <w:rsid w:val="12767883"/>
    <w:rsid w:val="12A42854"/>
    <w:rsid w:val="12AB744F"/>
    <w:rsid w:val="12AC2975"/>
    <w:rsid w:val="12AC5C2E"/>
    <w:rsid w:val="12DF6C64"/>
    <w:rsid w:val="12E017EF"/>
    <w:rsid w:val="1340020D"/>
    <w:rsid w:val="13451652"/>
    <w:rsid w:val="13797A19"/>
    <w:rsid w:val="13A31C28"/>
    <w:rsid w:val="13BB7C9E"/>
    <w:rsid w:val="13CE7899"/>
    <w:rsid w:val="13CF528F"/>
    <w:rsid w:val="141E5F1B"/>
    <w:rsid w:val="14442C0E"/>
    <w:rsid w:val="14577569"/>
    <w:rsid w:val="1468030C"/>
    <w:rsid w:val="14736AB2"/>
    <w:rsid w:val="147B7590"/>
    <w:rsid w:val="1481490C"/>
    <w:rsid w:val="14B6241E"/>
    <w:rsid w:val="14C76A12"/>
    <w:rsid w:val="14D36781"/>
    <w:rsid w:val="14E25007"/>
    <w:rsid w:val="14EB18BB"/>
    <w:rsid w:val="15237771"/>
    <w:rsid w:val="153E5A17"/>
    <w:rsid w:val="159B6C93"/>
    <w:rsid w:val="159D39C7"/>
    <w:rsid w:val="15AE7584"/>
    <w:rsid w:val="15BF5528"/>
    <w:rsid w:val="15C40C40"/>
    <w:rsid w:val="15CA4090"/>
    <w:rsid w:val="16113804"/>
    <w:rsid w:val="16432473"/>
    <w:rsid w:val="165672E8"/>
    <w:rsid w:val="167964D4"/>
    <w:rsid w:val="16890903"/>
    <w:rsid w:val="16900E36"/>
    <w:rsid w:val="16917C74"/>
    <w:rsid w:val="16A01D0F"/>
    <w:rsid w:val="16A10ABF"/>
    <w:rsid w:val="16A82624"/>
    <w:rsid w:val="16AB476B"/>
    <w:rsid w:val="16B83E57"/>
    <w:rsid w:val="16C01312"/>
    <w:rsid w:val="16E719E6"/>
    <w:rsid w:val="16ED44DA"/>
    <w:rsid w:val="170E2F06"/>
    <w:rsid w:val="172C5003"/>
    <w:rsid w:val="175207E1"/>
    <w:rsid w:val="179258AA"/>
    <w:rsid w:val="17B95613"/>
    <w:rsid w:val="17F660E0"/>
    <w:rsid w:val="17F81D61"/>
    <w:rsid w:val="18291412"/>
    <w:rsid w:val="182A0E16"/>
    <w:rsid w:val="18315A8D"/>
    <w:rsid w:val="18626802"/>
    <w:rsid w:val="18D641E0"/>
    <w:rsid w:val="18E65685"/>
    <w:rsid w:val="18F719F9"/>
    <w:rsid w:val="19333C3D"/>
    <w:rsid w:val="193446F8"/>
    <w:rsid w:val="193631F2"/>
    <w:rsid w:val="19530656"/>
    <w:rsid w:val="19A80665"/>
    <w:rsid w:val="19AA0184"/>
    <w:rsid w:val="19E03E83"/>
    <w:rsid w:val="19E42FA8"/>
    <w:rsid w:val="19EA6CD0"/>
    <w:rsid w:val="19FD4A34"/>
    <w:rsid w:val="1A2076E9"/>
    <w:rsid w:val="1A2F6FA0"/>
    <w:rsid w:val="1A4678C3"/>
    <w:rsid w:val="1A737064"/>
    <w:rsid w:val="1A7F53D6"/>
    <w:rsid w:val="1A9A04D5"/>
    <w:rsid w:val="1A9B5FFB"/>
    <w:rsid w:val="1AD53910"/>
    <w:rsid w:val="1AE11D63"/>
    <w:rsid w:val="1B30700B"/>
    <w:rsid w:val="1B3747DD"/>
    <w:rsid w:val="1B606546"/>
    <w:rsid w:val="1B730D89"/>
    <w:rsid w:val="1B75684C"/>
    <w:rsid w:val="1B83540D"/>
    <w:rsid w:val="1B854CE1"/>
    <w:rsid w:val="1B862CED"/>
    <w:rsid w:val="1BB67C61"/>
    <w:rsid w:val="1BD07CC7"/>
    <w:rsid w:val="1BD725D3"/>
    <w:rsid w:val="1BF91E42"/>
    <w:rsid w:val="1C0D641B"/>
    <w:rsid w:val="1C191BC6"/>
    <w:rsid w:val="1C2F2D72"/>
    <w:rsid w:val="1C404EA7"/>
    <w:rsid w:val="1C6358AB"/>
    <w:rsid w:val="1C751D0C"/>
    <w:rsid w:val="1CA10EA8"/>
    <w:rsid w:val="1CA56E81"/>
    <w:rsid w:val="1CD21FF5"/>
    <w:rsid w:val="1CF1781E"/>
    <w:rsid w:val="1CF74F2E"/>
    <w:rsid w:val="1CFD3435"/>
    <w:rsid w:val="1D473D20"/>
    <w:rsid w:val="1D5F1AB5"/>
    <w:rsid w:val="1D791955"/>
    <w:rsid w:val="1D9134D8"/>
    <w:rsid w:val="1DD50B17"/>
    <w:rsid w:val="1DDC31B9"/>
    <w:rsid w:val="1DF36151"/>
    <w:rsid w:val="1DF43546"/>
    <w:rsid w:val="1DF66546"/>
    <w:rsid w:val="1E0B0B6C"/>
    <w:rsid w:val="1E0F3759"/>
    <w:rsid w:val="1E28435D"/>
    <w:rsid w:val="1E4B079E"/>
    <w:rsid w:val="1E5F714B"/>
    <w:rsid w:val="1E601701"/>
    <w:rsid w:val="1E787412"/>
    <w:rsid w:val="1E7C1FEB"/>
    <w:rsid w:val="1E840164"/>
    <w:rsid w:val="1E8D59CB"/>
    <w:rsid w:val="1E971C7C"/>
    <w:rsid w:val="1E9D2342"/>
    <w:rsid w:val="1EA96A41"/>
    <w:rsid w:val="1EAE365D"/>
    <w:rsid w:val="1EF108E0"/>
    <w:rsid w:val="1F212F73"/>
    <w:rsid w:val="1F2554A1"/>
    <w:rsid w:val="1F285841"/>
    <w:rsid w:val="1F5D7D23"/>
    <w:rsid w:val="1F8506BB"/>
    <w:rsid w:val="1FBF0321"/>
    <w:rsid w:val="1FC57DA2"/>
    <w:rsid w:val="1FD75EB6"/>
    <w:rsid w:val="20293342"/>
    <w:rsid w:val="203977DF"/>
    <w:rsid w:val="20AC11C0"/>
    <w:rsid w:val="20D76825"/>
    <w:rsid w:val="20DB3072"/>
    <w:rsid w:val="2100305C"/>
    <w:rsid w:val="21311468"/>
    <w:rsid w:val="216B0993"/>
    <w:rsid w:val="21764C9F"/>
    <w:rsid w:val="21806A80"/>
    <w:rsid w:val="21BC015E"/>
    <w:rsid w:val="21E85818"/>
    <w:rsid w:val="21EB64F7"/>
    <w:rsid w:val="21FB7D81"/>
    <w:rsid w:val="21FF7B22"/>
    <w:rsid w:val="221548E5"/>
    <w:rsid w:val="22250FCC"/>
    <w:rsid w:val="223654C7"/>
    <w:rsid w:val="22422404"/>
    <w:rsid w:val="226F628F"/>
    <w:rsid w:val="2273571C"/>
    <w:rsid w:val="228526E0"/>
    <w:rsid w:val="22943FB4"/>
    <w:rsid w:val="229E2B2D"/>
    <w:rsid w:val="22A91D27"/>
    <w:rsid w:val="22BE3D3F"/>
    <w:rsid w:val="22E06CA1"/>
    <w:rsid w:val="22E461E8"/>
    <w:rsid w:val="22F66AC1"/>
    <w:rsid w:val="231A1E2F"/>
    <w:rsid w:val="2335020B"/>
    <w:rsid w:val="23456E9F"/>
    <w:rsid w:val="238B183B"/>
    <w:rsid w:val="23A607C4"/>
    <w:rsid w:val="23AE5B30"/>
    <w:rsid w:val="23B34BAC"/>
    <w:rsid w:val="23B6282D"/>
    <w:rsid w:val="23BD5507"/>
    <w:rsid w:val="23C14CFA"/>
    <w:rsid w:val="23F21242"/>
    <w:rsid w:val="24072542"/>
    <w:rsid w:val="241256F5"/>
    <w:rsid w:val="241E2078"/>
    <w:rsid w:val="245F5471"/>
    <w:rsid w:val="24763D61"/>
    <w:rsid w:val="247B2001"/>
    <w:rsid w:val="24860AAE"/>
    <w:rsid w:val="24897B3B"/>
    <w:rsid w:val="24952361"/>
    <w:rsid w:val="24F829C8"/>
    <w:rsid w:val="24F86BC7"/>
    <w:rsid w:val="25046F1A"/>
    <w:rsid w:val="251470D6"/>
    <w:rsid w:val="252217F3"/>
    <w:rsid w:val="252F2B82"/>
    <w:rsid w:val="25300724"/>
    <w:rsid w:val="25306AC1"/>
    <w:rsid w:val="253357AE"/>
    <w:rsid w:val="254F010E"/>
    <w:rsid w:val="256376A5"/>
    <w:rsid w:val="25695674"/>
    <w:rsid w:val="256B5A72"/>
    <w:rsid w:val="25751673"/>
    <w:rsid w:val="257C268E"/>
    <w:rsid w:val="257F463C"/>
    <w:rsid w:val="259455FA"/>
    <w:rsid w:val="25A6736C"/>
    <w:rsid w:val="25A9485D"/>
    <w:rsid w:val="25D441CD"/>
    <w:rsid w:val="260E4227"/>
    <w:rsid w:val="260E7FC9"/>
    <w:rsid w:val="2621701E"/>
    <w:rsid w:val="266271CD"/>
    <w:rsid w:val="26633E71"/>
    <w:rsid w:val="26B80661"/>
    <w:rsid w:val="26C33296"/>
    <w:rsid w:val="26F73FDA"/>
    <w:rsid w:val="27106306"/>
    <w:rsid w:val="271138CD"/>
    <w:rsid w:val="27172D0A"/>
    <w:rsid w:val="271F1251"/>
    <w:rsid w:val="27450B08"/>
    <w:rsid w:val="275B0FEC"/>
    <w:rsid w:val="27623589"/>
    <w:rsid w:val="27710BD6"/>
    <w:rsid w:val="278842B7"/>
    <w:rsid w:val="27930786"/>
    <w:rsid w:val="27AA7A9F"/>
    <w:rsid w:val="27AE736E"/>
    <w:rsid w:val="27CB7F20"/>
    <w:rsid w:val="27EA0323"/>
    <w:rsid w:val="28100ED0"/>
    <w:rsid w:val="2828647E"/>
    <w:rsid w:val="28341F69"/>
    <w:rsid w:val="28444694"/>
    <w:rsid w:val="285223EF"/>
    <w:rsid w:val="28701C0B"/>
    <w:rsid w:val="28706D19"/>
    <w:rsid w:val="288F4569"/>
    <w:rsid w:val="28E64419"/>
    <w:rsid w:val="28E8191E"/>
    <w:rsid w:val="29127DD1"/>
    <w:rsid w:val="29360053"/>
    <w:rsid w:val="294B33FB"/>
    <w:rsid w:val="29611D97"/>
    <w:rsid w:val="2964687E"/>
    <w:rsid w:val="29684A53"/>
    <w:rsid w:val="296879F1"/>
    <w:rsid w:val="296E5E94"/>
    <w:rsid w:val="29810CA3"/>
    <w:rsid w:val="29830AB8"/>
    <w:rsid w:val="299077B6"/>
    <w:rsid w:val="29BF3AB4"/>
    <w:rsid w:val="29D14727"/>
    <w:rsid w:val="29D26E17"/>
    <w:rsid w:val="29F63F49"/>
    <w:rsid w:val="29FC6F97"/>
    <w:rsid w:val="2A083E5C"/>
    <w:rsid w:val="2A2102CB"/>
    <w:rsid w:val="2A217CF0"/>
    <w:rsid w:val="2A313580"/>
    <w:rsid w:val="2A4F2539"/>
    <w:rsid w:val="2A5207B3"/>
    <w:rsid w:val="2A674427"/>
    <w:rsid w:val="2A74238E"/>
    <w:rsid w:val="2A7D7069"/>
    <w:rsid w:val="2A885A56"/>
    <w:rsid w:val="2A935D31"/>
    <w:rsid w:val="2AB0029F"/>
    <w:rsid w:val="2AB54EB7"/>
    <w:rsid w:val="2AB6502A"/>
    <w:rsid w:val="2AB73A3B"/>
    <w:rsid w:val="2ADA1A0E"/>
    <w:rsid w:val="2ADA3203"/>
    <w:rsid w:val="2AE46A49"/>
    <w:rsid w:val="2B04168B"/>
    <w:rsid w:val="2B33475A"/>
    <w:rsid w:val="2B766569"/>
    <w:rsid w:val="2BAD10B9"/>
    <w:rsid w:val="2BB4300F"/>
    <w:rsid w:val="2BC10E1F"/>
    <w:rsid w:val="2BC2788C"/>
    <w:rsid w:val="2BFE70DC"/>
    <w:rsid w:val="2C271DE5"/>
    <w:rsid w:val="2C2916B9"/>
    <w:rsid w:val="2C532DA0"/>
    <w:rsid w:val="2C5F47C6"/>
    <w:rsid w:val="2C6B7D79"/>
    <w:rsid w:val="2C850D88"/>
    <w:rsid w:val="2C87404C"/>
    <w:rsid w:val="2C8E59C0"/>
    <w:rsid w:val="2CAA00EB"/>
    <w:rsid w:val="2CB20D73"/>
    <w:rsid w:val="2CBF3DCB"/>
    <w:rsid w:val="2CE82C7B"/>
    <w:rsid w:val="2D013193"/>
    <w:rsid w:val="2D12304D"/>
    <w:rsid w:val="2D594F9E"/>
    <w:rsid w:val="2D5B77E5"/>
    <w:rsid w:val="2D5D39A4"/>
    <w:rsid w:val="2D6F75A0"/>
    <w:rsid w:val="2D700E84"/>
    <w:rsid w:val="2D7B7CF2"/>
    <w:rsid w:val="2D7C322C"/>
    <w:rsid w:val="2D9B2143"/>
    <w:rsid w:val="2D9E1C33"/>
    <w:rsid w:val="2DBD47AF"/>
    <w:rsid w:val="2DD43EE3"/>
    <w:rsid w:val="2DF17D75"/>
    <w:rsid w:val="2DF93DDE"/>
    <w:rsid w:val="2DF95ADB"/>
    <w:rsid w:val="2E01070E"/>
    <w:rsid w:val="2E037A13"/>
    <w:rsid w:val="2E1A0D91"/>
    <w:rsid w:val="2E55688B"/>
    <w:rsid w:val="2E930E53"/>
    <w:rsid w:val="2ED81803"/>
    <w:rsid w:val="2EE634AB"/>
    <w:rsid w:val="2EFA10EB"/>
    <w:rsid w:val="2F3747C7"/>
    <w:rsid w:val="2F38042D"/>
    <w:rsid w:val="2F716042"/>
    <w:rsid w:val="2F7C1D5D"/>
    <w:rsid w:val="2F8476D6"/>
    <w:rsid w:val="2F912D37"/>
    <w:rsid w:val="2F972DDE"/>
    <w:rsid w:val="2F9A7B60"/>
    <w:rsid w:val="2FAE65EC"/>
    <w:rsid w:val="2FBC45F2"/>
    <w:rsid w:val="30204540"/>
    <w:rsid w:val="30281C88"/>
    <w:rsid w:val="302A4333"/>
    <w:rsid w:val="30482662"/>
    <w:rsid w:val="304B42F4"/>
    <w:rsid w:val="307A601C"/>
    <w:rsid w:val="308050E6"/>
    <w:rsid w:val="308E065B"/>
    <w:rsid w:val="30A05B40"/>
    <w:rsid w:val="30B8125D"/>
    <w:rsid w:val="30CB32FB"/>
    <w:rsid w:val="30DD2A72"/>
    <w:rsid w:val="30E212C3"/>
    <w:rsid w:val="30F05FA9"/>
    <w:rsid w:val="312954B5"/>
    <w:rsid w:val="31322DBE"/>
    <w:rsid w:val="317F3B29"/>
    <w:rsid w:val="31B22241"/>
    <w:rsid w:val="31D9148B"/>
    <w:rsid w:val="31EF2C58"/>
    <w:rsid w:val="32031D3C"/>
    <w:rsid w:val="320710EC"/>
    <w:rsid w:val="32381939"/>
    <w:rsid w:val="324042EC"/>
    <w:rsid w:val="324F44D1"/>
    <w:rsid w:val="32593FDB"/>
    <w:rsid w:val="325F30A0"/>
    <w:rsid w:val="3267491C"/>
    <w:rsid w:val="32A47CEB"/>
    <w:rsid w:val="32AD579D"/>
    <w:rsid w:val="32CA40C9"/>
    <w:rsid w:val="32CD0091"/>
    <w:rsid w:val="32D700C1"/>
    <w:rsid w:val="32F56799"/>
    <w:rsid w:val="3312040E"/>
    <w:rsid w:val="33141B89"/>
    <w:rsid w:val="3325072D"/>
    <w:rsid w:val="33291F9F"/>
    <w:rsid w:val="333F5C66"/>
    <w:rsid w:val="333F7C2D"/>
    <w:rsid w:val="33520E82"/>
    <w:rsid w:val="3361798A"/>
    <w:rsid w:val="337376BE"/>
    <w:rsid w:val="3374211D"/>
    <w:rsid w:val="33766F4C"/>
    <w:rsid w:val="337A55F7"/>
    <w:rsid w:val="337B2999"/>
    <w:rsid w:val="337C6572"/>
    <w:rsid w:val="339F50F5"/>
    <w:rsid w:val="33DF247C"/>
    <w:rsid w:val="33EE54D5"/>
    <w:rsid w:val="33F13244"/>
    <w:rsid w:val="340547BA"/>
    <w:rsid w:val="3409108A"/>
    <w:rsid w:val="340F0157"/>
    <w:rsid w:val="342441A9"/>
    <w:rsid w:val="343B705E"/>
    <w:rsid w:val="343E5F1E"/>
    <w:rsid w:val="34693F09"/>
    <w:rsid w:val="346E408A"/>
    <w:rsid w:val="34A6512B"/>
    <w:rsid w:val="34B463BC"/>
    <w:rsid w:val="35047151"/>
    <w:rsid w:val="351A6043"/>
    <w:rsid w:val="35380BBF"/>
    <w:rsid w:val="354C2609"/>
    <w:rsid w:val="35501281"/>
    <w:rsid w:val="3586368F"/>
    <w:rsid w:val="35941976"/>
    <w:rsid w:val="35960786"/>
    <w:rsid w:val="35A46254"/>
    <w:rsid w:val="35AD5109"/>
    <w:rsid w:val="35AF5AAB"/>
    <w:rsid w:val="35C83CF1"/>
    <w:rsid w:val="35D00DF7"/>
    <w:rsid w:val="35EE3B1E"/>
    <w:rsid w:val="35EF5204"/>
    <w:rsid w:val="35F83427"/>
    <w:rsid w:val="360269EC"/>
    <w:rsid w:val="360A2896"/>
    <w:rsid w:val="36162CAE"/>
    <w:rsid w:val="3618279F"/>
    <w:rsid w:val="363438F4"/>
    <w:rsid w:val="3655799F"/>
    <w:rsid w:val="367C587D"/>
    <w:rsid w:val="36957FA4"/>
    <w:rsid w:val="36DA0CE0"/>
    <w:rsid w:val="36E876EF"/>
    <w:rsid w:val="372633C5"/>
    <w:rsid w:val="372E148E"/>
    <w:rsid w:val="37377E86"/>
    <w:rsid w:val="373A29CC"/>
    <w:rsid w:val="374155EC"/>
    <w:rsid w:val="37581957"/>
    <w:rsid w:val="375A7CAE"/>
    <w:rsid w:val="378105FB"/>
    <w:rsid w:val="379C2387"/>
    <w:rsid w:val="37AC0C2C"/>
    <w:rsid w:val="37AD7F7D"/>
    <w:rsid w:val="37DD0AF5"/>
    <w:rsid w:val="383A743E"/>
    <w:rsid w:val="38883064"/>
    <w:rsid w:val="38910B38"/>
    <w:rsid w:val="389C046A"/>
    <w:rsid w:val="389F0980"/>
    <w:rsid w:val="38A24CCD"/>
    <w:rsid w:val="38B56F92"/>
    <w:rsid w:val="38B92017"/>
    <w:rsid w:val="38BD3ED5"/>
    <w:rsid w:val="38D86941"/>
    <w:rsid w:val="38FC7524"/>
    <w:rsid w:val="38FF5606"/>
    <w:rsid w:val="393B64CE"/>
    <w:rsid w:val="393D40D0"/>
    <w:rsid w:val="395D0B68"/>
    <w:rsid w:val="3962471C"/>
    <w:rsid w:val="396B1E16"/>
    <w:rsid w:val="39857FA0"/>
    <w:rsid w:val="39A64471"/>
    <w:rsid w:val="39BD5776"/>
    <w:rsid w:val="39E3080C"/>
    <w:rsid w:val="39E91BA4"/>
    <w:rsid w:val="39F50E2C"/>
    <w:rsid w:val="3A013C75"/>
    <w:rsid w:val="3A0339D0"/>
    <w:rsid w:val="3A2B2AA0"/>
    <w:rsid w:val="3A3928D0"/>
    <w:rsid w:val="3A696BE8"/>
    <w:rsid w:val="3A7254FB"/>
    <w:rsid w:val="3A8521B0"/>
    <w:rsid w:val="3A873793"/>
    <w:rsid w:val="3AA16444"/>
    <w:rsid w:val="3AA811CB"/>
    <w:rsid w:val="3AAC1615"/>
    <w:rsid w:val="3ABE1B66"/>
    <w:rsid w:val="3AD64BEA"/>
    <w:rsid w:val="3B0A066E"/>
    <w:rsid w:val="3B3237CF"/>
    <w:rsid w:val="3B3B31B7"/>
    <w:rsid w:val="3B700157"/>
    <w:rsid w:val="3B7423AC"/>
    <w:rsid w:val="3B9308FD"/>
    <w:rsid w:val="3BB64C32"/>
    <w:rsid w:val="3BBA40DC"/>
    <w:rsid w:val="3BBE174D"/>
    <w:rsid w:val="3BC47EE7"/>
    <w:rsid w:val="3BDB1D14"/>
    <w:rsid w:val="3BE71216"/>
    <w:rsid w:val="3C034F02"/>
    <w:rsid w:val="3C0B0AE8"/>
    <w:rsid w:val="3C35270F"/>
    <w:rsid w:val="3C40441C"/>
    <w:rsid w:val="3C504ED6"/>
    <w:rsid w:val="3C9F351B"/>
    <w:rsid w:val="3CA8487C"/>
    <w:rsid w:val="3CF7D354"/>
    <w:rsid w:val="3CFE3E64"/>
    <w:rsid w:val="3D021D9E"/>
    <w:rsid w:val="3D0D60B6"/>
    <w:rsid w:val="3D1666B8"/>
    <w:rsid w:val="3D181988"/>
    <w:rsid w:val="3D281EC8"/>
    <w:rsid w:val="3D2B2B8C"/>
    <w:rsid w:val="3D3213E4"/>
    <w:rsid w:val="3D335057"/>
    <w:rsid w:val="3D3B307D"/>
    <w:rsid w:val="3D6407A3"/>
    <w:rsid w:val="3D675DC6"/>
    <w:rsid w:val="3D812CBA"/>
    <w:rsid w:val="3D962926"/>
    <w:rsid w:val="3DB04EEF"/>
    <w:rsid w:val="3DB77C3B"/>
    <w:rsid w:val="3DC61E40"/>
    <w:rsid w:val="3DD50AFB"/>
    <w:rsid w:val="3DE0634E"/>
    <w:rsid w:val="3DE22F80"/>
    <w:rsid w:val="3E0A303B"/>
    <w:rsid w:val="3E1E4E42"/>
    <w:rsid w:val="3E294112"/>
    <w:rsid w:val="3E3A5ABC"/>
    <w:rsid w:val="3E642A25"/>
    <w:rsid w:val="3E6B33DD"/>
    <w:rsid w:val="3E706C08"/>
    <w:rsid w:val="3E767A53"/>
    <w:rsid w:val="3E9F7F61"/>
    <w:rsid w:val="3EA412D0"/>
    <w:rsid w:val="3EB05805"/>
    <w:rsid w:val="3ED2798E"/>
    <w:rsid w:val="3ED32447"/>
    <w:rsid w:val="3ED41958"/>
    <w:rsid w:val="3EDE0F05"/>
    <w:rsid w:val="3EE73304"/>
    <w:rsid w:val="3EF36C02"/>
    <w:rsid w:val="3F1D32FF"/>
    <w:rsid w:val="3F254B77"/>
    <w:rsid w:val="3F2A77CA"/>
    <w:rsid w:val="3F2E001B"/>
    <w:rsid w:val="3F5136FA"/>
    <w:rsid w:val="3F6760B2"/>
    <w:rsid w:val="3F6B7FDB"/>
    <w:rsid w:val="3F840C5D"/>
    <w:rsid w:val="3F924009"/>
    <w:rsid w:val="3FCB3647"/>
    <w:rsid w:val="3FF0C5F0"/>
    <w:rsid w:val="401A0D8A"/>
    <w:rsid w:val="401A675E"/>
    <w:rsid w:val="40316936"/>
    <w:rsid w:val="40380CF2"/>
    <w:rsid w:val="403A795B"/>
    <w:rsid w:val="4045512F"/>
    <w:rsid w:val="40503EC6"/>
    <w:rsid w:val="405975F3"/>
    <w:rsid w:val="406960D0"/>
    <w:rsid w:val="40771177"/>
    <w:rsid w:val="40877FBB"/>
    <w:rsid w:val="40921A5C"/>
    <w:rsid w:val="40A63F0F"/>
    <w:rsid w:val="40B27FF8"/>
    <w:rsid w:val="410A4A33"/>
    <w:rsid w:val="41100CA0"/>
    <w:rsid w:val="411173AA"/>
    <w:rsid w:val="41235477"/>
    <w:rsid w:val="41393CF5"/>
    <w:rsid w:val="41581E77"/>
    <w:rsid w:val="41847666"/>
    <w:rsid w:val="41AD6615"/>
    <w:rsid w:val="421A4B61"/>
    <w:rsid w:val="4250230A"/>
    <w:rsid w:val="425B7949"/>
    <w:rsid w:val="42683077"/>
    <w:rsid w:val="42770885"/>
    <w:rsid w:val="42880C47"/>
    <w:rsid w:val="429658F0"/>
    <w:rsid w:val="429926BE"/>
    <w:rsid w:val="42B539F3"/>
    <w:rsid w:val="42FA567F"/>
    <w:rsid w:val="4334513F"/>
    <w:rsid w:val="435C492E"/>
    <w:rsid w:val="436412A6"/>
    <w:rsid w:val="43B11758"/>
    <w:rsid w:val="43D81DF9"/>
    <w:rsid w:val="43E360E1"/>
    <w:rsid w:val="440D1EAD"/>
    <w:rsid w:val="44366C11"/>
    <w:rsid w:val="446479C9"/>
    <w:rsid w:val="446A5022"/>
    <w:rsid w:val="447B4624"/>
    <w:rsid w:val="449400FA"/>
    <w:rsid w:val="44B50B65"/>
    <w:rsid w:val="44D53D34"/>
    <w:rsid w:val="44DC1567"/>
    <w:rsid w:val="44F70C6A"/>
    <w:rsid w:val="4505497D"/>
    <w:rsid w:val="450F4D8A"/>
    <w:rsid w:val="45474A4C"/>
    <w:rsid w:val="457C53C2"/>
    <w:rsid w:val="457E350F"/>
    <w:rsid w:val="4591040A"/>
    <w:rsid w:val="45967968"/>
    <w:rsid w:val="459E4528"/>
    <w:rsid w:val="45AE069B"/>
    <w:rsid w:val="45C75919"/>
    <w:rsid w:val="45CE26BB"/>
    <w:rsid w:val="45CE28B2"/>
    <w:rsid w:val="45CF0244"/>
    <w:rsid w:val="45D71D2E"/>
    <w:rsid w:val="45D74514"/>
    <w:rsid w:val="45E94D4D"/>
    <w:rsid w:val="461C75ED"/>
    <w:rsid w:val="461D39EE"/>
    <w:rsid w:val="462D6C1B"/>
    <w:rsid w:val="463C0253"/>
    <w:rsid w:val="463C52FB"/>
    <w:rsid w:val="46503FBA"/>
    <w:rsid w:val="4655719D"/>
    <w:rsid w:val="465D6E59"/>
    <w:rsid w:val="46BD0F24"/>
    <w:rsid w:val="46D10DCA"/>
    <w:rsid w:val="46D532F9"/>
    <w:rsid w:val="46D85D5E"/>
    <w:rsid w:val="46E12D03"/>
    <w:rsid w:val="46F53399"/>
    <w:rsid w:val="46F76745"/>
    <w:rsid w:val="47062619"/>
    <w:rsid w:val="471825FE"/>
    <w:rsid w:val="477A6AEF"/>
    <w:rsid w:val="477B5D50"/>
    <w:rsid w:val="479F09BE"/>
    <w:rsid w:val="47BD67A4"/>
    <w:rsid w:val="47C7783E"/>
    <w:rsid w:val="47C805B8"/>
    <w:rsid w:val="47FE0532"/>
    <w:rsid w:val="47FE17F4"/>
    <w:rsid w:val="47FF70FE"/>
    <w:rsid w:val="480732DE"/>
    <w:rsid w:val="480A1F47"/>
    <w:rsid w:val="480F57AF"/>
    <w:rsid w:val="481501F8"/>
    <w:rsid w:val="481E0468"/>
    <w:rsid w:val="482761DD"/>
    <w:rsid w:val="483900A7"/>
    <w:rsid w:val="48507E7F"/>
    <w:rsid w:val="48671252"/>
    <w:rsid w:val="48743864"/>
    <w:rsid w:val="487F438D"/>
    <w:rsid w:val="488F6F88"/>
    <w:rsid w:val="48AA54D8"/>
    <w:rsid w:val="48C540C0"/>
    <w:rsid w:val="48D30915"/>
    <w:rsid w:val="48D367DD"/>
    <w:rsid w:val="4909363D"/>
    <w:rsid w:val="49290AF3"/>
    <w:rsid w:val="494A7B12"/>
    <w:rsid w:val="49521DF7"/>
    <w:rsid w:val="497610FD"/>
    <w:rsid w:val="49782B6D"/>
    <w:rsid w:val="497E0A06"/>
    <w:rsid w:val="49851442"/>
    <w:rsid w:val="499C5935"/>
    <w:rsid w:val="49A632F3"/>
    <w:rsid w:val="49A64783"/>
    <w:rsid w:val="49AC57B5"/>
    <w:rsid w:val="49D02721"/>
    <w:rsid w:val="49D37C56"/>
    <w:rsid w:val="49D56585"/>
    <w:rsid w:val="49F619EE"/>
    <w:rsid w:val="4A064B19"/>
    <w:rsid w:val="4A123335"/>
    <w:rsid w:val="4A1A5506"/>
    <w:rsid w:val="4A542548"/>
    <w:rsid w:val="4A646B66"/>
    <w:rsid w:val="4A740280"/>
    <w:rsid w:val="4A842484"/>
    <w:rsid w:val="4A981A8C"/>
    <w:rsid w:val="4AD82813"/>
    <w:rsid w:val="4AF17CC0"/>
    <w:rsid w:val="4AF40C8C"/>
    <w:rsid w:val="4B0372DA"/>
    <w:rsid w:val="4B0A19F1"/>
    <w:rsid w:val="4B0C7CA6"/>
    <w:rsid w:val="4B1D3AD6"/>
    <w:rsid w:val="4B217A7B"/>
    <w:rsid w:val="4B3E66D0"/>
    <w:rsid w:val="4B524B95"/>
    <w:rsid w:val="4BAD1567"/>
    <w:rsid w:val="4BB375DD"/>
    <w:rsid w:val="4BBE6A70"/>
    <w:rsid w:val="4BBF3681"/>
    <w:rsid w:val="4BC346FC"/>
    <w:rsid w:val="4BE15A04"/>
    <w:rsid w:val="4BFF6209"/>
    <w:rsid w:val="4C3F4944"/>
    <w:rsid w:val="4C4B52F4"/>
    <w:rsid w:val="4C9170DB"/>
    <w:rsid w:val="4C9B7652"/>
    <w:rsid w:val="4CB45878"/>
    <w:rsid w:val="4D2C6EDE"/>
    <w:rsid w:val="4D554D0C"/>
    <w:rsid w:val="4DD05A25"/>
    <w:rsid w:val="4DF40AE5"/>
    <w:rsid w:val="4DF53699"/>
    <w:rsid w:val="4E0B1010"/>
    <w:rsid w:val="4E296E9F"/>
    <w:rsid w:val="4E5263F6"/>
    <w:rsid w:val="4E634E82"/>
    <w:rsid w:val="4E6A1991"/>
    <w:rsid w:val="4E7A5D02"/>
    <w:rsid w:val="4EC36824"/>
    <w:rsid w:val="4EC531EF"/>
    <w:rsid w:val="4ECD0381"/>
    <w:rsid w:val="4ECD5AF8"/>
    <w:rsid w:val="4EEA457E"/>
    <w:rsid w:val="4F046192"/>
    <w:rsid w:val="4F227917"/>
    <w:rsid w:val="4F5D32A4"/>
    <w:rsid w:val="4F7B7DFC"/>
    <w:rsid w:val="4FA82692"/>
    <w:rsid w:val="4FAA574F"/>
    <w:rsid w:val="50091D29"/>
    <w:rsid w:val="500F69BB"/>
    <w:rsid w:val="502A7CEF"/>
    <w:rsid w:val="50444D71"/>
    <w:rsid w:val="50467DF8"/>
    <w:rsid w:val="504B57F2"/>
    <w:rsid w:val="505F3376"/>
    <w:rsid w:val="50760A57"/>
    <w:rsid w:val="50903563"/>
    <w:rsid w:val="50AA2370"/>
    <w:rsid w:val="50C3182D"/>
    <w:rsid w:val="50C42459"/>
    <w:rsid w:val="50C854B3"/>
    <w:rsid w:val="50CF01D2"/>
    <w:rsid w:val="50E2295D"/>
    <w:rsid w:val="50EC48E0"/>
    <w:rsid w:val="51017205"/>
    <w:rsid w:val="512110B0"/>
    <w:rsid w:val="51275918"/>
    <w:rsid w:val="5138767D"/>
    <w:rsid w:val="514477A1"/>
    <w:rsid w:val="515E513F"/>
    <w:rsid w:val="51653A78"/>
    <w:rsid w:val="51675ADE"/>
    <w:rsid w:val="516A3B06"/>
    <w:rsid w:val="516F16A8"/>
    <w:rsid w:val="51750D79"/>
    <w:rsid w:val="51D862A4"/>
    <w:rsid w:val="51E66A28"/>
    <w:rsid w:val="521D47E0"/>
    <w:rsid w:val="5247586A"/>
    <w:rsid w:val="5271389B"/>
    <w:rsid w:val="52927EBD"/>
    <w:rsid w:val="52953DA4"/>
    <w:rsid w:val="52A575BB"/>
    <w:rsid w:val="52BE3C8F"/>
    <w:rsid w:val="52C03FC9"/>
    <w:rsid w:val="52DE4138"/>
    <w:rsid w:val="530E2C43"/>
    <w:rsid w:val="531262E7"/>
    <w:rsid w:val="5322125E"/>
    <w:rsid w:val="532A2228"/>
    <w:rsid w:val="535320ED"/>
    <w:rsid w:val="53644E32"/>
    <w:rsid w:val="5371289D"/>
    <w:rsid w:val="53DE6D19"/>
    <w:rsid w:val="53F61DBC"/>
    <w:rsid w:val="53FF3638"/>
    <w:rsid w:val="540235C5"/>
    <w:rsid w:val="54036473"/>
    <w:rsid w:val="540A5C84"/>
    <w:rsid w:val="540E63A1"/>
    <w:rsid w:val="54457114"/>
    <w:rsid w:val="54752E3E"/>
    <w:rsid w:val="547D79BE"/>
    <w:rsid w:val="54844437"/>
    <w:rsid w:val="549C03CB"/>
    <w:rsid w:val="54A0116D"/>
    <w:rsid w:val="550058CC"/>
    <w:rsid w:val="55124B31"/>
    <w:rsid w:val="55393E6B"/>
    <w:rsid w:val="553E36FF"/>
    <w:rsid w:val="556128E7"/>
    <w:rsid w:val="556204EF"/>
    <w:rsid w:val="557A38E3"/>
    <w:rsid w:val="55925D4F"/>
    <w:rsid w:val="5597762A"/>
    <w:rsid w:val="55B00C6D"/>
    <w:rsid w:val="55E22755"/>
    <w:rsid w:val="55F81F79"/>
    <w:rsid w:val="560F4F27"/>
    <w:rsid w:val="56135319"/>
    <w:rsid w:val="56186177"/>
    <w:rsid w:val="562468CA"/>
    <w:rsid w:val="56464A92"/>
    <w:rsid w:val="567B624D"/>
    <w:rsid w:val="56821074"/>
    <w:rsid w:val="56B06D7D"/>
    <w:rsid w:val="56C90818"/>
    <w:rsid w:val="56DD7DCF"/>
    <w:rsid w:val="56E62C85"/>
    <w:rsid w:val="56EF5522"/>
    <w:rsid w:val="570D3EE5"/>
    <w:rsid w:val="571C5FED"/>
    <w:rsid w:val="5721105B"/>
    <w:rsid w:val="572809B6"/>
    <w:rsid w:val="57527466"/>
    <w:rsid w:val="57762675"/>
    <w:rsid w:val="57910C04"/>
    <w:rsid w:val="57A77A6C"/>
    <w:rsid w:val="57BB1377"/>
    <w:rsid w:val="57CC77E6"/>
    <w:rsid w:val="57D55BFA"/>
    <w:rsid w:val="57F1549A"/>
    <w:rsid w:val="57FD3876"/>
    <w:rsid w:val="580521C8"/>
    <w:rsid w:val="581A3F8E"/>
    <w:rsid w:val="58201145"/>
    <w:rsid w:val="584855C9"/>
    <w:rsid w:val="585B059D"/>
    <w:rsid w:val="585E0536"/>
    <w:rsid w:val="586A1A57"/>
    <w:rsid w:val="586A3B2C"/>
    <w:rsid w:val="58751A71"/>
    <w:rsid w:val="58AE76F6"/>
    <w:rsid w:val="58F05189"/>
    <w:rsid w:val="590D43CD"/>
    <w:rsid w:val="59180DE0"/>
    <w:rsid w:val="592C7308"/>
    <w:rsid w:val="592E77F7"/>
    <w:rsid w:val="59537B91"/>
    <w:rsid w:val="595E65AD"/>
    <w:rsid w:val="59710078"/>
    <w:rsid w:val="597169B0"/>
    <w:rsid w:val="59725B9E"/>
    <w:rsid w:val="59A5436A"/>
    <w:rsid w:val="59AF4BCB"/>
    <w:rsid w:val="59CC667E"/>
    <w:rsid w:val="59DC02C3"/>
    <w:rsid w:val="59DC4B2F"/>
    <w:rsid w:val="5A054D7E"/>
    <w:rsid w:val="5A0A7157"/>
    <w:rsid w:val="5A21548F"/>
    <w:rsid w:val="5A30402F"/>
    <w:rsid w:val="5A3617C7"/>
    <w:rsid w:val="5A5149F9"/>
    <w:rsid w:val="5A725C75"/>
    <w:rsid w:val="5A795CD3"/>
    <w:rsid w:val="5A7A3DD4"/>
    <w:rsid w:val="5A874B8D"/>
    <w:rsid w:val="5AC10B8B"/>
    <w:rsid w:val="5AC362EC"/>
    <w:rsid w:val="5AE876A9"/>
    <w:rsid w:val="5B2766E1"/>
    <w:rsid w:val="5B340913"/>
    <w:rsid w:val="5B7E1A86"/>
    <w:rsid w:val="5B7E2649"/>
    <w:rsid w:val="5B80606F"/>
    <w:rsid w:val="5B8D499C"/>
    <w:rsid w:val="5B8D59B9"/>
    <w:rsid w:val="5B8E27A1"/>
    <w:rsid w:val="5B90055D"/>
    <w:rsid w:val="5B9C1D95"/>
    <w:rsid w:val="5BE3143E"/>
    <w:rsid w:val="5C323E85"/>
    <w:rsid w:val="5C395701"/>
    <w:rsid w:val="5C3C314C"/>
    <w:rsid w:val="5C4D3BFA"/>
    <w:rsid w:val="5C6F29F4"/>
    <w:rsid w:val="5C741D5A"/>
    <w:rsid w:val="5C7774D3"/>
    <w:rsid w:val="5CA1107D"/>
    <w:rsid w:val="5CA17A28"/>
    <w:rsid w:val="5CC77176"/>
    <w:rsid w:val="5D0A2A1B"/>
    <w:rsid w:val="5D2C42B6"/>
    <w:rsid w:val="5D32166B"/>
    <w:rsid w:val="5D3F0F58"/>
    <w:rsid w:val="5D51797B"/>
    <w:rsid w:val="5D6C7BC2"/>
    <w:rsid w:val="5D997B9D"/>
    <w:rsid w:val="5D9C51D6"/>
    <w:rsid w:val="5DA73589"/>
    <w:rsid w:val="5DBA7B13"/>
    <w:rsid w:val="5DBD5B7D"/>
    <w:rsid w:val="5DDC6E91"/>
    <w:rsid w:val="5DDE4708"/>
    <w:rsid w:val="5E3D78A1"/>
    <w:rsid w:val="5E3E6996"/>
    <w:rsid w:val="5E53564E"/>
    <w:rsid w:val="5E573605"/>
    <w:rsid w:val="5E7A6926"/>
    <w:rsid w:val="5E867E4E"/>
    <w:rsid w:val="5E9828A0"/>
    <w:rsid w:val="5E9B16F3"/>
    <w:rsid w:val="5EA60EB9"/>
    <w:rsid w:val="5EDF5F2D"/>
    <w:rsid w:val="5F0C25F1"/>
    <w:rsid w:val="5F2913F5"/>
    <w:rsid w:val="5F2D6E5A"/>
    <w:rsid w:val="5F35198B"/>
    <w:rsid w:val="5F36141C"/>
    <w:rsid w:val="5F3D1890"/>
    <w:rsid w:val="5F5B2511"/>
    <w:rsid w:val="5F7E529D"/>
    <w:rsid w:val="5F85439C"/>
    <w:rsid w:val="5F98725C"/>
    <w:rsid w:val="5F9A3369"/>
    <w:rsid w:val="5FCD1E6B"/>
    <w:rsid w:val="5FCE0310"/>
    <w:rsid w:val="5FEC638A"/>
    <w:rsid w:val="6022180D"/>
    <w:rsid w:val="605660D3"/>
    <w:rsid w:val="606A75CF"/>
    <w:rsid w:val="60806DF2"/>
    <w:rsid w:val="60825B34"/>
    <w:rsid w:val="60883EF9"/>
    <w:rsid w:val="60A4258A"/>
    <w:rsid w:val="60A93BB5"/>
    <w:rsid w:val="60AB7B52"/>
    <w:rsid w:val="60C50CA9"/>
    <w:rsid w:val="60FD2147"/>
    <w:rsid w:val="610C731A"/>
    <w:rsid w:val="6128091C"/>
    <w:rsid w:val="613B7151"/>
    <w:rsid w:val="61475B62"/>
    <w:rsid w:val="617F102D"/>
    <w:rsid w:val="61903CAA"/>
    <w:rsid w:val="619E2C93"/>
    <w:rsid w:val="61AA4A49"/>
    <w:rsid w:val="61BE7AEB"/>
    <w:rsid w:val="61C72655"/>
    <w:rsid w:val="61CB310F"/>
    <w:rsid w:val="61CB329D"/>
    <w:rsid w:val="61D05B58"/>
    <w:rsid w:val="61E15E97"/>
    <w:rsid w:val="621C2B4B"/>
    <w:rsid w:val="623B64E6"/>
    <w:rsid w:val="623F2656"/>
    <w:rsid w:val="624A70C7"/>
    <w:rsid w:val="624F1172"/>
    <w:rsid w:val="62997217"/>
    <w:rsid w:val="62AE2A2A"/>
    <w:rsid w:val="62C236F2"/>
    <w:rsid w:val="62D97B6C"/>
    <w:rsid w:val="62E91920"/>
    <w:rsid w:val="6319386D"/>
    <w:rsid w:val="631A52DC"/>
    <w:rsid w:val="63622E87"/>
    <w:rsid w:val="636274DB"/>
    <w:rsid w:val="63662255"/>
    <w:rsid w:val="63675512"/>
    <w:rsid w:val="638473E2"/>
    <w:rsid w:val="63920EDA"/>
    <w:rsid w:val="63A1155A"/>
    <w:rsid w:val="63B47803"/>
    <w:rsid w:val="63B77CEA"/>
    <w:rsid w:val="63B92EE5"/>
    <w:rsid w:val="63F58A11"/>
    <w:rsid w:val="63F93517"/>
    <w:rsid w:val="63FE1B71"/>
    <w:rsid w:val="642F5001"/>
    <w:rsid w:val="646D3B32"/>
    <w:rsid w:val="64A30025"/>
    <w:rsid w:val="64C44139"/>
    <w:rsid w:val="64DE6705"/>
    <w:rsid w:val="65055B18"/>
    <w:rsid w:val="650E2619"/>
    <w:rsid w:val="652634A0"/>
    <w:rsid w:val="656C203B"/>
    <w:rsid w:val="656E190F"/>
    <w:rsid w:val="65826BA0"/>
    <w:rsid w:val="65905F2A"/>
    <w:rsid w:val="659F5D29"/>
    <w:rsid w:val="65B65064"/>
    <w:rsid w:val="65B975D9"/>
    <w:rsid w:val="65D11305"/>
    <w:rsid w:val="65D8613A"/>
    <w:rsid w:val="65EB2226"/>
    <w:rsid w:val="65F8742B"/>
    <w:rsid w:val="66345205"/>
    <w:rsid w:val="66666A8A"/>
    <w:rsid w:val="66772A46"/>
    <w:rsid w:val="66B001E2"/>
    <w:rsid w:val="66B33AA8"/>
    <w:rsid w:val="66B617C0"/>
    <w:rsid w:val="66D67CEA"/>
    <w:rsid w:val="66D74C03"/>
    <w:rsid w:val="66F95D5F"/>
    <w:rsid w:val="6712276E"/>
    <w:rsid w:val="67695363"/>
    <w:rsid w:val="679D028A"/>
    <w:rsid w:val="68275CED"/>
    <w:rsid w:val="683F3A37"/>
    <w:rsid w:val="6842639B"/>
    <w:rsid w:val="68825AA7"/>
    <w:rsid w:val="688F1B0F"/>
    <w:rsid w:val="68A622BF"/>
    <w:rsid w:val="68B55243"/>
    <w:rsid w:val="68B56396"/>
    <w:rsid w:val="68C07642"/>
    <w:rsid w:val="690600B1"/>
    <w:rsid w:val="691002CE"/>
    <w:rsid w:val="6912239E"/>
    <w:rsid w:val="69263A39"/>
    <w:rsid w:val="693430AE"/>
    <w:rsid w:val="693B24AA"/>
    <w:rsid w:val="693C3339"/>
    <w:rsid w:val="693C538C"/>
    <w:rsid w:val="693F2021"/>
    <w:rsid w:val="697015AC"/>
    <w:rsid w:val="69B06E35"/>
    <w:rsid w:val="69BB1B96"/>
    <w:rsid w:val="69F07613"/>
    <w:rsid w:val="69FB4534"/>
    <w:rsid w:val="69FE1FF8"/>
    <w:rsid w:val="69FF08C6"/>
    <w:rsid w:val="6A2F40E7"/>
    <w:rsid w:val="6A617C95"/>
    <w:rsid w:val="6A667059"/>
    <w:rsid w:val="6A675E13"/>
    <w:rsid w:val="6A6A1D50"/>
    <w:rsid w:val="6A7E767E"/>
    <w:rsid w:val="6A873318"/>
    <w:rsid w:val="6ACB3360"/>
    <w:rsid w:val="6ACB5685"/>
    <w:rsid w:val="6AF44665"/>
    <w:rsid w:val="6B00125C"/>
    <w:rsid w:val="6B013AC4"/>
    <w:rsid w:val="6B022B20"/>
    <w:rsid w:val="6B0B2C71"/>
    <w:rsid w:val="6B0D1E4C"/>
    <w:rsid w:val="6B225204"/>
    <w:rsid w:val="6B5D5FDB"/>
    <w:rsid w:val="6B5D73DB"/>
    <w:rsid w:val="6B60329D"/>
    <w:rsid w:val="6B851761"/>
    <w:rsid w:val="6B8F43C5"/>
    <w:rsid w:val="6BA74108"/>
    <w:rsid w:val="6BA932CC"/>
    <w:rsid w:val="6BAA3BFF"/>
    <w:rsid w:val="6BC631B0"/>
    <w:rsid w:val="6BD52BAE"/>
    <w:rsid w:val="6BD52F92"/>
    <w:rsid w:val="6BF568E6"/>
    <w:rsid w:val="6C086473"/>
    <w:rsid w:val="6C196A37"/>
    <w:rsid w:val="6C2614F4"/>
    <w:rsid w:val="6C263EF0"/>
    <w:rsid w:val="6C294C9F"/>
    <w:rsid w:val="6C557385"/>
    <w:rsid w:val="6C5B4F41"/>
    <w:rsid w:val="6C5B54D6"/>
    <w:rsid w:val="6C657755"/>
    <w:rsid w:val="6C73245F"/>
    <w:rsid w:val="6C7F4402"/>
    <w:rsid w:val="6CA41755"/>
    <w:rsid w:val="6CB6422F"/>
    <w:rsid w:val="6CD00B93"/>
    <w:rsid w:val="6CDD5062"/>
    <w:rsid w:val="6CDE79AF"/>
    <w:rsid w:val="6CF46B9E"/>
    <w:rsid w:val="6CFD81DF"/>
    <w:rsid w:val="6D175C89"/>
    <w:rsid w:val="6D360C7F"/>
    <w:rsid w:val="6D404378"/>
    <w:rsid w:val="6D7A0F67"/>
    <w:rsid w:val="6D820AE9"/>
    <w:rsid w:val="6DB200D0"/>
    <w:rsid w:val="6DC5053A"/>
    <w:rsid w:val="6DD4077E"/>
    <w:rsid w:val="6DEA4604"/>
    <w:rsid w:val="6DFB7BC5"/>
    <w:rsid w:val="6E932C1C"/>
    <w:rsid w:val="6EB94CA1"/>
    <w:rsid w:val="6EE07AA3"/>
    <w:rsid w:val="6EEB8E5F"/>
    <w:rsid w:val="6EEF1D13"/>
    <w:rsid w:val="6F062841"/>
    <w:rsid w:val="6F084862"/>
    <w:rsid w:val="6F2F1C60"/>
    <w:rsid w:val="6F4436E1"/>
    <w:rsid w:val="6F806DDA"/>
    <w:rsid w:val="6F887A72"/>
    <w:rsid w:val="6F887B94"/>
    <w:rsid w:val="6FA32AFD"/>
    <w:rsid w:val="6FA535AD"/>
    <w:rsid w:val="6FD111A8"/>
    <w:rsid w:val="6FDC60D0"/>
    <w:rsid w:val="6FF671C3"/>
    <w:rsid w:val="6FFA62C5"/>
    <w:rsid w:val="7009145B"/>
    <w:rsid w:val="70196838"/>
    <w:rsid w:val="7023229D"/>
    <w:rsid w:val="702707C6"/>
    <w:rsid w:val="70351AE0"/>
    <w:rsid w:val="703A2BF0"/>
    <w:rsid w:val="70425469"/>
    <w:rsid w:val="7048478E"/>
    <w:rsid w:val="708C17E3"/>
    <w:rsid w:val="708D34F0"/>
    <w:rsid w:val="709435AA"/>
    <w:rsid w:val="70B84AEA"/>
    <w:rsid w:val="70BA73D6"/>
    <w:rsid w:val="70D171F6"/>
    <w:rsid w:val="71033031"/>
    <w:rsid w:val="711A010D"/>
    <w:rsid w:val="71384F8A"/>
    <w:rsid w:val="715D620A"/>
    <w:rsid w:val="71A96202"/>
    <w:rsid w:val="724610A5"/>
    <w:rsid w:val="7258372B"/>
    <w:rsid w:val="72621DA4"/>
    <w:rsid w:val="727A76BE"/>
    <w:rsid w:val="72945F4F"/>
    <w:rsid w:val="72AB7696"/>
    <w:rsid w:val="72E45309"/>
    <w:rsid w:val="7306587D"/>
    <w:rsid w:val="732C21E6"/>
    <w:rsid w:val="735A1725"/>
    <w:rsid w:val="735D0C69"/>
    <w:rsid w:val="73685BF0"/>
    <w:rsid w:val="73922C6D"/>
    <w:rsid w:val="73944C37"/>
    <w:rsid w:val="73B05A03"/>
    <w:rsid w:val="73B928EF"/>
    <w:rsid w:val="73CB43D1"/>
    <w:rsid w:val="73E13BF4"/>
    <w:rsid w:val="73E75E56"/>
    <w:rsid w:val="73FB2F08"/>
    <w:rsid w:val="74184804"/>
    <w:rsid w:val="741915E0"/>
    <w:rsid w:val="741E2986"/>
    <w:rsid w:val="74212644"/>
    <w:rsid w:val="74941905"/>
    <w:rsid w:val="74A77970"/>
    <w:rsid w:val="74B144CB"/>
    <w:rsid w:val="74DF5BAC"/>
    <w:rsid w:val="75100FAB"/>
    <w:rsid w:val="75181898"/>
    <w:rsid w:val="751F42D8"/>
    <w:rsid w:val="75251A1D"/>
    <w:rsid w:val="754B5E50"/>
    <w:rsid w:val="754D5B12"/>
    <w:rsid w:val="754E3162"/>
    <w:rsid w:val="75695572"/>
    <w:rsid w:val="757C4776"/>
    <w:rsid w:val="75AF517F"/>
    <w:rsid w:val="75B27404"/>
    <w:rsid w:val="75E72B9D"/>
    <w:rsid w:val="76074E01"/>
    <w:rsid w:val="760836BA"/>
    <w:rsid w:val="761B4486"/>
    <w:rsid w:val="762940CF"/>
    <w:rsid w:val="763A3F76"/>
    <w:rsid w:val="76500BBD"/>
    <w:rsid w:val="768F7E91"/>
    <w:rsid w:val="769C6AE5"/>
    <w:rsid w:val="769E3900"/>
    <w:rsid w:val="76A55630"/>
    <w:rsid w:val="76AF7FDA"/>
    <w:rsid w:val="76CB2EC2"/>
    <w:rsid w:val="76EC115C"/>
    <w:rsid w:val="76FD1063"/>
    <w:rsid w:val="772462D2"/>
    <w:rsid w:val="772E4ACD"/>
    <w:rsid w:val="773B415B"/>
    <w:rsid w:val="77562203"/>
    <w:rsid w:val="776970C2"/>
    <w:rsid w:val="7792125E"/>
    <w:rsid w:val="77C11D73"/>
    <w:rsid w:val="77F7692C"/>
    <w:rsid w:val="781A7BBF"/>
    <w:rsid w:val="782D38B6"/>
    <w:rsid w:val="784851FE"/>
    <w:rsid w:val="784B53AE"/>
    <w:rsid w:val="785707F0"/>
    <w:rsid w:val="786F1A82"/>
    <w:rsid w:val="7879264D"/>
    <w:rsid w:val="789B7D2E"/>
    <w:rsid w:val="78A4393C"/>
    <w:rsid w:val="78B57075"/>
    <w:rsid w:val="78BB2421"/>
    <w:rsid w:val="78BD6B1B"/>
    <w:rsid w:val="78D22B0A"/>
    <w:rsid w:val="78E47951"/>
    <w:rsid w:val="79077B21"/>
    <w:rsid w:val="79224A93"/>
    <w:rsid w:val="79507852"/>
    <w:rsid w:val="796F155A"/>
    <w:rsid w:val="797B1A25"/>
    <w:rsid w:val="798B4C4F"/>
    <w:rsid w:val="79CE4C1B"/>
    <w:rsid w:val="79E62D95"/>
    <w:rsid w:val="79E65931"/>
    <w:rsid w:val="7A0A6CBA"/>
    <w:rsid w:val="7A2C50FB"/>
    <w:rsid w:val="7A574C10"/>
    <w:rsid w:val="7A5D0AA5"/>
    <w:rsid w:val="7A7B0CC7"/>
    <w:rsid w:val="7A8D11E4"/>
    <w:rsid w:val="7AA949B4"/>
    <w:rsid w:val="7AC41220"/>
    <w:rsid w:val="7AC67C05"/>
    <w:rsid w:val="7AE364A4"/>
    <w:rsid w:val="7AEA338E"/>
    <w:rsid w:val="7B081318"/>
    <w:rsid w:val="7B191583"/>
    <w:rsid w:val="7B1E6DF9"/>
    <w:rsid w:val="7B2A5E81"/>
    <w:rsid w:val="7B354F51"/>
    <w:rsid w:val="7B42437E"/>
    <w:rsid w:val="7B5800FE"/>
    <w:rsid w:val="7B647BE5"/>
    <w:rsid w:val="7B8B02EE"/>
    <w:rsid w:val="7B91477D"/>
    <w:rsid w:val="7BA674A3"/>
    <w:rsid w:val="7BD535D9"/>
    <w:rsid w:val="7BD54882"/>
    <w:rsid w:val="7BD65C61"/>
    <w:rsid w:val="7C043085"/>
    <w:rsid w:val="7C084414"/>
    <w:rsid w:val="7C1120EB"/>
    <w:rsid w:val="7C285AC3"/>
    <w:rsid w:val="7C442F72"/>
    <w:rsid w:val="7C443F36"/>
    <w:rsid w:val="7C6333F8"/>
    <w:rsid w:val="7C6D3BA7"/>
    <w:rsid w:val="7C813749"/>
    <w:rsid w:val="7C923CDE"/>
    <w:rsid w:val="7C967236"/>
    <w:rsid w:val="7C9944BA"/>
    <w:rsid w:val="7CBA32DC"/>
    <w:rsid w:val="7CDB3D33"/>
    <w:rsid w:val="7CED53B8"/>
    <w:rsid w:val="7D037479"/>
    <w:rsid w:val="7D1F2F41"/>
    <w:rsid w:val="7D487C57"/>
    <w:rsid w:val="7D492911"/>
    <w:rsid w:val="7D4F793D"/>
    <w:rsid w:val="7D5D30A9"/>
    <w:rsid w:val="7D5F2FDC"/>
    <w:rsid w:val="7D606518"/>
    <w:rsid w:val="7D6F731B"/>
    <w:rsid w:val="7D782ED3"/>
    <w:rsid w:val="7DA87CB9"/>
    <w:rsid w:val="7DC9F78F"/>
    <w:rsid w:val="7DE02B83"/>
    <w:rsid w:val="7DE41E29"/>
    <w:rsid w:val="7DE45BD4"/>
    <w:rsid w:val="7DF198A7"/>
    <w:rsid w:val="7DF62846"/>
    <w:rsid w:val="7DF63C7C"/>
    <w:rsid w:val="7E0155BF"/>
    <w:rsid w:val="7E142269"/>
    <w:rsid w:val="7E303B61"/>
    <w:rsid w:val="7E5216DD"/>
    <w:rsid w:val="7E567623"/>
    <w:rsid w:val="7E795155"/>
    <w:rsid w:val="7E9E0514"/>
    <w:rsid w:val="7EA01D85"/>
    <w:rsid w:val="7EB20667"/>
    <w:rsid w:val="7EC02B3B"/>
    <w:rsid w:val="7EC91566"/>
    <w:rsid w:val="7ECD1958"/>
    <w:rsid w:val="7EF936FE"/>
    <w:rsid w:val="7EFD2FAE"/>
    <w:rsid w:val="7F160BF6"/>
    <w:rsid w:val="7F397B88"/>
    <w:rsid w:val="7F564788"/>
    <w:rsid w:val="7F596CCC"/>
    <w:rsid w:val="7F622093"/>
    <w:rsid w:val="7F9E2695"/>
    <w:rsid w:val="7FD1465F"/>
    <w:rsid w:val="7FD25A8B"/>
    <w:rsid w:val="7FDA7299"/>
    <w:rsid w:val="7FE10806"/>
    <w:rsid w:val="7FEB4820"/>
    <w:rsid w:val="7FEDFBC4"/>
    <w:rsid w:val="9D9F2B6B"/>
    <w:rsid w:val="9FFE8308"/>
    <w:rsid w:val="ABFB51A7"/>
    <w:rsid w:val="BFAC6943"/>
    <w:rsid w:val="BFF63921"/>
    <w:rsid w:val="BFFC3320"/>
    <w:rsid w:val="DBFF4A31"/>
    <w:rsid w:val="DCF7EC0B"/>
    <w:rsid w:val="DD9E049B"/>
    <w:rsid w:val="DEFBF979"/>
    <w:rsid w:val="DFBD8081"/>
    <w:rsid w:val="EDB6753C"/>
    <w:rsid w:val="EDFE6C4E"/>
    <w:rsid w:val="EFCFD539"/>
    <w:rsid w:val="F7DF7AB4"/>
    <w:rsid w:val="F7FD133C"/>
    <w:rsid w:val="FBECA098"/>
    <w:rsid w:val="FDF5B560"/>
    <w:rsid w:val="FF2F05A9"/>
    <w:rsid w:val="FFCB0B34"/>
    <w:rsid w:val="FFF71F81"/>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nhideWhenUsed="0" w:uiPriority="99" w:semiHidden="0" w:name="caption"/>
    <w:lsdException w:uiPriority="99" w:name="table of figures"/>
    <w:lsdException w:uiPriority="99" w:name="envelope address"/>
    <w:lsdException w:qFormat="1" w:unhideWhenUsed="0" w:uiPriority="0" w:semiHidden="0"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qFormat="1" w:unhideWhenUsed="0" w:uiPriority="0"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semiHidden="0"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0" w:semiHidden="0" w:name="Normal (Web)"/>
    <w:lsdException w:qFormat="1" w:uiPriority="99" w:semiHidden="0" w:name="HTML Acronym"/>
    <w:lsdException w:uiPriority="99" w:name="HTML Address"/>
    <w:lsdException w:qFormat="1" w:uiPriority="99" w:semiHidden="0" w:name="HTML Cite"/>
    <w:lsdException w:qFormat="1" w:uiPriority="99" w:semiHidden="0" w:name="HTML Code"/>
    <w:lsdException w:qFormat="1" w:uiPriority="99" w:semiHidden="0" w:name="HTML Definition"/>
    <w:lsdException w:qFormat="1" w:uiPriority="99" w:semiHidden="0" w:name="HTML Keyboard"/>
    <w:lsdException w:qFormat="1" w:unhideWhenUsed="0" w:uiPriority="99" w:semiHidden="0" w:name="HTML Preformatted"/>
    <w:lsdException w:qFormat="1" w:uiPriority="99" w:semiHidden="0" w:name="HTML Sample"/>
    <w:lsdException w:qFormat="1" w:uiPriority="99" w:semiHidden="0" w:name="HTML Typewriter"/>
    <w:lsdException w:qFormat="1" w:uiPriority="99" w:semiHidden="0" w:name="HTML Variable"/>
    <w:lsdException w:qFormat="1" w:uiPriority="99" w:semiHidden="0"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3">
    <w:name w:val="heading 1"/>
    <w:basedOn w:val="1"/>
    <w:next w:val="1"/>
    <w:link w:val="105"/>
    <w:qFormat/>
    <w:uiPriority w:val="0"/>
    <w:pPr>
      <w:jc w:val="center"/>
      <w:outlineLvl w:val="0"/>
    </w:pPr>
    <w:rPr>
      <w:rFonts w:ascii="黑体" w:hAnsi="黑体" w:eastAsia="仿宋"/>
      <w:b/>
      <w:sz w:val="30"/>
      <w:highlight w:val="none"/>
    </w:rPr>
  </w:style>
  <w:style w:type="paragraph" w:styleId="4">
    <w:name w:val="heading 2"/>
    <w:basedOn w:val="1"/>
    <w:next w:val="1"/>
    <w:link w:val="106"/>
    <w:qFormat/>
    <w:uiPriority w:val="0"/>
    <w:pPr>
      <w:keepNext/>
      <w:keepLines/>
      <w:spacing w:before="260" w:after="260" w:line="416" w:lineRule="auto"/>
      <w:outlineLvl w:val="1"/>
    </w:pPr>
    <w:rPr>
      <w:rFonts w:ascii="Arial" w:hAnsi="Arial" w:eastAsia="黑体"/>
      <w:b/>
      <w:bCs/>
      <w:kern w:val="0"/>
      <w:sz w:val="32"/>
      <w:szCs w:val="32"/>
    </w:rPr>
  </w:style>
  <w:style w:type="paragraph" w:styleId="5">
    <w:name w:val="heading 3"/>
    <w:basedOn w:val="1"/>
    <w:next w:val="1"/>
    <w:link w:val="107"/>
    <w:qFormat/>
    <w:uiPriority w:val="0"/>
    <w:pPr>
      <w:keepNext/>
      <w:keepLines/>
      <w:widowControl/>
      <w:numPr>
        <w:ilvl w:val="2"/>
        <w:numId w:val="1"/>
      </w:numPr>
      <w:spacing w:before="120" w:after="120" w:line="360" w:lineRule="auto"/>
      <w:jc w:val="center"/>
      <w:outlineLvl w:val="2"/>
    </w:pPr>
    <w:rPr>
      <w:b/>
      <w:kern w:val="0"/>
      <w:sz w:val="32"/>
      <w:szCs w:val="20"/>
    </w:rPr>
  </w:style>
  <w:style w:type="paragraph" w:styleId="6">
    <w:name w:val="heading 4"/>
    <w:basedOn w:val="1"/>
    <w:next w:val="1"/>
    <w:qFormat/>
    <w:uiPriority w:val="0"/>
    <w:pPr>
      <w:keepNext/>
      <w:keepLines/>
      <w:spacing w:before="280" w:beforeLines="0" w:after="290" w:afterLines="0" w:line="374" w:lineRule="auto"/>
      <w:outlineLvl w:val="3"/>
    </w:pPr>
    <w:rPr>
      <w:rFonts w:ascii="Arial" w:hAnsi="Arial" w:eastAsia="黑体"/>
      <w:b/>
      <w:bCs/>
      <w:sz w:val="28"/>
      <w:szCs w:val="28"/>
    </w:rPr>
  </w:style>
  <w:style w:type="paragraph" w:styleId="7">
    <w:name w:val="heading 5"/>
    <w:basedOn w:val="1"/>
    <w:next w:val="1"/>
    <w:qFormat/>
    <w:uiPriority w:val="0"/>
    <w:pPr>
      <w:keepNext/>
      <w:keepLines/>
      <w:spacing w:before="280" w:after="290" w:line="376" w:lineRule="auto"/>
      <w:outlineLvl w:val="4"/>
    </w:pPr>
    <w:rPr>
      <w:rFonts w:eastAsia="宋体"/>
      <w:b/>
      <w:sz w:val="28"/>
      <w:szCs w:val="20"/>
    </w:rPr>
  </w:style>
  <w:style w:type="paragraph" w:styleId="8">
    <w:name w:val="heading 6"/>
    <w:basedOn w:val="1"/>
    <w:next w:val="1"/>
    <w:link w:val="108"/>
    <w:qFormat/>
    <w:uiPriority w:val="0"/>
    <w:pPr>
      <w:keepNext/>
      <w:keepLines/>
      <w:widowControl/>
      <w:numPr>
        <w:ilvl w:val="5"/>
        <w:numId w:val="1"/>
      </w:numPr>
      <w:spacing w:before="240" w:after="64" w:line="320" w:lineRule="auto"/>
      <w:jc w:val="left"/>
      <w:outlineLvl w:val="5"/>
    </w:pPr>
    <w:rPr>
      <w:rFonts w:ascii="Arial" w:hAnsi="Arial" w:eastAsia="黑体"/>
      <w:b/>
      <w:bCs/>
      <w:kern w:val="0"/>
      <w:sz w:val="24"/>
      <w:szCs w:val="24"/>
    </w:rPr>
  </w:style>
  <w:style w:type="paragraph" w:styleId="9">
    <w:name w:val="heading 7"/>
    <w:basedOn w:val="1"/>
    <w:next w:val="1"/>
    <w:link w:val="109"/>
    <w:qFormat/>
    <w:uiPriority w:val="0"/>
    <w:pPr>
      <w:keepNext/>
      <w:keepLines/>
      <w:widowControl/>
      <w:numPr>
        <w:ilvl w:val="6"/>
        <w:numId w:val="1"/>
      </w:numPr>
      <w:spacing w:before="240" w:after="64" w:line="320" w:lineRule="auto"/>
      <w:jc w:val="left"/>
      <w:outlineLvl w:val="6"/>
    </w:pPr>
    <w:rPr>
      <w:b/>
      <w:bCs/>
      <w:kern w:val="0"/>
      <w:sz w:val="24"/>
      <w:szCs w:val="24"/>
    </w:rPr>
  </w:style>
  <w:style w:type="paragraph" w:styleId="10">
    <w:name w:val="heading 8"/>
    <w:basedOn w:val="1"/>
    <w:next w:val="1"/>
    <w:link w:val="110"/>
    <w:qFormat/>
    <w:uiPriority w:val="0"/>
    <w:pPr>
      <w:keepNext/>
      <w:keepLines/>
      <w:widowControl/>
      <w:numPr>
        <w:ilvl w:val="7"/>
        <w:numId w:val="1"/>
      </w:numPr>
      <w:spacing w:before="240" w:after="64" w:line="320" w:lineRule="auto"/>
      <w:jc w:val="left"/>
      <w:outlineLvl w:val="7"/>
    </w:pPr>
    <w:rPr>
      <w:rFonts w:ascii="Arial" w:hAnsi="Arial" w:eastAsia="黑体"/>
      <w:kern w:val="0"/>
      <w:sz w:val="24"/>
      <w:szCs w:val="24"/>
    </w:rPr>
  </w:style>
  <w:style w:type="paragraph" w:styleId="11">
    <w:name w:val="heading 9"/>
    <w:basedOn w:val="1"/>
    <w:next w:val="1"/>
    <w:link w:val="111"/>
    <w:qFormat/>
    <w:uiPriority w:val="0"/>
    <w:pPr>
      <w:keepNext/>
      <w:keepLines/>
      <w:widowControl/>
      <w:numPr>
        <w:ilvl w:val="8"/>
        <w:numId w:val="1"/>
      </w:numPr>
      <w:spacing w:before="240" w:after="64" w:line="320" w:lineRule="auto"/>
      <w:jc w:val="left"/>
      <w:outlineLvl w:val="8"/>
    </w:pPr>
    <w:rPr>
      <w:rFonts w:ascii="Arial" w:hAnsi="Arial" w:eastAsia="黑体"/>
      <w:kern w:val="0"/>
      <w:szCs w:val="21"/>
    </w:rPr>
  </w:style>
  <w:style w:type="character" w:default="1" w:styleId="43">
    <w:name w:val="Default Paragraph Font"/>
    <w:unhideWhenUsed/>
    <w:qFormat/>
    <w:uiPriority w:val="1"/>
  </w:style>
  <w:style w:type="table" w:default="1" w:styleId="41">
    <w:name w:val="Normal Table"/>
    <w:unhideWhenUsed/>
    <w:qFormat/>
    <w:uiPriority w:val="99"/>
    <w:tblPr>
      <w:tblCellMar>
        <w:top w:w="0" w:type="dxa"/>
        <w:left w:w="108" w:type="dxa"/>
        <w:bottom w:w="0" w:type="dxa"/>
        <w:right w:w="108" w:type="dxa"/>
      </w:tblCellMar>
    </w:tblPr>
  </w:style>
  <w:style w:type="paragraph" w:styleId="2">
    <w:name w:val="Body Text"/>
    <w:basedOn w:val="1"/>
    <w:next w:val="1"/>
    <w:link w:val="114"/>
    <w:qFormat/>
    <w:uiPriority w:val="0"/>
    <w:pPr>
      <w:spacing w:after="120"/>
    </w:pPr>
    <w:rPr>
      <w:rFonts w:ascii="宋体" w:hAnsi="宋体"/>
      <w:kern w:val="0"/>
      <w:sz w:val="20"/>
      <w:szCs w:val="24"/>
    </w:rPr>
  </w:style>
  <w:style w:type="paragraph" w:styleId="12">
    <w:name w:val="toc 7"/>
    <w:basedOn w:val="1"/>
    <w:next w:val="1"/>
    <w:semiHidden/>
    <w:qFormat/>
    <w:uiPriority w:val="0"/>
    <w:pPr>
      <w:ind w:left="1200"/>
      <w:jc w:val="left"/>
    </w:pPr>
    <w:rPr>
      <w:rFonts w:ascii="Times New Roman" w:hAnsi="Times New Roman"/>
      <w:kern w:val="0"/>
      <w:sz w:val="18"/>
      <w:szCs w:val="18"/>
    </w:rPr>
  </w:style>
  <w:style w:type="paragraph" w:styleId="13">
    <w:name w:val="Normal Indent"/>
    <w:basedOn w:val="1"/>
    <w:qFormat/>
    <w:uiPriority w:val="0"/>
    <w:pPr>
      <w:ind w:firstLine="420" w:firstLineChars="200"/>
    </w:pPr>
    <w:rPr>
      <w:rFonts w:ascii="宋体" w:hAnsi="宋体"/>
      <w:kern w:val="0"/>
      <w:sz w:val="20"/>
      <w:szCs w:val="24"/>
    </w:rPr>
  </w:style>
  <w:style w:type="paragraph" w:styleId="14">
    <w:name w:val="caption"/>
    <w:basedOn w:val="1"/>
    <w:next w:val="1"/>
    <w:qFormat/>
    <w:uiPriority w:val="99"/>
    <w:pPr>
      <w:spacing w:before="152" w:after="160"/>
    </w:pPr>
    <w:rPr>
      <w:rFonts w:ascii="Arial" w:hAnsi="Arial" w:eastAsia="黑体" w:cs="Arial"/>
      <w:sz w:val="20"/>
      <w:szCs w:val="20"/>
    </w:rPr>
  </w:style>
  <w:style w:type="paragraph" w:styleId="15">
    <w:name w:val="Document Map"/>
    <w:basedOn w:val="1"/>
    <w:link w:val="112"/>
    <w:semiHidden/>
    <w:qFormat/>
    <w:uiPriority w:val="0"/>
    <w:pPr>
      <w:shd w:val="clear" w:color="auto" w:fill="000080"/>
    </w:pPr>
    <w:rPr>
      <w:rFonts w:ascii="宋体" w:hAnsi="宋体"/>
      <w:kern w:val="0"/>
      <w:sz w:val="20"/>
      <w:szCs w:val="24"/>
    </w:rPr>
  </w:style>
  <w:style w:type="paragraph" w:styleId="16">
    <w:name w:val="annotation text"/>
    <w:basedOn w:val="1"/>
    <w:link w:val="113"/>
    <w:qFormat/>
    <w:uiPriority w:val="0"/>
    <w:pPr>
      <w:jc w:val="left"/>
    </w:pPr>
    <w:rPr>
      <w:rFonts w:ascii="Courier New" w:hAnsi="Courier New"/>
      <w:color w:val="000000"/>
      <w:kern w:val="0"/>
      <w:sz w:val="24"/>
      <w:szCs w:val="24"/>
      <w:lang w:val="zh-CN"/>
    </w:rPr>
  </w:style>
  <w:style w:type="paragraph" w:styleId="17">
    <w:name w:val="Body Text Indent"/>
    <w:basedOn w:val="1"/>
    <w:next w:val="18"/>
    <w:link w:val="115"/>
    <w:qFormat/>
    <w:uiPriority w:val="0"/>
    <w:pPr>
      <w:spacing w:after="120"/>
      <w:ind w:left="420" w:leftChars="200"/>
    </w:pPr>
    <w:rPr>
      <w:rFonts w:ascii="宋体" w:hAnsi="宋体"/>
      <w:kern w:val="0"/>
      <w:sz w:val="20"/>
      <w:szCs w:val="24"/>
    </w:rPr>
  </w:style>
  <w:style w:type="paragraph" w:styleId="18">
    <w:name w:val="envelope return"/>
    <w:basedOn w:val="1"/>
    <w:qFormat/>
    <w:uiPriority w:val="0"/>
    <w:pPr>
      <w:snapToGrid w:val="0"/>
      <w:spacing w:line="360" w:lineRule="auto"/>
      <w:ind w:firstLine="200" w:firstLineChars="200"/>
    </w:pPr>
    <w:rPr>
      <w:rFonts w:ascii="Arial" w:hAnsi="Arial" w:cs="Arial"/>
      <w:sz w:val="24"/>
    </w:rPr>
  </w:style>
  <w:style w:type="paragraph" w:styleId="19">
    <w:name w:val="List 2"/>
    <w:basedOn w:val="1"/>
    <w:qFormat/>
    <w:uiPriority w:val="0"/>
    <w:pPr>
      <w:ind w:left="100" w:leftChars="200" w:hanging="200" w:hangingChars="200"/>
      <w:contextualSpacing/>
    </w:pPr>
  </w:style>
  <w:style w:type="paragraph" w:styleId="20">
    <w:name w:val="Block Text"/>
    <w:basedOn w:val="1"/>
    <w:qFormat/>
    <w:uiPriority w:val="0"/>
    <w:pPr>
      <w:ind w:left="-4" w:right="-108"/>
    </w:pPr>
    <w:rPr>
      <w:rFonts w:ascii="宋体" w:hAnsi="Times New Roman"/>
      <w:sz w:val="28"/>
      <w:szCs w:val="20"/>
    </w:rPr>
  </w:style>
  <w:style w:type="paragraph" w:styleId="21">
    <w:name w:val="toc 5"/>
    <w:basedOn w:val="1"/>
    <w:next w:val="1"/>
    <w:semiHidden/>
    <w:qFormat/>
    <w:uiPriority w:val="0"/>
    <w:pPr>
      <w:ind w:left="800"/>
      <w:jc w:val="left"/>
    </w:pPr>
    <w:rPr>
      <w:rFonts w:ascii="Times New Roman" w:hAnsi="Times New Roman"/>
      <w:kern w:val="0"/>
      <w:sz w:val="18"/>
      <w:szCs w:val="18"/>
    </w:rPr>
  </w:style>
  <w:style w:type="paragraph" w:styleId="22">
    <w:name w:val="toc 3"/>
    <w:basedOn w:val="1"/>
    <w:next w:val="1"/>
    <w:semiHidden/>
    <w:qFormat/>
    <w:uiPriority w:val="0"/>
    <w:pPr>
      <w:ind w:left="400"/>
      <w:jc w:val="left"/>
    </w:pPr>
    <w:rPr>
      <w:rFonts w:ascii="Times New Roman" w:hAnsi="Times New Roman"/>
      <w:i/>
      <w:iCs/>
      <w:kern w:val="0"/>
      <w:sz w:val="20"/>
      <w:szCs w:val="20"/>
    </w:rPr>
  </w:style>
  <w:style w:type="paragraph" w:styleId="23">
    <w:name w:val="Plain Text"/>
    <w:basedOn w:val="1"/>
    <w:link w:val="116"/>
    <w:qFormat/>
    <w:uiPriority w:val="0"/>
    <w:rPr>
      <w:rFonts w:ascii="宋体" w:hAnsi="Courier New"/>
      <w:szCs w:val="20"/>
    </w:rPr>
  </w:style>
  <w:style w:type="paragraph" w:styleId="24">
    <w:name w:val="toc 8"/>
    <w:basedOn w:val="1"/>
    <w:next w:val="1"/>
    <w:semiHidden/>
    <w:qFormat/>
    <w:uiPriority w:val="0"/>
    <w:pPr>
      <w:ind w:left="1400"/>
      <w:jc w:val="left"/>
    </w:pPr>
    <w:rPr>
      <w:rFonts w:ascii="Times New Roman" w:hAnsi="Times New Roman"/>
      <w:kern w:val="0"/>
      <w:sz w:val="18"/>
      <w:szCs w:val="18"/>
    </w:rPr>
  </w:style>
  <w:style w:type="paragraph" w:styleId="25">
    <w:name w:val="Date"/>
    <w:basedOn w:val="1"/>
    <w:next w:val="1"/>
    <w:link w:val="117"/>
    <w:unhideWhenUsed/>
    <w:qFormat/>
    <w:uiPriority w:val="99"/>
    <w:pPr>
      <w:ind w:left="100" w:leftChars="2500"/>
    </w:pPr>
  </w:style>
  <w:style w:type="paragraph" w:styleId="26">
    <w:name w:val="Body Text Indent 2"/>
    <w:basedOn w:val="1"/>
    <w:link w:val="118"/>
    <w:qFormat/>
    <w:uiPriority w:val="0"/>
    <w:pPr>
      <w:spacing w:after="120" w:line="480" w:lineRule="auto"/>
      <w:ind w:left="420" w:leftChars="200"/>
    </w:pPr>
    <w:rPr>
      <w:rFonts w:ascii="宋体" w:hAnsi="宋体"/>
      <w:kern w:val="0"/>
      <w:sz w:val="20"/>
      <w:szCs w:val="24"/>
    </w:rPr>
  </w:style>
  <w:style w:type="paragraph" w:styleId="27">
    <w:name w:val="Balloon Text"/>
    <w:basedOn w:val="1"/>
    <w:link w:val="119"/>
    <w:unhideWhenUsed/>
    <w:qFormat/>
    <w:uiPriority w:val="99"/>
    <w:rPr>
      <w:kern w:val="0"/>
      <w:sz w:val="18"/>
      <w:szCs w:val="18"/>
    </w:rPr>
  </w:style>
  <w:style w:type="paragraph" w:styleId="28">
    <w:name w:val="footer"/>
    <w:basedOn w:val="1"/>
    <w:link w:val="120"/>
    <w:unhideWhenUsed/>
    <w:qFormat/>
    <w:uiPriority w:val="99"/>
    <w:pPr>
      <w:tabs>
        <w:tab w:val="center" w:pos="4153"/>
        <w:tab w:val="right" w:pos="8306"/>
      </w:tabs>
      <w:snapToGrid w:val="0"/>
      <w:jc w:val="left"/>
    </w:pPr>
    <w:rPr>
      <w:kern w:val="0"/>
      <w:sz w:val="18"/>
      <w:szCs w:val="18"/>
    </w:rPr>
  </w:style>
  <w:style w:type="paragraph" w:styleId="29">
    <w:name w:val="header"/>
    <w:basedOn w:val="1"/>
    <w:link w:val="121"/>
    <w:unhideWhenUsed/>
    <w:qFormat/>
    <w:uiPriority w:val="99"/>
    <w:pPr>
      <w:pBdr>
        <w:bottom w:val="single" w:color="auto" w:sz="6" w:space="1"/>
      </w:pBdr>
      <w:tabs>
        <w:tab w:val="center" w:pos="4153"/>
        <w:tab w:val="right" w:pos="8306"/>
      </w:tabs>
      <w:snapToGrid w:val="0"/>
      <w:jc w:val="center"/>
    </w:pPr>
    <w:rPr>
      <w:kern w:val="0"/>
      <w:sz w:val="18"/>
      <w:szCs w:val="18"/>
    </w:rPr>
  </w:style>
  <w:style w:type="paragraph" w:styleId="30">
    <w:name w:val="toc 1"/>
    <w:basedOn w:val="1"/>
    <w:next w:val="1"/>
    <w:semiHidden/>
    <w:qFormat/>
    <w:uiPriority w:val="0"/>
    <w:pPr>
      <w:tabs>
        <w:tab w:val="right" w:leader="dot" w:pos="8985"/>
      </w:tabs>
      <w:snapToGrid w:val="0"/>
      <w:spacing w:before="120" w:after="120" w:line="360" w:lineRule="auto"/>
      <w:jc w:val="center"/>
    </w:pPr>
    <w:rPr>
      <w:rFonts w:ascii="Times New Roman" w:hAnsi="Times New Roman"/>
      <w:b/>
      <w:bCs/>
      <w:caps/>
      <w:kern w:val="0"/>
      <w:sz w:val="32"/>
      <w:szCs w:val="32"/>
    </w:rPr>
  </w:style>
  <w:style w:type="paragraph" w:styleId="31">
    <w:name w:val="toc 4"/>
    <w:basedOn w:val="1"/>
    <w:next w:val="1"/>
    <w:semiHidden/>
    <w:qFormat/>
    <w:uiPriority w:val="0"/>
    <w:pPr>
      <w:ind w:left="600"/>
      <w:jc w:val="left"/>
    </w:pPr>
    <w:rPr>
      <w:rFonts w:ascii="Times New Roman" w:hAnsi="Times New Roman"/>
      <w:kern w:val="0"/>
      <w:sz w:val="18"/>
      <w:szCs w:val="18"/>
    </w:rPr>
  </w:style>
  <w:style w:type="paragraph" w:styleId="32">
    <w:name w:val="toc 6"/>
    <w:basedOn w:val="1"/>
    <w:next w:val="1"/>
    <w:semiHidden/>
    <w:qFormat/>
    <w:uiPriority w:val="0"/>
    <w:pPr>
      <w:ind w:left="1000"/>
      <w:jc w:val="left"/>
    </w:pPr>
    <w:rPr>
      <w:rFonts w:ascii="Times New Roman" w:hAnsi="Times New Roman"/>
      <w:kern w:val="0"/>
      <w:sz w:val="18"/>
      <w:szCs w:val="18"/>
    </w:rPr>
  </w:style>
  <w:style w:type="paragraph" w:styleId="33">
    <w:name w:val="Body Text Indent 3"/>
    <w:basedOn w:val="1"/>
    <w:qFormat/>
    <w:uiPriority w:val="0"/>
    <w:pPr>
      <w:spacing w:after="120" w:afterLines="0"/>
      <w:ind w:left="420" w:leftChars="200"/>
    </w:pPr>
    <w:rPr>
      <w:sz w:val="16"/>
      <w:szCs w:val="16"/>
    </w:rPr>
  </w:style>
  <w:style w:type="paragraph" w:styleId="34">
    <w:name w:val="toc 2"/>
    <w:basedOn w:val="1"/>
    <w:next w:val="1"/>
    <w:semiHidden/>
    <w:qFormat/>
    <w:uiPriority w:val="0"/>
    <w:pPr>
      <w:tabs>
        <w:tab w:val="right" w:leader="dot" w:pos="8985"/>
      </w:tabs>
      <w:snapToGrid w:val="0"/>
      <w:ind w:left="198"/>
      <w:jc w:val="left"/>
    </w:pPr>
    <w:rPr>
      <w:rFonts w:ascii="Times New Roman" w:hAnsi="Times New Roman"/>
      <w:smallCaps/>
      <w:kern w:val="0"/>
      <w:sz w:val="20"/>
      <w:szCs w:val="20"/>
    </w:rPr>
  </w:style>
  <w:style w:type="paragraph" w:styleId="35">
    <w:name w:val="toc 9"/>
    <w:basedOn w:val="1"/>
    <w:next w:val="1"/>
    <w:semiHidden/>
    <w:qFormat/>
    <w:uiPriority w:val="0"/>
    <w:pPr>
      <w:ind w:left="1600"/>
      <w:jc w:val="left"/>
    </w:pPr>
    <w:rPr>
      <w:rFonts w:ascii="Times New Roman" w:hAnsi="Times New Roman"/>
      <w:kern w:val="0"/>
      <w:sz w:val="18"/>
      <w:szCs w:val="18"/>
    </w:rPr>
  </w:style>
  <w:style w:type="paragraph" w:styleId="36">
    <w:name w:val="HTML Preformatted"/>
    <w:basedOn w:val="1"/>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kern w:val="0"/>
      <w:sz w:val="24"/>
    </w:rPr>
  </w:style>
  <w:style w:type="paragraph" w:styleId="37">
    <w:name w:val="Normal (Web)"/>
    <w:basedOn w:val="1"/>
    <w:qFormat/>
    <w:uiPriority w:val="0"/>
    <w:pPr>
      <w:widowControl/>
      <w:spacing w:before="100" w:beforeAutospacing="1" w:after="100" w:afterAutospacing="1"/>
      <w:jc w:val="left"/>
    </w:pPr>
    <w:rPr>
      <w:rFonts w:ascii="宋体" w:hAnsi="宋体" w:cs="宋体"/>
      <w:color w:val="000000"/>
      <w:kern w:val="0"/>
      <w:sz w:val="24"/>
      <w:szCs w:val="24"/>
    </w:rPr>
  </w:style>
  <w:style w:type="paragraph" w:styleId="38">
    <w:name w:val="Title"/>
    <w:basedOn w:val="1"/>
    <w:next w:val="1"/>
    <w:link w:val="122"/>
    <w:qFormat/>
    <w:uiPriority w:val="0"/>
    <w:pPr>
      <w:spacing w:before="240" w:after="60"/>
      <w:jc w:val="center"/>
      <w:outlineLvl w:val="0"/>
    </w:pPr>
    <w:rPr>
      <w:rFonts w:ascii="Arial" w:hAnsi="Arial"/>
      <w:b/>
      <w:bCs/>
      <w:kern w:val="0"/>
      <w:sz w:val="32"/>
      <w:szCs w:val="32"/>
    </w:rPr>
  </w:style>
  <w:style w:type="paragraph" w:styleId="39">
    <w:name w:val="annotation subject"/>
    <w:basedOn w:val="16"/>
    <w:next w:val="16"/>
    <w:link w:val="123"/>
    <w:semiHidden/>
    <w:qFormat/>
    <w:uiPriority w:val="0"/>
    <w:rPr>
      <w:rFonts w:ascii="宋体" w:hAnsi="宋体"/>
      <w:b/>
      <w:bCs/>
    </w:rPr>
  </w:style>
  <w:style w:type="paragraph" w:styleId="40">
    <w:name w:val="Body Text First Indent 2"/>
    <w:basedOn w:val="17"/>
    <w:next w:val="1"/>
    <w:qFormat/>
    <w:uiPriority w:val="0"/>
    <w:pPr>
      <w:spacing w:after="120"/>
      <w:ind w:left="200" w:leftChars="200" w:firstLine="420"/>
      <w:jc w:val="both"/>
    </w:pPr>
    <w:rPr>
      <w:rFonts w:ascii="Calibri" w:hAnsi="Calibri" w:eastAsia="宋体"/>
      <w:szCs w:val="24"/>
      <w:lang w:val="en-US"/>
    </w:rPr>
  </w:style>
  <w:style w:type="table" w:styleId="42">
    <w:name w:val="Table Grid"/>
    <w:basedOn w:val="41"/>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4">
    <w:name w:val="Strong"/>
    <w:basedOn w:val="43"/>
    <w:qFormat/>
    <w:uiPriority w:val="22"/>
    <w:rPr>
      <w:b/>
      <w:bCs/>
    </w:rPr>
  </w:style>
  <w:style w:type="character" w:styleId="45">
    <w:name w:val="page number"/>
    <w:qFormat/>
    <w:uiPriority w:val="0"/>
  </w:style>
  <w:style w:type="character" w:styleId="46">
    <w:name w:val="FollowedHyperlink"/>
    <w:qFormat/>
    <w:uiPriority w:val="0"/>
    <w:rPr>
      <w:rFonts w:hint="eastAsia" w:ascii="微软雅黑" w:hAnsi="微软雅黑" w:eastAsia="微软雅黑" w:cs="微软雅黑"/>
      <w:color w:val="333333"/>
      <w:sz w:val="21"/>
      <w:szCs w:val="21"/>
      <w:u w:val="none"/>
    </w:rPr>
  </w:style>
  <w:style w:type="character" w:styleId="47">
    <w:name w:val="Emphasis"/>
    <w:qFormat/>
    <w:uiPriority w:val="20"/>
  </w:style>
  <w:style w:type="character" w:styleId="48">
    <w:name w:val="HTML Definition"/>
    <w:unhideWhenUsed/>
    <w:qFormat/>
    <w:uiPriority w:val="99"/>
  </w:style>
  <w:style w:type="character" w:styleId="49">
    <w:name w:val="HTML Typewriter"/>
    <w:unhideWhenUsed/>
    <w:qFormat/>
    <w:uiPriority w:val="99"/>
    <w:rPr>
      <w:rFonts w:hint="default" w:ascii="monospace" w:hAnsi="monospace" w:eastAsia="monospace" w:cs="monospace"/>
      <w:sz w:val="20"/>
    </w:rPr>
  </w:style>
  <w:style w:type="character" w:styleId="50">
    <w:name w:val="HTML Acronym"/>
    <w:unhideWhenUsed/>
    <w:qFormat/>
    <w:uiPriority w:val="99"/>
  </w:style>
  <w:style w:type="character" w:styleId="51">
    <w:name w:val="HTML Variable"/>
    <w:unhideWhenUsed/>
    <w:qFormat/>
    <w:uiPriority w:val="99"/>
  </w:style>
  <w:style w:type="character" w:styleId="52">
    <w:name w:val="Hyperlink"/>
    <w:qFormat/>
    <w:uiPriority w:val="0"/>
    <w:rPr>
      <w:rFonts w:hint="eastAsia" w:ascii="微软雅黑" w:hAnsi="微软雅黑" w:eastAsia="微软雅黑" w:cs="微软雅黑"/>
      <w:color w:val="333333"/>
      <w:sz w:val="21"/>
      <w:szCs w:val="21"/>
      <w:u w:val="none"/>
    </w:rPr>
  </w:style>
  <w:style w:type="character" w:styleId="53">
    <w:name w:val="HTML Code"/>
    <w:unhideWhenUsed/>
    <w:qFormat/>
    <w:uiPriority w:val="99"/>
    <w:rPr>
      <w:rFonts w:hint="default" w:ascii="monospace" w:hAnsi="monospace" w:eastAsia="monospace" w:cs="monospace"/>
      <w:sz w:val="20"/>
    </w:rPr>
  </w:style>
  <w:style w:type="character" w:styleId="54">
    <w:name w:val="annotation reference"/>
    <w:qFormat/>
    <w:uiPriority w:val="0"/>
    <w:rPr>
      <w:sz w:val="21"/>
      <w:szCs w:val="21"/>
    </w:rPr>
  </w:style>
  <w:style w:type="character" w:styleId="55">
    <w:name w:val="HTML Cite"/>
    <w:unhideWhenUsed/>
    <w:qFormat/>
    <w:uiPriority w:val="99"/>
  </w:style>
  <w:style w:type="character" w:styleId="56">
    <w:name w:val="HTML Keyboard"/>
    <w:unhideWhenUsed/>
    <w:qFormat/>
    <w:uiPriority w:val="99"/>
    <w:rPr>
      <w:rFonts w:ascii="monospace" w:hAnsi="monospace" w:eastAsia="monospace" w:cs="monospace"/>
      <w:sz w:val="20"/>
    </w:rPr>
  </w:style>
  <w:style w:type="character" w:styleId="57">
    <w:name w:val="HTML Sample"/>
    <w:unhideWhenUsed/>
    <w:qFormat/>
    <w:uiPriority w:val="99"/>
    <w:rPr>
      <w:rFonts w:hint="default" w:ascii="monospace" w:hAnsi="monospace" w:eastAsia="monospace" w:cs="monospace"/>
      <w:bdr w:val="single" w:color="BDBEC1" w:sz="6" w:space="0"/>
      <w:shd w:val="clear" w:color="auto" w:fill="FFFFFF"/>
    </w:rPr>
  </w:style>
  <w:style w:type="paragraph" w:customStyle="1" w:styleId="58">
    <w:name w:val="Default"/>
    <w:next w:val="1"/>
    <w:qFormat/>
    <w:uiPriority w:val="99"/>
    <w:pPr>
      <w:widowControl w:val="0"/>
      <w:autoSpaceDE w:val="0"/>
      <w:autoSpaceDN w:val="0"/>
      <w:adjustRightInd w:val="0"/>
    </w:pPr>
    <w:rPr>
      <w:rFonts w:ascii="宋体" w:hAnsi="宋体" w:eastAsia="宋体" w:cs="宋体"/>
      <w:color w:val="000000"/>
      <w:sz w:val="24"/>
      <w:szCs w:val="24"/>
      <w:lang w:val="en-US" w:eastAsia="zh-CN" w:bidi="ar-SA"/>
    </w:rPr>
  </w:style>
  <w:style w:type="paragraph" w:customStyle="1" w:styleId="59">
    <w:name w:val="正文文本 (3)"/>
    <w:basedOn w:val="1"/>
    <w:link w:val="128"/>
    <w:qFormat/>
    <w:uiPriority w:val="0"/>
    <w:pPr>
      <w:shd w:val="clear" w:color="auto" w:fill="FFFFFF"/>
      <w:spacing w:after="1020" w:line="500" w:lineRule="exact"/>
      <w:jc w:val="left"/>
    </w:pPr>
    <w:rPr>
      <w:rFonts w:ascii="MingLiU" w:eastAsia="MingLiU"/>
      <w:spacing w:val="50"/>
      <w:kern w:val="0"/>
      <w:sz w:val="50"/>
      <w:szCs w:val="50"/>
    </w:rPr>
  </w:style>
  <w:style w:type="paragraph" w:customStyle="1" w:styleId="60">
    <w:name w:val="正文文本 (2)1"/>
    <w:basedOn w:val="1"/>
    <w:link w:val="138"/>
    <w:qFormat/>
    <w:uiPriority w:val="0"/>
    <w:pPr>
      <w:shd w:val="clear" w:color="auto" w:fill="FFFFFF"/>
      <w:spacing w:before="340" w:after="340" w:line="220" w:lineRule="exact"/>
      <w:jc w:val="distribute"/>
    </w:pPr>
    <w:rPr>
      <w:rFonts w:ascii="MingLiU" w:eastAsia="MingLiU"/>
      <w:kern w:val="0"/>
      <w:sz w:val="22"/>
      <w:szCs w:val="20"/>
    </w:rPr>
  </w:style>
  <w:style w:type="paragraph" w:customStyle="1" w:styleId="61">
    <w:name w:val="xl34"/>
    <w:basedOn w:val="1"/>
    <w:qFormat/>
    <w:uiPriority w:val="0"/>
    <w:pPr>
      <w:widowControl/>
      <w:spacing w:before="100" w:beforeAutospacing="1" w:after="100" w:afterAutospacing="1"/>
      <w:jc w:val="left"/>
      <w:textAlignment w:val="center"/>
    </w:pPr>
    <w:rPr>
      <w:rFonts w:ascii="宋体" w:hAnsi="宋体"/>
      <w:kern w:val="0"/>
      <w:sz w:val="24"/>
      <w:szCs w:val="24"/>
    </w:rPr>
  </w:style>
  <w:style w:type="paragraph" w:customStyle="1" w:styleId="62">
    <w:name w:val="Blockquote"/>
    <w:basedOn w:val="1"/>
    <w:qFormat/>
    <w:uiPriority w:val="0"/>
    <w:pPr>
      <w:autoSpaceDE w:val="0"/>
      <w:autoSpaceDN w:val="0"/>
      <w:adjustRightInd w:val="0"/>
      <w:spacing w:before="100" w:after="100"/>
      <w:ind w:left="360" w:right="360"/>
      <w:jc w:val="left"/>
    </w:pPr>
    <w:rPr>
      <w:kern w:val="0"/>
      <w:sz w:val="24"/>
      <w:szCs w:val="20"/>
    </w:rPr>
  </w:style>
  <w:style w:type="paragraph" w:customStyle="1" w:styleId="63">
    <w:name w:val="xl30"/>
    <w:basedOn w:val="1"/>
    <w:qFormat/>
    <w:uiPriority w:val="0"/>
    <w:pPr>
      <w:widowControl/>
      <w:spacing w:before="100" w:beforeAutospacing="1" w:after="100" w:afterAutospacing="1"/>
      <w:jc w:val="center"/>
      <w:textAlignment w:val="center"/>
    </w:pPr>
    <w:rPr>
      <w:rFonts w:ascii="宋体" w:hAnsi="宋体"/>
      <w:b/>
      <w:bCs/>
      <w:kern w:val="0"/>
      <w:sz w:val="48"/>
      <w:szCs w:val="48"/>
    </w:rPr>
  </w:style>
  <w:style w:type="paragraph" w:customStyle="1" w:styleId="64">
    <w:name w:val="GCEBStyles4"/>
    <w:basedOn w:val="1"/>
    <w:qFormat/>
    <w:uiPriority w:val="0"/>
    <w:pPr>
      <w:jc w:val="left"/>
      <w:outlineLvl w:val="4"/>
    </w:pPr>
    <w:rPr>
      <w:rFonts w:ascii="宋体" w:hAnsi="宋体"/>
      <w:b/>
      <w:bCs/>
      <w:kern w:val="0"/>
      <w:sz w:val="28"/>
      <w:szCs w:val="24"/>
    </w:rPr>
  </w:style>
  <w:style w:type="paragraph" w:customStyle="1" w:styleId="65">
    <w:name w:val="xl24"/>
    <w:basedOn w:val="1"/>
    <w:qFormat/>
    <w:uiPriority w:val="0"/>
    <w:pPr>
      <w:widowControl/>
      <w:spacing w:before="100" w:beforeAutospacing="1" w:after="100" w:afterAutospacing="1"/>
      <w:jc w:val="left"/>
      <w:textAlignment w:val="center"/>
    </w:pPr>
    <w:rPr>
      <w:rFonts w:ascii="宋体" w:hAnsi="宋体"/>
      <w:kern w:val="0"/>
      <w:sz w:val="24"/>
      <w:szCs w:val="24"/>
    </w:rPr>
  </w:style>
  <w:style w:type="paragraph" w:customStyle="1" w:styleId="66">
    <w:name w:val="xl33"/>
    <w:basedOn w:val="1"/>
    <w:qFormat/>
    <w:uiPriority w:val="0"/>
    <w:pPr>
      <w:widowControl/>
      <w:spacing w:before="100" w:beforeAutospacing="1" w:after="100" w:afterAutospacing="1"/>
      <w:jc w:val="left"/>
      <w:textAlignment w:val="center"/>
    </w:pPr>
    <w:rPr>
      <w:rFonts w:ascii="宋体" w:hAnsi="宋体"/>
      <w:kern w:val="0"/>
      <w:sz w:val="32"/>
      <w:szCs w:val="32"/>
    </w:rPr>
  </w:style>
  <w:style w:type="paragraph" w:customStyle="1" w:styleId="67">
    <w:name w:val="_Style 48"/>
    <w:basedOn w:val="1"/>
    <w:qFormat/>
    <w:uiPriority w:val="0"/>
    <w:pPr>
      <w:autoSpaceDE/>
      <w:autoSpaceDN/>
      <w:adjustRightInd/>
      <w:spacing w:line="480" w:lineRule="auto"/>
      <w:ind w:firstLine="403" w:firstLineChars="168"/>
      <w:jc w:val="center"/>
    </w:pPr>
    <w:rPr>
      <w:rFonts w:ascii="宋体" w:hAnsi="宋体"/>
      <w:kern w:val="2"/>
    </w:rPr>
  </w:style>
  <w:style w:type="paragraph" w:customStyle="1" w:styleId="68">
    <w:name w:val="xl32"/>
    <w:basedOn w:val="1"/>
    <w:qFormat/>
    <w:uiPriority w:val="0"/>
    <w:pPr>
      <w:widowControl/>
      <w:pBdr>
        <w:bottom w:val="single" w:color="auto" w:sz="4" w:space="0"/>
      </w:pBdr>
      <w:spacing w:before="100" w:beforeAutospacing="1" w:after="100" w:afterAutospacing="1"/>
      <w:jc w:val="center"/>
      <w:textAlignment w:val="center"/>
    </w:pPr>
    <w:rPr>
      <w:rFonts w:ascii="宋体" w:hAnsi="宋体"/>
      <w:kern w:val="0"/>
      <w:sz w:val="32"/>
      <w:szCs w:val="32"/>
    </w:rPr>
  </w:style>
  <w:style w:type="paragraph" w:customStyle="1" w:styleId="69">
    <w:name w:val="List Paragraph1"/>
    <w:basedOn w:val="1"/>
    <w:qFormat/>
    <w:uiPriority w:val="0"/>
    <w:pPr>
      <w:ind w:firstLine="420" w:firstLineChars="200"/>
    </w:pPr>
    <w:rPr>
      <w:szCs w:val="21"/>
    </w:rPr>
  </w:style>
  <w:style w:type="paragraph" w:customStyle="1" w:styleId="70">
    <w:name w:val="Style1"/>
    <w:qFormat/>
    <w:uiPriority w:val="0"/>
    <w:pPr>
      <w:spacing w:after="120"/>
      <w:jc w:val="both"/>
    </w:pPr>
    <w:rPr>
      <w:rFonts w:ascii="Times New Roman" w:hAnsi="Times New Roman" w:eastAsia="Times New Roman" w:cs="Times New Roman"/>
      <w:color w:val="000000"/>
      <w:spacing w:val="-3"/>
      <w:sz w:val="24"/>
      <w:szCs w:val="24"/>
      <w:lang w:val="en-US" w:eastAsia="zh-CN" w:bidi="ar-SA"/>
    </w:rPr>
  </w:style>
  <w:style w:type="paragraph" w:customStyle="1" w:styleId="71">
    <w:name w:val="font5"/>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72">
    <w:name w:val="xl25"/>
    <w:basedOn w:val="1"/>
    <w:qFormat/>
    <w:uiPriority w:val="0"/>
    <w:pPr>
      <w:widowControl/>
      <w:spacing w:before="100" w:beforeAutospacing="1" w:after="100" w:afterAutospacing="1"/>
      <w:jc w:val="center"/>
      <w:textAlignment w:val="center"/>
    </w:pPr>
    <w:rPr>
      <w:rFonts w:ascii="宋体" w:hAnsi="宋体"/>
      <w:kern w:val="0"/>
      <w:sz w:val="32"/>
      <w:szCs w:val="32"/>
    </w:rPr>
  </w:style>
  <w:style w:type="paragraph" w:customStyle="1" w:styleId="73">
    <w:name w:val="xl28"/>
    <w:basedOn w:val="1"/>
    <w:qFormat/>
    <w:uiPriority w:val="0"/>
    <w:pPr>
      <w:widowControl/>
      <w:spacing w:before="100" w:beforeAutospacing="1" w:after="100" w:afterAutospacing="1"/>
      <w:jc w:val="center"/>
    </w:pPr>
    <w:rPr>
      <w:rFonts w:hint="eastAsia" w:ascii="黑体" w:hAnsi="宋体" w:eastAsia="黑体"/>
      <w:kern w:val="0"/>
      <w:sz w:val="48"/>
      <w:szCs w:val="48"/>
      <w:u w:val="single"/>
    </w:rPr>
  </w:style>
  <w:style w:type="paragraph" w:customStyle="1" w:styleId="74">
    <w:name w:val="Style9"/>
    <w:basedOn w:val="1"/>
    <w:qFormat/>
    <w:uiPriority w:val="0"/>
    <w:pPr>
      <w:adjustRightInd w:val="0"/>
      <w:jc w:val="left"/>
    </w:pPr>
    <w:rPr>
      <w:rFonts w:ascii="宋体" w:hAnsi="Calibri" w:eastAsia="宋体" w:cs="Times New Roman"/>
      <w:kern w:val="0"/>
      <w:sz w:val="24"/>
      <w:szCs w:val="24"/>
    </w:rPr>
  </w:style>
  <w:style w:type="paragraph" w:customStyle="1" w:styleId="75">
    <w:name w:val="WPSOffice手动目录 1"/>
    <w:qFormat/>
    <w:uiPriority w:val="0"/>
    <w:pPr>
      <w:ind w:leftChars="0"/>
    </w:pPr>
    <w:rPr>
      <w:rFonts w:ascii="Times New Roman" w:hAnsi="Times New Roman" w:eastAsia="宋体" w:cs="Times New Roman"/>
      <w:sz w:val="20"/>
      <w:szCs w:val="20"/>
    </w:rPr>
  </w:style>
  <w:style w:type="paragraph" w:styleId="76">
    <w:name w:val="List Paragraph"/>
    <w:basedOn w:val="1"/>
    <w:next w:val="1"/>
    <w:qFormat/>
    <w:uiPriority w:val="34"/>
    <w:pPr>
      <w:ind w:firstLine="420" w:firstLineChars="200"/>
    </w:pPr>
    <w:rPr>
      <w:rFonts w:ascii="Calibri" w:hAnsi="Calibri" w:cs="Times New Roman"/>
      <w:kern w:val="2"/>
      <w:sz w:val="21"/>
    </w:rPr>
  </w:style>
  <w:style w:type="paragraph" w:customStyle="1" w:styleId="77">
    <w:name w:val="普通(网站)1"/>
    <w:basedOn w:val="1"/>
    <w:qFormat/>
    <w:uiPriority w:val="0"/>
    <w:pPr>
      <w:widowControl/>
      <w:spacing w:before="100" w:beforeAutospacing="1" w:after="100" w:afterAutospacing="1"/>
      <w:jc w:val="left"/>
    </w:pPr>
    <w:rPr>
      <w:rFonts w:ascii="宋体" w:hAnsi="宋体" w:eastAsia="宋体"/>
      <w:kern w:val="0"/>
      <w:sz w:val="24"/>
      <w:szCs w:val="24"/>
    </w:rPr>
  </w:style>
  <w:style w:type="paragraph" w:customStyle="1" w:styleId="78">
    <w:name w:val="xl22"/>
    <w:basedOn w:val="1"/>
    <w:qFormat/>
    <w:uiPriority w:val="0"/>
    <w:pPr>
      <w:widowControl/>
      <w:spacing w:before="100" w:beforeAutospacing="1" w:after="100" w:afterAutospacing="1"/>
      <w:jc w:val="left"/>
    </w:pPr>
    <w:rPr>
      <w:rFonts w:ascii="宋体" w:hAnsi="宋体"/>
      <w:kern w:val="0"/>
      <w:sz w:val="32"/>
      <w:szCs w:val="32"/>
    </w:rPr>
  </w:style>
  <w:style w:type="paragraph" w:customStyle="1" w:styleId="79">
    <w:name w:val="Char"/>
    <w:basedOn w:val="15"/>
    <w:qFormat/>
    <w:uiPriority w:val="0"/>
    <w:pPr>
      <w:widowControl/>
    </w:pPr>
    <w:rPr>
      <w:rFonts w:ascii="Tahoma" w:hAnsi="Tahoma"/>
      <w:kern w:val="2"/>
      <w:sz w:val="24"/>
    </w:rPr>
  </w:style>
  <w:style w:type="paragraph" w:customStyle="1" w:styleId="80">
    <w:name w:val="Char Char"/>
    <w:basedOn w:val="1"/>
    <w:qFormat/>
    <w:uiPriority w:val="0"/>
    <w:pPr>
      <w:ind w:firstLine="200" w:firstLineChars="200"/>
    </w:pPr>
    <w:rPr>
      <w:rFonts w:ascii="Times New Roman" w:hAnsi="Times New Roman"/>
      <w:szCs w:val="24"/>
    </w:rPr>
  </w:style>
  <w:style w:type="paragraph" w:customStyle="1" w:styleId="81">
    <w:name w:val="样式29"/>
    <w:basedOn w:val="1"/>
    <w:qFormat/>
    <w:uiPriority w:val="0"/>
    <w:pPr>
      <w:widowControl/>
      <w:spacing w:before="100" w:beforeAutospacing="1" w:after="100" w:afterAutospacing="1" w:line="440" w:lineRule="exact"/>
      <w:ind w:firstLine="200" w:firstLineChars="200"/>
      <w:jc w:val="left"/>
    </w:pPr>
    <w:rPr>
      <w:rFonts w:ascii="Times New Roman" w:hAnsi="Times New Roman" w:eastAsia="楷体_GB2312"/>
      <w:spacing w:val="6"/>
      <w:kern w:val="0"/>
      <w:sz w:val="24"/>
      <w:szCs w:val="20"/>
    </w:rPr>
  </w:style>
  <w:style w:type="paragraph" w:customStyle="1" w:styleId="82">
    <w:name w:val="GCEBStyles0"/>
    <w:basedOn w:val="1"/>
    <w:qFormat/>
    <w:uiPriority w:val="0"/>
    <w:pPr>
      <w:jc w:val="left"/>
      <w:outlineLvl w:val="0"/>
    </w:pPr>
    <w:rPr>
      <w:rFonts w:ascii="宋体" w:hAnsi="宋体"/>
      <w:b/>
      <w:bCs/>
      <w:kern w:val="0"/>
      <w:sz w:val="44"/>
      <w:szCs w:val="24"/>
    </w:rPr>
  </w:style>
  <w:style w:type="paragraph" w:customStyle="1" w:styleId="83">
    <w:name w:val="xl36"/>
    <w:basedOn w:val="1"/>
    <w:qFormat/>
    <w:uiPriority w:val="0"/>
    <w:pPr>
      <w:widowControl/>
      <w:pBdr>
        <w:top w:val="single" w:color="auto" w:sz="4" w:space="0"/>
        <w:left w:val="single" w:color="auto" w:sz="4" w:space="0"/>
        <w:bottom w:val="double" w:color="auto" w:sz="6"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84">
    <w:name w:val="GCEBStyles1"/>
    <w:basedOn w:val="1"/>
    <w:qFormat/>
    <w:uiPriority w:val="0"/>
    <w:pPr>
      <w:jc w:val="left"/>
      <w:outlineLvl w:val="1"/>
    </w:pPr>
    <w:rPr>
      <w:rFonts w:ascii="黑体" w:hAnsi="宋体" w:eastAsia="黑体"/>
      <w:b/>
      <w:bCs/>
      <w:kern w:val="0"/>
      <w:sz w:val="32"/>
      <w:szCs w:val="24"/>
    </w:rPr>
  </w:style>
  <w:style w:type="paragraph" w:customStyle="1" w:styleId="85">
    <w:name w:val="正文格式"/>
    <w:basedOn w:val="1"/>
    <w:qFormat/>
    <w:uiPriority w:val="0"/>
    <w:pPr>
      <w:widowControl/>
      <w:adjustRightInd w:val="0"/>
      <w:snapToGrid w:val="0"/>
      <w:spacing w:line="400" w:lineRule="atLeast"/>
      <w:ind w:firstLine="482"/>
      <w:textAlignment w:val="baseline"/>
    </w:pPr>
    <w:rPr>
      <w:rFonts w:ascii="Times New Roman" w:hAnsi="Times New Roman"/>
      <w:kern w:val="0"/>
      <w:sz w:val="24"/>
    </w:rPr>
  </w:style>
  <w:style w:type="paragraph" w:customStyle="1" w:styleId="86">
    <w:name w:val="xl37"/>
    <w:basedOn w:val="1"/>
    <w:qFormat/>
    <w:uiPriority w:val="0"/>
    <w:pPr>
      <w:widowControl/>
      <w:pBdr>
        <w:top w:val="single" w:color="auto" w:sz="4" w:space="0"/>
        <w:left w:val="single" w:color="auto" w:sz="4" w:space="0"/>
        <w:bottom w:val="double" w:color="auto" w:sz="6" w:space="0"/>
        <w:right w:val="double" w:color="auto" w:sz="6" w:space="0"/>
      </w:pBdr>
      <w:spacing w:before="100" w:beforeAutospacing="1" w:after="100" w:afterAutospacing="1"/>
      <w:jc w:val="center"/>
    </w:pPr>
    <w:rPr>
      <w:rFonts w:ascii="宋体" w:hAnsi="宋体" w:cs="宋体"/>
      <w:kern w:val="0"/>
      <w:sz w:val="20"/>
      <w:szCs w:val="20"/>
    </w:rPr>
  </w:style>
  <w:style w:type="paragraph" w:customStyle="1" w:styleId="87">
    <w:name w:val="xl31"/>
    <w:basedOn w:val="1"/>
    <w:qFormat/>
    <w:uiPriority w:val="0"/>
    <w:pPr>
      <w:widowControl/>
      <w:spacing w:before="100" w:beforeAutospacing="1" w:after="100" w:afterAutospacing="1"/>
      <w:jc w:val="center"/>
      <w:textAlignment w:val="center"/>
    </w:pPr>
    <w:rPr>
      <w:rFonts w:ascii="宋体" w:hAnsi="宋体"/>
      <w:kern w:val="0"/>
      <w:sz w:val="24"/>
      <w:szCs w:val="24"/>
    </w:rPr>
  </w:style>
  <w:style w:type="paragraph" w:customStyle="1" w:styleId="88">
    <w:name w:val="xl26"/>
    <w:basedOn w:val="1"/>
    <w:qFormat/>
    <w:uiPriority w:val="0"/>
    <w:pPr>
      <w:widowControl/>
      <w:spacing w:before="100" w:beforeAutospacing="1" w:after="100" w:afterAutospacing="1"/>
      <w:jc w:val="left"/>
      <w:textAlignment w:val="center"/>
    </w:pPr>
    <w:rPr>
      <w:rFonts w:ascii="宋体" w:hAnsi="宋体"/>
      <w:kern w:val="0"/>
      <w:sz w:val="32"/>
      <w:szCs w:val="32"/>
    </w:rPr>
  </w:style>
  <w:style w:type="paragraph" w:customStyle="1" w:styleId="89">
    <w:name w:val="Table Paragraph"/>
    <w:basedOn w:val="1"/>
    <w:qFormat/>
    <w:uiPriority w:val="1"/>
    <w:pPr>
      <w:jc w:val="left"/>
    </w:pPr>
    <w:rPr>
      <w:rFonts w:cs="宋体"/>
      <w:sz w:val="22"/>
      <w:lang w:eastAsia="en-US"/>
    </w:rPr>
  </w:style>
  <w:style w:type="paragraph" w:customStyle="1" w:styleId="90">
    <w:name w:val="xl29"/>
    <w:basedOn w:val="1"/>
    <w:qFormat/>
    <w:uiPriority w:val="0"/>
    <w:pPr>
      <w:widowControl/>
      <w:spacing w:before="100" w:beforeAutospacing="1" w:after="100" w:afterAutospacing="1"/>
      <w:jc w:val="center"/>
    </w:pPr>
    <w:rPr>
      <w:rFonts w:ascii="宋体" w:hAnsi="宋体"/>
      <w:kern w:val="0"/>
      <w:sz w:val="24"/>
      <w:szCs w:val="24"/>
      <w:u w:val="single"/>
    </w:rPr>
  </w:style>
  <w:style w:type="paragraph" w:customStyle="1" w:styleId="91">
    <w:name w:val="GCEBStyles6"/>
    <w:basedOn w:val="1"/>
    <w:qFormat/>
    <w:uiPriority w:val="0"/>
    <w:pPr>
      <w:jc w:val="left"/>
      <w:outlineLvl w:val="6"/>
    </w:pPr>
    <w:rPr>
      <w:rFonts w:ascii="宋体" w:hAnsi="宋体"/>
      <w:b/>
      <w:bCs/>
      <w:kern w:val="0"/>
      <w:sz w:val="24"/>
      <w:szCs w:val="24"/>
    </w:rPr>
  </w:style>
  <w:style w:type="paragraph" w:customStyle="1" w:styleId="92">
    <w:name w:val="xl27"/>
    <w:basedOn w:val="1"/>
    <w:qFormat/>
    <w:uiPriority w:val="0"/>
    <w:pPr>
      <w:widowControl/>
      <w:spacing w:before="100" w:beforeAutospacing="1" w:after="100" w:afterAutospacing="1"/>
      <w:jc w:val="left"/>
      <w:textAlignment w:val="center"/>
    </w:pPr>
    <w:rPr>
      <w:rFonts w:ascii="宋体" w:hAnsi="宋体"/>
      <w:kern w:val="0"/>
      <w:sz w:val="24"/>
      <w:szCs w:val="24"/>
    </w:rPr>
  </w:style>
  <w:style w:type="paragraph" w:customStyle="1" w:styleId="93">
    <w:name w:val="TOC1"/>
    <w:basedOn w:val="1"/>
    <w:next w:val="1"/>
    <w:qFormat/>
    <w:locked/>
    <w:uiPriority w:val="0"/>
    <w:pPr>
      <w:tabs>
        <w:tab w:val="right" w:leader="dot" w:pos="8985"/>
      </w:tabs>
      <w:snapToGrid w:val="0"/>
      <w:spacing w:before="120" w:after="120" w:line="360" w:lineRule="auto"/>
      <w:jc w:val="center"/>
    </w:pPr>
    <w:rPr>
      <w:sz w:val="32"/>
      <w:szCs w:val="32"/>
    </w:rPr>
  </w:style>
  <w:style w:type="paragraph" w:customStyle="1" w:styleId="94">
    <w:name w:val="GCEBStyles7"/>
    <w:basedOn w:val="1"/>
    <w:qFormat/>
    <w:uiPriority w:val="0"/>
    <w:pPr>
      <w:jc w:val="left"/>
      <w:outlineLvl w:val="7"/>
    </w:pPr>
    <w:rPr>
      <w:rFonts w:ascii="黑体" w:hAnsi="宋体" w:eastAsia="黑体"/>
      <w:bCs/>
      <w:kern w:val="0"/>
      <w:sz w:val="24"/>
      <w:szCs w:val="24"/>
    </w:rPr>
  </w:style>
  <w:style w:type="paragraph" w:customStyle="1" w:styleId="95">
    <w:name w:val="GCEBStyles5"/>
    <w:basedOn w:val="1"/>
    <w:qFormat/>
    <w:uiPriority w:val="0"/>
    <w:pPr>
      <w:jc w:val="left"/>
      <w:outlineLvl w:val="5"/>
    </w:pPr>
    <w:rPr>
      <w:rFonts w:ascii="黑体" w:hAnsi="宋体" w:eastAsia="黑体"/>
      <w:b/>
      <w:bCs/>
      <w:kern w:val="0"/>
      <w:sz w:val="24"/>
      <w:szCs w:val="24"/>
    </w:rPr>
  </w:style>
  <w:style w:type="paragraph" w:customStyle="1" w:styleId="96">
    <w:name w:val="xl35"/>
    <w:basedOn w:val="1"/>
    <w:qFormat/>
    <w:uiPriority w:val="0"/>
    <w:pPr>
      <w:widowControl/>
      <w:spacing w:before="100" w:beforeAutospacing="1" w:after="100" w:afterAutospacing="1"/>
      <w:jc w:val="left"/>
      <w:textAlignment w:val="center"/>
    </w:pPr>
    <w:rPr>
      <w:rFonts w:ascii="宋体" w:hAnsi="宋体"/>
      <w:kern w:val="0"/>
      <w:sz w:val="32"/>
      <w:szCs w:val="32"/>
    </w:rPr>
  </w:style>
  <w:style w:type="paragraph" w:customStyle="1" w:styleId="97">
    <w:name w:val="xl23"/>
    <w:basedOn w:val="1"/>
    <w:qFormat/>
    <w:uiPriority w:val="0"/>
    <w:pPr>
      <w:widowControl/>
      <w:spacing w:before="100" w:beforeAutospacing="1" w:after="100" w:afterAutospacing="1"/>
      <w:jc w:val="left"/>
      <w:textAlignment w:val="center"/>
    </w:pPr>
    <w:rPr>
      <w:rFonts w:ascii="宋体" w:hAnsi="宋体"/>
      <w:kern w:val="0"/>
      <w:sz w:val="32"/>
      <w:szCs w:val="32"/>
    </w:rPr>
  </w:style>
  <w:style w:type="paragraph" w:customStyle="1" w:styleId="98">
    <w:name w:val="GCEBStyles9"/>
    <w:basedOn w:val="1"/>
    <w:qFormat/>
    <w:uiPriority w:val="0"/>
    <w:pPr>
      <w:jc w:val="left"/>
    </w:pPr>
    <w:rPr>
      <w:rFonts w:ascii="黑体" w:hAnsi="宋体" w:eastAsia="黑体"/>
      <w:bCs/>
      <w:kern w:val="0"/>
      <w:szCs w:val="24"/>
    </w:rPr>
  </w:style>
  <w:style w:type="paragraph" w:customStyle="1" w:styleId="99">
    <w:name w:val="font6"/>
    <w:basedOn w:val="1"/>
    <w:qFormat/>
    <w:uiPriority w:val="0"/>
    <w:pPr>
      <w:widowControl/>
      <w:spacing w:before="100" w:beforeAutospacing="1" w:after="100" w:afterAutospacing="1"/>
      <w:jc w:val="left"/>
    </w:pPr>
    <w:rPr>
      <w:rFonts w:hint="eastAsia" w:ascii="宋体" w:hAnsi="宋体"/>
      <w:b/>
      <w:bCs/>
      <w:kern w:val="0"/>
      <w:sz w:val="48"/>
      <w:szCs w:val="48"/>
    </w:rPr>
  </w:style>
  <w:style w:type="paragraph" w:customStyle="1" w:styleId="100">
    <w:name w:val="GCEBStyles2"/>
    <w:basedOn w:val="1"/>
    <w:qFormat/>
    <w:uiPriority w:val="0"/>
    <w:pPr>
      <w:jc w:val="left"/>
      <w:outlineLvl w:val="2"/>
    </w:pPr>
    <w:rPr>
      <w:rFonts w:ascii="宋体" w:hAnsi="宋体"/>
      <w:b/>
      <w:bCs/>
      <w:kern w:val="0"/>
      <w:sz w:val="32"/>
      <w:szCs w:val="24"/>
    </w:rPr>
  </w:style>
  <w:style w:type="paragraph" w:customStyle="1" w:styleId="101">
    <w:name w:val="GCEBStyles8"/>
    <w:basedOn w:val="1"/>
    <w:qFormat/>
    <w:uiPriority w:val="0"/>
    <w:pPr>
      <w:jc w:val="left"/>
      <w:outlineLvl w:val="8"/>
    </w:pPr>
    <w:rPr>
      <w:rFonts w:ascii="黑体" w:hAnsi="宋体" w:eastAsia="黑体"/>
      <w:bCs/>
      <w:kern w:val="0"/>
      <w:szCs w:val="24"/>
    </w:rPr>
  </w:style>
  <w:style w:type="paragraph" w:customStyle="1" w:styleId="102">
    <w:name w:val="GCEBStyles3"/>
    <w:basedOn w:val="1"/>
    <w:qFormat/>
    <w:uiPriority w:val="0"/>
    <w:pPr>
      <w:jc w:val="left"/>
      <w:outlineLvl w:val="3"/>
    </w:pPr>
    <w:rPr>
      <w:rFonts w:ascii="黑体" w:hAnsi="宋体" w:eastAsia="黑体"/>
      <w:b/>
      <w:bCs/>
      <w:kern w:val="0"/>
      <w:sz w:val="28"/>
      <w:szCs w:val="24"/>
    </w:rPr>
  </w:style>
  <w:style w:type="paragraph" w:customStyle="1" w:styleId="103">
    <w:name w:val="font7"/>
    <w:basedOn w:val="1"/>
    <w:qFormat/>
    <w:uiPriority w:val="0"/>
    <w:pPr>
      <w:widowControl/>
      <w:spacing w:before="100" w:beforeAutospacing="1" w:after="100" w:afterAutospacing="1"/>
      <w:jc w:val="left"/>
    </w:pPr>
    <w:rPr>
      <w:rFonts w:ascii="Times New Roman" w:hAnsi="Times New Roman"/>
      <w:b/>
      <w:bCs/>
      <w:kern w:val="0"/>
      <w:sz w:val="48"/>
      <w:szCs w:val="48"/>
    </w:rPr>
  </w:style>
  <w:style w:type="paragraph" w:customStyle="1" w:styleId="104">
    <w:name w:val="大标题"/>
    <w:basedOn w:val="38"/>
    <w:next w:val="40"/>
    <w:qFormat/>
    <w:uiPriority w:val="0"/>
    <w:pPr>
      <w:tabs>
        <w:tab w:val="left" w:pos="795"/>
        <w:tab w:val="center" w:pos="4156"/>
      </w:tabs>
      <w:spacing w:line="360" w:lineRule="auto"/>
      <w:ind w:firstLine="200" w:firstLineChars="200"/>
    </w:pPr>
    <w:rPr>
      <w:rFonts w:ascii="宋体" w:hAnsi="宋体"/>
      <w:bCs w:val="0"/>
      <w:kern w:val="0"/>
      <w:szCs w:val="20"/>
    </w:rPr>
  </w:style>
  <w:style w:type="character" w:customStyle="1" w:styleId="105">
    <w:name w:val="标题 1 字符"/>
    <w:link w:val="3"/>
    <w:qFormat/>
    <w:uiPriority w:val="0"/>
    <w:rPr>
      <w:rFonts w:ascii="黑体" w:hAnsi="黑体" w:eastAsia="仿宋"/>
      <w:b/>
      <w:kern w:val="2"/>
      <w:sz w:val="30"/>
      <w:szCs w:val="22"/>
      <w:highlight w:val="none"/>
      <w:lang w:val="en-US" w:eastAsia="zh-CN" w:bidi="ar-SA"/>
    </w:rPr>
  </w:style>
  <w:style w:type="character" w:customStyle="1" w:styleId="106">
    <w:name w:val="标题 2 字符"/>
    <w:link w:val="4"/>
    <w:qFormat/>
    <w:uiPriority w:val="0"/>
    <w:rPr>
      <w:rFonts w:ascii="Arial" w:hAnsi="Arial" w:eastAsia="黑体"/>
      <w:b/>
      <w:bCs/>
      <w:sz w:val="32"/>
      <w:szCs w:val="32"/>
    </w:rPr>
  </w:style>
  <w:style w:type="character" w:customStyle="1" w:styleId="107">
    <w:name w:val="标题 3 字符"/>
    <w:link w:val="5"/>
    <w:qFormat/>
    <w:uiPriority w:val="0"/>
    <w:rPr>
      <w:rFonts w:ascii="Times New Roman" w:hAnsi="Times New Roman"/>
      <w:b/>
      <w:sz w:val="32"/>
    </w:rPr>
  </w:style>
  <w:style w:type="character" w:customStyle="1" w:styleId="108">
    <w:name w:val="标题 6 字符"/>
    <w:link w:val="8"/>
    <w:qFormat/>
    <w:uiPriority w:val="0"/>
    <w:rPr>
      <w:rFonts w:ascii="Arial" w:hAnsi="Arial" w:eastAsia="黑体"/>
      <w:b/>
      <w:bCs/>
      <w:sz w:val="24"/>
      <w:szCs w:val="24"/>
    </w:rPr>
  </w:style>
  <w:style w:type="character" w:customStyle="1" w:styleId="109">
    <w:name w:val="标题 7 字符"/>
    <w:link w:val="9"/>
    <w:qFormat/>
    <w:uiPriority w:val="0"/>
    <w:rPr>
      <w:rFonts w:ascii="Times New Roman" w:hAnsi="Times New Roman"/>
      <w:b/>
      <w:bCs/>
      <w:sz w:val="24"/>
      <w:szCs w:val="24"/>
    </w:rPr>
  </w:style>
  <w:style w:type="character" w:customStyle="1" w:styleId="110">
    <w:name w:val="标题 8 字符"/>
    <w:link w:val="10"/>
    <w:qFormat/>
    <w:uiPriority w:val="0"/>
    <w:rPr>
      <w:rFonts w:ascii="Arial" w:hAnsi="Arial" w:eastAsia="黑体"/>
      <w:sz w:val="24"/>
      <w:szCs w:val="24"/>
    </w:rPr>
  </w:style>
  <w:style w:type="character" w:customStyle="1" w:styleId="111">
    <w:name w:val="标题 9 字符"/>
    <w:link w:val="11"/>
    <w:qFormat/>
    <w:uiPriority w:val="0"/>
    <w:rPr>
      <w:rFonts w:ascii="Arial" w:hAnsi="Arial" w:eastAsia="黑体"/>
      <w:sz w:val="21"/>
      <w:szCs w:val="21"/>
    </w:rPr>
  </w:style>
  <w:style w:type="character" w:customStyle="1" w:styleId="112">
    <w:name w:val="文档结构图 字符"/>
    <w:link w:val="15"/>
    <w:semiHidden/>
    <w:qFormat/>
    <w:uiPriority w:val="0"/>
    <w:rPr>
      <w:rFonts w:ascii="宋体" w:hAnsi="宋体"/>
      <w:szCs w:val="24"/>
      <w:shd w:val="clear" w:color="auto" w:fill="000080"/>
    </w:rPr>
  </w:style>
  <w:style w:type="character" w:customStyle="1" w:styleId="113">
    <w:name w:val="批注文字 字符"/>
    <w:link w:val="16"/>
    <w:qFormat/>
    <w:uiPriority w:val="0"/>
    <w:rPr>
      <w:rFonts w:ascii="Courier New" w:hAnsi="Courier New" w:eastAsia="宋体" w:cs="Courier New"/>
      <w:color w:val="000000"/>
      <w:kern w:val="0"/>
      <w:sz w:val="24"/>
      <w:szCs w:val="24"/>
      <w:lang w:val="zh-CN"/>
    </w:rPr>
  </w:style>
  <w:style w:type="character" w:customStyle="1" w:styleId="114">
    <w:name w:val="正文文本 字符"/>
    <w:link w:val="2"/>
    <w:qFormat/>
    <w:uiPriority w:val="0"/>
    <w:rPr>
      <w:rFonts w:ascii="宋体" w:hAnsi="宋体"/>
      <w:szCs w:val="24"/>
    </w:rPr>
  </w:style>
  <w:style w:type="character" w:customStyle="1" w:styleId="115">
    <w:name w:val="正文文本缩进 字符"/>
    <w:link w:val="17"/>
    <w:qFormat/>
    <w:uiPriority w:val="0"/>
    <w:rPr>
      <w:rFonts w:ascii="宋体" w:hAnsi="宋体"/>
      <w:szCs w:val="24"/>
    </w:rPr>
  </w:style>
  <w:style w:type="character" w:customStyle="1" w:styleId="116">
    <w:name w:val="纯文本 字符"/>
    <w:link w:val="23"/>
    <w:qFormat/>
    <w:uiPriority w:val="0"/>
    <w:rPr>
      <w:rFonts w:ascii="宋体" w:hAnsi="Courier New"/>
      <w:kern w:val="2"/>
      <w:sz w:val="21"/>
    </w:rPr>
  </w:style>
  <w:style w:type="character" w:customStyle="1" w:styleId="117">
    <w:name w:val="日期 字符"/>
    <w:link w:val="25"/>
    <w:semiHidden/>
    <w:qFormat/>
    <w:uiPriority w:val="99"/>
  </w:style>
  <w:style w:type="character" w:customStyle="1" w:styleId="118">
    <w:name w:val="正文文本缩进 2 字符"/>
    <w:link w:val="26"/>
    <w:qFormat/>
    <w:uiPriority w:val="0"/>
    <w:rPr>
      <w:rFonts w:ascii="宋体" w:hAnsi="宋体"/>
      <w:szCs w:val="24"/>
    </w:rPr>
  </w:style>
  <w:style w:type="character" w:customStyle="1" w:styleId="119">
    <w:name w:val="批注框文本 字符"/>
    <w:link w:val="27"/>
    <w:semiHidden/>
    <w:qFormat/>
    <w:uiPriority w:val="99"/>
    <w:rPr>
      <w:sz w:val="18"/>
      <w:szCs w:val="18"/>
    </w:rPr>
  </w:style>
  <w:style w:type="character" w:customStyle="1" w:styleId="120">
    <w:name w:val="页脚 字符"/>
    <w:link w:val="28"/>
    <w:qFormat/>
    <w:uiPriority w:val="99"/>
    <w:rPr>
      <w:sz w:val="18"/>
      <w:szCs w:val="18"/>
    </w:rPr>
  </w:style>
  <w:style w:type="character" w:customStyle="1" w:styleId="121">
    <w:name w:val="页眉 字符"/>
    <w:link w:val="29"/>
    <w:qFormat/>
    <w:uiPriority w:val="99"/>
    <w:rPr>
      <w:sz w:val="18"/>
      <w:szCs w:val="18"/>
    </w:rPr>
  </w:style>
  <w:style w:type="character" w:customStyle="1" w:styleId="122">
    <w:name w:val="标题 字符"/>
    <w:link w:val="38"/>
    <w:qFormat/>
    <w:uiPriority w:val="0"/>
    <w:rPr>
      <w:rFonts w:ascii="Arial" w:hAnsi="Arial" w:cs="Arial"/>
      <w:b/>
      <w:bCs/>
      <w:sz w:val="32"/>
      <w:szCs w:val="32"/>
    </w:rPr>
  </w:style>
  <w:style w:type="character" w:customStyle="1" w:styleId="123">
    <w:name w:val="批注主题 字符"/>
    <w:link w:val="39"/>
    <w:semiHidden/>
    <w:qFormat/>
    <w:uiPriority w:val="0"/>
    <w:rPr>
      <w:rFonts w:ascii="宋体" w:hAnsi="宋体" w:eastAsia="宋体" w:cs="Courier New"/>
      <w:b/>
      <w:bCs/>
      <w:color w:val="000000"/>
      <w:kern w:val="0"/>
      <w:sz w:val="24"/>
      <w:szCs w:val="24"/>
      <w:lang w:val="zh-CN"/>
    </w:rPr>
  </w:style>
  <w:style w:type="character" w:customStyle="1" w:styleId="124">
    <w:name w:val="font91"/>
    <w:qFormat/>
    <w:uiPriority w:val="0"/>
    <w:rPr>
      <w:rFonts w:hint="eastAsia" w:ascii="宋体" w:hAnsi="宋体" w:eastAsia="宋体" w:cs="宋体"/>
      <w:color w:val="000000"/>
      <w:sz w:val="22"/>
      <w:szCs w:val="22"/>
      <w:u w:val="none"/>
    </w:rPr>
  </w:style>
  <w:style w:type="character" w:customStyle="1" w:styleId="125">
    <w:name w:val="font51"/>
    <w:qFormat/>
    <w:uiPriority w:val="0"/>
    <w:rPr>
      <w:rFonts w:hint="eastAsia" w:ascii="宋体" w:hAnsi="宋体" w:eastAsia="宋体" w:cs="宋体"/>
      <w:color w:val="000000"/>
      <w:sz w:val="24"/>
      <w:szCs w:val="24"/>
      <w:u w:val="none"/>
    </w:rPr>
  </w:style>
  <w:style w:type="character" w:customStyle="1" w:styleId="126">
    <w:name w:val="font01"/>
    <w:qFormat/>
    <w:uiPriority w:val="0"/>
    <w:rPr>
      <w:rFonts w:hint="default" w:ascii="Arial" w:hAnsi="Arial" w:cs="Arial"/>
      <w:color w:val="000000"/>
      <w:sz w:val="20"/>
      <w:szCs w:val="20"/>
      <w:u w:val="none"/>
    </w:rPr>
  </w:style>
  <w:style w:type="character" w:customStyle="1" w:styleId="127">
    <w:name w:val="flatpickr-weekday"/>
    <w:basedOn w:val="43"/>
    <w:qFormat/>
    <w:uiPriority w:val="0"/>
    <w:rPr>
      <w:b/>
      <w:bCs/>
      <w:sz w:val="21"/>
      <w:szCs w:val="21"/>
    </w:rPr>
  </w:style>
  <w:style w:type="character" w:customStyle="1" w:styleId="128">
    <w:name w:val="正文文本 (3)_"/>
    <w:link w:val="59"/>
    <w:qFormat/>
    <w:uiPriority w:val="0"/>
    <w:rPr>
      <w:rFonts w:ascii="MingLiU" w:eastAsia="MingLiU" w:cs="MingLiU"/>
      <w:spacing w:val="50"/>
      <w:sz w:val="50"/>
      <w:szCs w:val="50"/>
      <w:shd w:val="clear" w:color="auto" w:fill="FFFFFF"/>
    </w:rPr>
  </w:style>
  <w:style w:type="character" w:customStyle="1" w:styleId="129">
    <w:name w:val="font11"/>
    <w:qFormat/>
    <w:uiPriority w:val="0"/>
    <w:rPr>
      <w:rFonts w:hint="eastAsia" w:ascii="宋体" w:hAnsi="宋体" w:eastAsia="宋体" w:cs="宋体"/>
      <w:b/>
      <w:bCs/>
      <w:color w:val="000000"/>
      <w:sz w:val="20"/>
      <w:szCs w:val="20"/>
      <w:u w:val="none"/>
    </w:rPr>
  </w:style>
  <w:style w:type="character" w:customStyle="1" w:styleId="130">
    <w:name w:val="flatpickr-day"/>
    <w:qFormat/>
    <w:uiPriority w:val="0"/>
  </w:style>
  <w:style w:type="character" w:customStyle="1" w:styleId="131">
    <w:name w:val="first-child"/>
    <w:qFormat/>
    <w:uiPriority w:val="0"/>
  </w:style>
  <w:style w:type="character" w:customStyle="1" w:styleId="132">
    <w:name w:val="layui-layer-tabnow"/>
    <w:qFormat/>
    <w:uiPriority w:val="0"/>
    <w:rPr>
      <w:bdr w:val="single" w:color="CCCCCC" w:sz="6" w:space="0"/>
      <w:shd w:val="clear" w:color="auto" w:fill="FFFFFF"/>
    </w:rPr>
  </w:style>
  <w:style w:type="character" w:customStyle="1" w:styleId="133">
    <w:name w:val="flatpickr-weekday2"/>
    <w:qFormat/>
    <w:uiPriority w:val="0"/>
    <w:rPr>
      <w:b/>
      <w:bCs/>
      <w:sz w:val="21"/>
      <w:szCs w:val="21"/>
    </w:rPr>
  </w:style>
  <w:style w:type="character" w:customStyle="1" w:styleId="134">
    <w:name w:val="hover1"/>
    <w:qFormat/>
    <w:uiPriority w:val="0"/>
    <w:rPr>
      <w:color w:val="2590EB"/>
    </w:rPr>
  </w:style>
  <w:style w:type="character" w:customStyle="1" w:styleId="135">
    <w:name w:val="标题1"/>
    <w:qFormat/>
    <w:uiPriority w:val="0"/>
  </w:style>
  <w:style w:type="character" w:customStyle="1" w:styleId="136">
    <w:name w:val="hover2"/>
    <w:qFormat/>
    <w:uiPriority w:val="0"/>
  </w:style>
  <w:style w:type="character" w:customStyle="1" w:styleId="137">
    <w:name w:val="font31"/>
    <w:qFormat/>
    <w:uiPriority w:val="0"/>
    <w:rPr>
      <w:rFonts w:hint="eastAsia" w:ascii="宋体" w:hAnsi="宋体" w:eastAsia="宋体" w:cs="宋体"/>
      <w:color w:val="000000"/>
      <w:sz w:val="20"/>
      <w:szCs w:val="20"/>
      <w:u w:val="none"/>
    </w:rPr>
  </w:style>
  <w:style w:type="character" w:customStyle="1" w:styleId="138">
    <w:name w:val="正文文本 (2)_"/>
    <w:link w:val="60"/>
    <w:qFormat/>
    <w:uiPriority w:val="0"/>
    <w:rPr>
      <w:rFonts w:ascii="MingLiU" w:eastAsia="MingLiU" w:cs="MingLiU"/>
      <w:sz w:val="22"/>
      <w:shd w:val="clear" w:color="auto" w:fill="FFFFFF"/>
    </w:rPr>
  </w:style>
  <w:style w:type="character" w:customStyle="1" w:styleId="139">
    <w:name w:val="正文文本 (2)"/>
    <w:qFormat/>
    <w:uiPriority w:val="0"/>
    <w:rPr>
      <w:rFonts w:ascii="MingLiU" w:eastAsia="MingLiU" w:cs="MingLiU"/>
      <w:sz w:val="22"/>
      <w:shd w:val="clear" w:color="auto" w:fill="FFFFFF"/>
    </w:rPr>
  </w:style>
  <w:style w:type="character" w:customStyle="1" w:styleId="140">
    <w:name w:val="font21"/>
    <w:qFormat/>
    <w:uiPriority w:val="0"/>
    <w:rPr>
      <w:rFonts w:hint="default" w:ascii="Arial" w:hAnsi="Arial" w:cs="Arial"/>
      <w:b/>
      <w:bCs/>
      <w:color w:val="000000"/>
      <w:sz w:val="20"/>
      <w:szCs w:val="20"/>
      <w:u w:val="none"/>
    </w:rPr>
  </w:style>
  <w:style w:type="character" w:customStyle="1" w:styleId="141">
    <w:name w:val="标题 2 Char Char Char Char Char Char Char Char Char Char Char Char Char Char Char Char Char Char Char Char Char"/>
    <w:qFormat/>
    <w:uiPriority w:val="0"/>
  </w:style>
  <w:style w:type="character" w:customStyle="1" w:styleId="142">
    <w:name w:val="font71"/>
    <w:qFormat/>
    <w:uiPriority w:val="0"/>
    <w:rPr>
      <w:rFonts w:ascii="仿宋_GB2312" w:eastAsia="仿宋_GB2312" w:cs="仿宋_GB2312"/>
      <w:color w:val="000000"/>
      <w:sz w:val="24"/>
      <w:szCs w:val="24"/>
      <w:u w:val="none"/>
    </w:rPr>
  </w:style>
  <w:style w:type="character" w:customStyle="1" w:styleId="143">
    <w:name w:val="hover"/>
    <w:qFormat/>
    <w:uiPriority w:val="0"/>
    <w:rPr>
      <w:color w:val="2590EB"/>
    </w:rPr>
  </w:style>
  <w:style w:type="character" w:customStyle="1" w:styleId="144">
    <w:name w:val="font61"/>
    <w:qFormat/>
    <w:uiPriority w:val="0"/>
    <w:rPr>
      <w:rFonts w:hint="default" w:ascii="Times New Roman" w:hAnsi="Times New Roman" w:cs="Times New Roman"/>
      <w:color w:val="000000"/>
      <w:sz w:val="24"/>
      <w:szCs w:val="24"/>
      <w:u w:val="none"/>
    </w:rPr>
  </w:style>
  <w:style w:type="character" w:customStyle="1" w:styleId="145">
    <w:name w:val="font81"/>
    <w:qFormat/>
    <w:uiPriority w:val="0"/>
    <w:rPr>
      <w:rFonts w:hint="default" w:ascii="Times New Roman" w:hAnsi="Times New Roman" w:cs="Times New Roman"/>
      <w:color w:val="000000"/>
      <w:sz w:val="22"/>
      <w:szCs w:val="22"/>
      <w:u w:val="none"/>
    </w:rPr>
  </w:style>
  <w:style w:type="character" w:customStyle="1" w:styleId="146">
    <w:name w:val="hover3"/>
    <w:qFormat/>
    <w:uiPriority w:val="0"/>
  </w:style>
  <w:style w:type="character" w:customStyle="1" w:styleId="147">
    <w:name w:val="flatpickr-day2"/>
    <w:basedOn w:val="43"/>
    <w:qFormat/>
    <w:uiPriority w:val="0"/>
  </w:style>
  <w:style w:type="character" w:customStyle="1" w:styleId="148">
    <w:name w:val="layui-laypage-curr"/>
    <w:qFormat/>
    <w:uiPriority w:val="0"/>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image" Target="media/image1.jpeg"/><Relationship Id="rId18" Type="http://schemas.openxmlformats.org/officeDocument/2006/relationships/theme" Target="theme/theme1.xml"/><Relationship Id="rId17" Type="http://schemas.openxmlformats.org/officeDocument/2006/relationships/header" Target="header8.xml"/><Relationship Id="rId16" Type="http://schemas.openxmlformats.org/officeDocument/2006/relationships/footer" Target="footer7.xml"/><Relationship Id="rId15" Type="http://schemas.openxmlformats.org/officeDocument/2006/relationships/footer" Target="footer6.xml"/><Relationship Id="rId14" Type="http://schemas.openxmlformats.org/officeDocument/2006/relationships/header" Target="header7.xml"/><Relationship Id="rId13" Type="http://schemas.openxmlformats.org/officeDocument/2006/relationships/header" Target="header6.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header" Target="head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63</Pages>
  <Words>16660</Words>
  <Characters>18073</Characters>
  <Lines>273</Lines>
  <Paragraphs>77</Paragraphs>
  <TotalTime>3</TotalTime>
  <ScaleCrop>false</ScaleCrop>
  <LinksUpToDate>false</LinksUpToDate>
  <CharactersWithSpaces>18167</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2024-04-06T07:36:00Z</dcterms:created>
  <dc:creator>Sky123.Org</dc:creator>
  <cp:lastModifiedBy>l</cp:lastModifiedBy>
  <cp:lastPrinted>2023-04-20T00:59:00Z</cp:lastPrinted>
  <dcterms:modified xsi:type="dcterms:W3CDTF">2026-09-10T06:12:25Z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6BCE581EFA5B44DE90C948265B339DDF_13</vt:lpwstr>
  </property>
  <property fmtid="{D5CDD505-2E9C-101B-9397-08002B2CF9AE}" pid="4" name="KSOTemplateDocerSaveRecord">
    <vt:lpwstr>eyJoZGlkIjoiMTVhODhjMTUwZjUwNjkzMjQ0MTZlNTBlMWU0MzllYjAiLCJ1c2VySWQiOiIyNjI0NzI1In0=</vt:lpwstr>
  </property>
</Properties>
</file>