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0"/>
        <w:rPr>
          <w:rFonts w:hint="eastAsia" w:ascii="Calibri" w:hAnsi="Calibri" w:eastAsia="仿宋" w:cs="仿宋"/>
          <w:color w:val="auto"/>
          <w:highlight w:val="none"/>
        </w:rPr>
      </w:pPr>
      <w:bookmarkStart w:id="0" w:name="_Toc2218"/>
    </w:p>
    <w:p>
      <w:pPr>
        <w:pStyle w:val="70"/>
        <w:rPr>
          <w:rFonts w:hint="eastAsia" w:ascii="Calibri" w:hAnsi="Calibri" w:eastAsia="仿宋" w:cs="仿宋"/>
          <w:color w:val="auto"/>
          <w:highlight w:val="none"/>
        </w:rPr>
      </w:pPr>
    </w:p>
    <w:p>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pPr>
        <w:pStyle w:val="31"/>
        <w:rPr>
          <w:color w:val="auto"/>
          <w:sz w:val="72"/>
          <w:szCs w:val="72"/>
          <w:highlight w:val="none"/>
        </w:rPr>
      </w:pPr>
    </w:p>
    <w:p>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pPr>
        <w:spacing w:line="360" w:lineRule="auto"/>
        <w:jc w:val="left"/>
        <w:rPr>
          <w:rFonts w:ascii="仿宋" w:hAnsi="仿宋" w:eastAsia="仿宋" w:cs="仿宋"/>
          <w:color w:val="auto"/>
          <w:sz w:val="28"/>
          <w:szCs w:val="28"/>
          <w:highlight w:val="none"/>
        </w:rPr>
      </w:pPr>
    </w:p>
    <w:p>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WHSW-SWT2026-001</w:t>
      </w:r>
    </w:p>
    <w:p>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威海水务投资有限责任公司选定PAM阳离子、PAM阴离子、三氯化铁、单过硫酸氢钾消毒剂、复合碳源年度供应商</w:t>
      </w:r>
    </w:p>
    <w:p>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color w:val="auto"/>
          <w:sz w:val="32"/>
          <w:szCs w:val="32"/>
          <w:highlight w:val="none"/>
        </w:rPr>
      </w:pPr>
    </w:p>
    <w:p>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06</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26</w:t>
      </w:r>
      <w:r>
        <w:rPr>
          <w:rFonts w:hint="eastAsia" w:ascii="仿宋" w:hAnsi="仿宋" w:eastAsia="仿宋" w:cs="仿宋"/>
          <w:b/>
          <w:color w:val="auto"/>
          <w:sz w:val="32"/>
          <w:szCs w:val="32"/>
          <w:highlight w:val="none"/>
        </w:rPr>
        <w:t>日</w:t>
      </w:r>
    </w:p>
    <w:p>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pPr>
        <w:jc w:val="center"/>
        <w:rPr>
          <w:rFonts w:hint="eastAsia" w:ascii="仿宋" w:hAnsi="仿宋" w:eastAsia="仿宋" w:cs="仿宋"/>
          <w:b/>
          <w:bCs/>
          <w:sz w:val="36"/>
          <w:szCs w:val="36"/>
          <w:highlight w:val="none"/>
        </w:rPr>
      </w:pP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40</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pPr>
        <w:pStyle w:val="31"/>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76</w:t>
      </w:r>
    </w:p>
    <w:p>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pPr>
        <w:pStyle w:val="3"/>
        <w:bidi w:val="0"/>
        <w:rPr>
          <w:rFonts w:hint="eastAsia"/>
          <w:highlight w:val="none"/>
        </w:rPr>
      </w:pPr>
      <w:bookmarkStart w:id="1" w:name="_Toc1540"/>
      <w:r>
        <w:rPr>
          <w:rFonts w:hint="eastAsia"/>
          <w:highlight w:val="none"/>
        </w:rPr>
        <w:t>第一部分  招标公告</w:t>
      </w:r>
      <w:bookmarkEnd w:id="1"/>
    </w:p>
    <w:p>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威海水务投资有限责任公司选定PAM阳离子、PAM阴离子、三氯化铁、单过硫酸氢钾消毒剂、复合碳源年度供应商</w:t>
      </w:r>
      <w:r>
        <w:rPr>
          <w:rFonts w:hint="eastAsia" w:ascii="仿宋" w:hAnsi="仿宋" w:eastAsia="仿宋" w:cs="仿宋"/>
          <w:b/>
          <w:bCs/>
          <w:spacing w:val="8"/>
          <w:sz w:val="28"/>
          <w:szCs w:val="28"/>
          <w:highlight w:val="none"/>
          <w:lang w:val="en-US" w:eastAsia="zh-CN"/>
        </w:rPr>
        <w:t>招标公告</w:t>
      </w:r>
    </w:p>
    <w:p>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招标编号：WHSW-SWT2026-001</w:t>
      </w:r>
      <w:r>
        <w:rPr>
          <w:rFonts w:hint="eastAsia" w:ascii="仿宋" w:hAnsi="仿宋" w:eastAsia="仿宋" w:cs="仿宋"/>
          <w:b/>
          <w:bCs/>
          <w:spacing w:val="8"/>
          <w:sz w:val="28"/>
          <w:szCs w:val="28"/>
          <w:highlight w:val="none"/>
          <w:lang w:eastAsia="zh-CN"/>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威海水务投资有限责任公司选定PAM阳离子、PAM阴离子、三氯化铁、单过硫酸氢钾消毒剂、复合碳源年度供应商</w:t>
      </w:r>
      <w:r>
        <w:rPr>
          <w:rFonts w:hint="eastAsia" w:ascii="仿宋" w:hAnsi="仿宋" w:eastAsia="仿宋" w:cs="仿宋"/>
          <w:spacing w:val="8"/>
          <w:sz w:val="24"/>
          <w:szCs w:val="24"/>
          <w:highlight w:val="none"/>
        </w:rPr>
        <w:t>以公开招标方式确定中标单位。</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威海水务投资有限责任公司选定PAM阳离子、PAM阴离子、三氯化铁、单过硫酸氢钾消毒剂、复合碳源年度供应商</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威海水务投资有限责任公司选定PAM阳离子、PAM阴离子、三氯化铁、单过硫酸氢钾消毒剂、复合碳源年度供应商</w:t>
      </w:r>
    </w:p>
    <w:p>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w:t>
      </w:r>
      <w:r>
        <w:rPr>
          <w:rFonts w:hint="eastAsia" w:ascii="仿宋" w:hAnsi="仿宋" w:eastAsia="仿宋"/>
          <w:color w:val="000000"/>
          <w:sz w:val="24"/>
          <w:highlight w:val="none"/>
          <w:lang w:val="en-US" w:eastAsia="zh-CN"/>
        </w:rPr>
        <w:t>PAM阳离子、PAM阴离子、三氯化铁、单过硫酸氢钾消毒剂、复合碳源</w:t>
      </w:r>
      <w:r>
        <w:rPr>
          <w:rFonts w:hint="eastAsia" w:ascii="仿宋" w:hAnsi="仿宋" w:eastAsia="仿宋" w:cs="仿宋"/>
          <w:spacing w:val="8"/>
          <w:kern w:val="2"/>
          <w:sz w:val="24"/>
          <w:szCs w:val="24"/>
          <w:highlight w:val="none"/>
          <w:lang w:val="en-US" w:eastAsia="zh-CN" w:bidi="ar-SA"/>
        </w:rPr>
        <w:t>年度供应商。该项目分为5个标包，具体内容详见下表。药剂按批次采购，单次实际采购量以招标人通知为准。</w:t>
      </w:r>
    </w:p>
    <w:tbl>
      <w:tblPr>
        <w:tblStyle w:val="43"/>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59"/>
        <w:gridCol w:w="1582"/>
        <w:gridCol w:w="2073"/>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（含税）</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8880.00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6390.00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299.00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标包四</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固体单过硫酸氢钾消毒剂</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14</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31000.00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标包五</w:t>
            </w:r>
          </w:p>
        </w:tc>
        <w:tc>
          <w:tcPr>
            <w:tcW w:w="32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液体复合碳源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14500</w:t>
            </w:r>
          </w:p>
        </w:tc>
        <w:tc>
          <w:tcPr>
            <w:tcW w:w="2073"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642.00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8618" w:type="dxa"/>
            <w:gridSpan w:val="5"/>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注：此数量为一年计划采购数量，只作为投标参考使用，实际采购数量根据处理规模、来水量变化等影响因素，采购量可适时调整，并据实结算，实际采购量多于或少于计划采购量均不视为违约。</w:t>
            </w:r>
          </w:p>
        </w:tc>
      </w:tr>
    </w:tbl>
    <w:p>
      <w:pPr>
        <w:pStyle w:val="17"/>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注：本项目兼投兼中。</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pPr>
        <w:pStyle w:val="17"/>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1.通用资格要求（五个标包均适用）：</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具有良好的商业信誉和健全的财务会计制度及履约能力；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具有履行合同所必需的设备和专业技术能力；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具有依法缴纳税收和社会保障资金的记录；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1.5</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1.6</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本项目不接受联合体投标。</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2.专用资格要求：</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2.1标包一：固体聚丙烯酰胺（PAM阳离子）、标包二：固体聚丙烯酰胺（PAM阴离子）、标包四：固体单过硫酸氢钾消毒剂、标包五：液体复合碳源</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（1）投标人具有有效的道路运输经营许可证；若投标人不具有有效的道路运输经营许可证需提供相应的运输合同以及运输方的有效的道路运输经营许可证。</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2.2标包三：液体三氯化铁</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（1）因三氯化铁为危险化学品，投标需提供“危险化学品经营许可证”、“工业产品生产许可证”、“安全生产许可证”、“危险化学品运输许可证”；</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06</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26</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06</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26</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07</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六</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3"/>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471"/>
      <w:bookmarkStart w:id="7" w:name="_Toc39827536"/>
      <w:bookmarkStart w:id="8" w:name="_Toc38213886"/>
      <w:bookmarkStart w:id="9" w:name="_Toc3982710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2026年06</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日</w:t>
      </w:r>
      <w:bookmarkEnd w:id="2"/>
    </w:p>
    <w:p>
      <w:pPr>
        <w:pStyle w:val="37"/>
        <w:rPr>
          <w:highlight w:val="none"/>
        </w:rPr>
      </w:pPr>
    </w:p>
    <w:p>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2"/>
        <w:tblW w:w="946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威海水务投资有限责任公司选定PAM阳离子、PAM阴离子、三氯化铁、单过硫酸氢钾消毒剂、复合碳源年度供应商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标包三：</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标包四：</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标包五：</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90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w:t>
            </w:r>
            <w:r>
              <w:rPr>
                <w:rFonts w:hint="eastAsia" w:ascii="仿宋" w:hAnsi="仿宋" w:eastAsia="仿宋" w:cs="仿宋"/>
                <w:b/>
                <w:bCs/>
                <w:sz w:val="24"/>
                <w:szCs w:val="24"/>
                <w:highlight w:val="none"/>
              </w:rPr>
              <w:t>威海公共资源交易服务有限公司账户</w:t>
            </w:r>
            <w:r>
              <w:rPr>
                <w:rFonts w:hint="eastAsia" w:ascii="仿宋" w:hAnsi="仿宋" w:eastAsia="仿宋" w:cs="仿宋"/>
                <w:sz w:val="24"/>
                <w:szCs w:val="24"/>
                <w:highlight w:val="none"/>
              </w:rPr>
              <w:t>，以网银、电汇等方式一次性足额交纳保证金，不接受支付宝等第三方平台转账。禁止第三方代交。投标保证金交纳单位应与递交投标文件的投标人名称一致。</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为威海水务投资有限责任公司选定PAM阳离子、PAM阴离子、三氯化铁、单过硫酸氢钾消毒剂、复合碳源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pPr>
        <w:snapToGrid w:val="0"/>
        <w:spacing w:line="400" w:lineRule="exact"/>
        <w:jc w:val="left"/>
        <w:rPr>
          <w:rFonts w:ascii="仿宋" w:hAnsi="仿宋" w:eastAsia="仿宋" w:cs="仿宋"/>
          <w:sz w:val="24"/>
          <w:szCs w:val="24"/>
          <w:highlight w:val="none"/>
        </w:rPr>
      </w:pPr>
    </w:p>
    <w:p>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2"/>
        <w:tblW w:w="96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72"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各标包通用资格性评审：</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有效的营业执照副本扫描件，若投标人为经销商，还需提供生产厂商的授权书（授权书须注明药剂状态，授权时间需满足项目服务期要求）扫描件</w:t>
            </w:r>
            <w:r>
              <w:rPr>
                <w:rFonts w:hint="eastAsia" w:ascii="仿宋" w:hAnsi="仿宋" w:eastAsia="仿宋" w:cs="仿宋"/>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法定代表人身份证明或授权委托书:</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若法定代表人参加投标，投标文件附法定代表人身份证明及法定代表人身份证件扫描件；若授权代表参加投标，投标文件还需附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3.投标承诺函；</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3"/>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3"/>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近一年是指2025年1月1日至查询日止，查询日期不早于招标文件开始获取日期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20000.00元；标包二：人民币10000.00元；标包三：人民币20000.00元；标包四：人民币4000.00元；标包五：人民币90000.00元。），交纳投标保证金的证明材料两者缺一不可：（1）企业银行基本账户开户证明（如开户许可证或银行开户证明等）、（2）电汇凭证或电子汇款截图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专用资格性评审：</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标包一：固体聚丙烯酰胺（PAM阳离子）、标包二：固体聚丙烯酰胺（PAM阴离子）、标包四：固体单过硫酸氢钾消毒剂、标包五：液体复合碳源</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val="0"/>
                <w:bCs w:val="0"/>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标包三：液体三氯化铁</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b w:val="0"/>
                <w:bCs w:val="0"/>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自合同签订之日起执行。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标包一（固体聚丙烯酰胺（PAM阳离子））、标包二（固体聚丙烯酰胺（PAM阴离子））、标包三（液体三氯化铁）、标包五（液体复合碳源）确定排名前三名的投标人中标人，标包四（固体单过硫酸氢钾消毒剂）</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标包一（固体聚丙烯酰胺（PAM阳离子））、标包二（固体聚丙烯酰胺（PAM阴离子））、标包三（液体三氯化铁）、标包五（液体复合碳源）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名的投标人中标人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标包四（固体单过硫酸氢钾消毒剂）</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包一（固体聚丙烯酰胺（PAM阳离子））、标包二（固体聚丙烯酰胺（PAM阴离子））、标包三（液体三氯化铁）、标包五（液体复合碳源）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val="en-US"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威海水务投资有限责任公司选定PAM阳离子、PAM阴离子、</w:t>
      </w:r>
    </w:p>
    <w:p>
      <w:pPr>
        <w:keepNext w:val="0"/>
        <w:keepLines w:val="0"/>
        <w:pageBreakBefore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三氯化铁、单过硫酸氢钾消毒剂、复合碳源年度供应商</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pPr>
        <w:pStyle w:val="2"/>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3"/>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60"/>
        <w:gridCol w:w="1582"/>
        <w:gridCol w:w="2074"/>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（含税）</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3"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固体聚丙烯酰胺（PAM阳离子）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280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8880.00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6390.00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标包三</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液体三氯化铁</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299.00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标包四</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固体单过硫酸氢钾消毒剂</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14</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31000.00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9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标包五</w:t>
            </w:r>
          </w:p>
        </w:tc>
        <w:tc>
          <w:tcPr>
            <w:tcW w:w="3260"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olor w:val="000000"/>
                <w:sz w:val="21"/>
                <w:szCs w:val="21"/>
                <w:highlight w:val="none"/>
                <w:lang w:val="en-US" w:eastAsia="zh-CN"/>
              </w:rPr>
              <w:t>液体复合碳源</w:t>
            </w:r>
          </w:p>
        </w:tc>
        <w:tc>
          <w:tcPr>
            <w:tcW w:w="158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14500</w:t>
            </w:r>
          </w:p>
        </w:tc>
        <w:tc>
          <w:tcPr>
            <w:tcW w:w="2074"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642.00</w:t>
            </w:r>
          </w:p>
        </w:tc>
        <w:tc>
          <w:tcPr>
            <w:tcW w:w="777"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33" w:hRule="atLeast"/>
        </w:trPr>
        <w:tc>
          <w:tcPr>
            <w:tcW w:w="8620" w:type="dxa"/>
            <w:gridSpan w:val="5"/>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3"/>
        <w:tblW w:w="86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759"/>
        <w:gridCol w:w="5155"/>
        <w:gridCol w:w="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61" w:hRule="atLeast"/>
          <w:jc w:val="center"/>
        </w:trPr>
        <w:tc>
          <w:tcPr>
            <w:tcW w:w="100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标包号</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1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9"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标包一</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（PAM阳离子</w:t>
            </w:r>
            <w:r>
              <w:rPr>
                <w:rFonts w:hint="eastAsia" w:ascii="仿宋" w:hAnsi="仿宋" w:eastAsia="仿宋" w:cs="仿宋"/>
                <w:sz w:val="21"/>
                <w:szCs w:val="21"/>
                <w:highlight w:val="none"/>
                <w:lang w:eastAsia="zh-CN"/>
              </w:rPr>
              <w:t>）</w:t>
            </w:r>
          </w:p>
        </w:tc>
        <w:tc>
          <w:tcPr>
            <w:tcW w:w="5155" w:type="dxa"/>
            <w:noWrap w:val="0"/>
            <w:vAlign w:val="center"/>
          </w:tcPr>
          <w:p>
            <w:pPr>
              <w:keepNext w:val="0"/>
              <w:keepLines w:val="0"/>
              <w:pageBreakBefore w:val="0"/>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水处理剂 阳离子型聚丙烯酰胺</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GB/T31246-20</w:t>
            </w:r>
            <w:r>
              <w:rPr>
                <w:rFonts w:hint="eastAsia" w:ascii="仿宋" w:hAnsi="仿宋" w:eastAsia="仿宋" w:cs="仿宋"/>
                <w:color w:val="000000"/>
                <w:sz w:val="21"/>
                <w:szCs w:val="21"/>
                <w:highlight w:val="none"/>
                <w:lang w:val="en-US" w:eastAsia="zh-CN"/>
              </w:rPr>
              <w:t>25</w:t>
            </w:r>
          </w:p>
          <w:p>
            <w:pPr>
              <w:keepNext w:val="0"/>
              <w:keepLines w:val="0"/>
              <w:pageBreakBefore w:val="0"/>
              <w:numPr>
                <w:ilvl w:val="0"/>
                <w:numId w:val="3"/>
              </w:numPr>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特性粘度（30℃）/（dL/g）≥3.0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阳离子度a/%：3.0-95.0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固含量/%≥90.0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丙烯酰胺单体含量（以干基计）/%≤0.10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溶解时间（1g/L）</w:t>
            </w:r>
            <w:r>
              <w:rPr>
                <w:rFonts w:hint="eastAsia" w:ascii="仿宋" w:hAnsi="仿宋" w:eastAsia="仿宋" w:cs="仿宋"/>
                <w:color w:val="000000"/>
                <w:sz w:val="21"/>
                <w:szCs w:val="21"/>
                <w:highlight w:val="none"/>
                <w:lang w:val="en-US" w:eastAsia="zh-CN"/>
              </w:rPr>
              <w:t>/min≤60</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水不溶物/%≤0.2</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筛余物（1.70mm筛网）/%≤5</w:t>
            </w:r>
          </w:p>
          <w:p>
            <w:pPr>
              <w:keepNext w:val="0"/>
              <w:keepLines w:val="0"/>
              <w:pageBreakBefore w:val="0"/>
              <w:numPr>
                <w:ilvl w:val="0"/>
                <w:numId w:val="3"/>
              </w:numPr>
              <w:kinsoku/>
              <w:wordWrap/>
              <w:overflowPunct/>
              <w:topLinePunct w:val="0"/>
              <w:autoSpaceDE/>
              <w:autoSpaceDN/>
              <w:bidi w:val="0"/>
              <w:adjustRightInd/>
              <w:snapToGrid w:val="0"/>
              <w:spacing w:line="360" w:lineRule="exact"/>
              <w:ind w:left="0" w:leftChars="0" w:firstLine="0" w:firstLine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筛余物（180</w:t>
            </w:r>
            <w:r>
              <w:rPr>
                <w:rFonts w:hint="eastAsia" w:ascii="仿宋" w:hAnsi="仿宋" w:eastAsia="仿宋" w:cs="仿宋"/>
                <w:i w:val="0"/>
                <w:iCs w:val="0"/>
                <w:caps w:val="0"/>
                <w:color w:val="333333"/>
                <w:spacing w:val="0"/>
                <w:sz w:val="21"/>
                <w:szCs w:val="21"/>
                <w:highlight w:val="none"/>
                <w:shd w:val="clear" w:color="auto" w:fill="FFFFFF"/>
              </w:rPr>
              <w:t>μm</w:t>
            </w:r>
            <w:r>
              <w:rPr>
                <w:rFonts w:hint="eastAsia" w:ascii="仿宋" w:hAnsi="仿宋" w:eastAsia="仿宋" w:cs="仿宋"/>
                <w:color w:val="000000"/>
                <w:sz w:val="21"/>
                <w:szCs w:val="21"/>
                <w:highlight w:val="none"/>
                <w:lang w:val="en-US" w:eastAsia="zh-CN"/>
              </w:rPr>
              <w:t>筛网）/%≥85</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lang w:val="en-US" w:eastAsia="zh-CN"/>
              </w:rPr>
              <w:t>9、灼烧残渣/%≤2.5</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1"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标包二</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w:t>
            </w:r>
            <w:r>
              <w:rPr>
                <w:rFonts w:hint="eastAsia" w:ascii="仿宋" w:hAnsi="仿宋" w:eastAsia="仿宋" w:cs="仿宋"/>
                <w:sz w:val="21"/>
                <w:szCs w:val="21"/>
                <w:highlight w:val="none"/>
                <w:lang w:eastAsia="zh-CN"/>
              </w:rPr>
              <w:t>阴</w:t>
            </w:r>
            <w:r>
              <w:rPr>
                <w:rFonts w:hint="eastAsia" w:ascii="仿宋" w:hAnsi="仿宋" w:eastAsia="仿宋" w:cs="仿宋"/>
                <w:sz w:val="21"/>
                <w:szCs w:val="21"/>
                <w:highlight w:val="none"/>
              </w:rPr>
              <w:t>离子</w:t>
            </w:r>
            <w:r>
              <w:rPr>
                <w:rFonts w:hint="eastAsia" w:ascii="仿宋" w:hAnsi="仿宋" w:eastAsia="仿宋" w:cs="仿宋"/>
                <w:sz w:val="21"/>
                <w:szCs w:val="21"/>
                <w:highlight w:val="none"/>
                <w:lang w:eastAsia="zh-CN"/>
              </w:rPr>
              <w:t>）</w:t>
            </w:r>
          </w:p>
        </w:tc>
        <w:tc>
          <w:tcPr>
            <w:tcW w:w="5155" w:type="dxa"/>
            <w:noWrap w:val="0"/>
            <w:vAlign w:val="center"/>
          </w:tcPr>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阴离子和非离子型聚丙烯酰胺》</w:t>
            </w:r>
            <w:r>
              <w:rPr>
                <w:rFonts w:hint="eastAsia" w:ascii="仿宋" w:hAnsi="仿宋" w:eastAsia="仿宋" w:cs="仿宋"/>
                <w:color w:val="000000"/>
                <w:sz w:val="21"/>
                <w:szCs w:val="21"/>
                <w:highlight w:val="none"/>
              </w:rPr>
              <w:t>GB/T17514-2017</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1、</w:t>
            </w:r>
            <w:r>
              <w:rPr>
                <w:rFonts w:hint="eastAsia" w:ascii="仿宋" w:hAnsi="仿宋" w:eastAsia="仿宋" w:cs="仿宋"/>
                <w:color w:val="000000"/>
                <w:sz w:val="21"/>
                <w:szCs w:val="21"/>
                <w:highlight w:val="none"/>
                <w:lang w:val="en-US" w:eastAsia="zh-CN"/>
              </w:rPr>
              <w:t>固含量（固体）/%≥90.0</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2、丙烯酰胺单体含量（以干基计）/%≤0.02</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rPr>
              <w:t>溶解时间（</w:t>
            </w:r>
            <w:r>
              <w:rPr>
                <w:rFonts w:hint="eastAsia" w:ascii="仿宋" w:hAnsi="仿宋" w:eastAsia="仿宋" w:cs="仿宋"/>
                <w:color w:val="000000"/>
                <w:sz w:val="21"/>
                <w:szCs w:val="21"/>
                <w:highlight w:val="none"/>
                <w:lang w:val="en-US" w:eastAsia="zh-CN"/>
              </w:rPr>
              <w:t>阴离子型</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/min≤60</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溶解时间（</w:t>
            </w:r>
            <w:r>
              <w:rPr>
                <w:rFonts w:hint="eastAsia" w:ascii="仿宋" w:hAnsi="仿宋" w:eastAsia="仿宋" w:cs="仿宋"/>
                <w:color w:val="000000"/>
                <w:sz w:val="21"/>
                <w:szCs w:val="21"/>
                <w:highlight w:val="none"/>
                <w:lang w:val="en-US" w:eastAsia="zh-CN"/>
              </w:rPr>
              <w:t>非离子型</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/min≤90</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5、筛余物（1.00mm筛网）/%≤2</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Chars="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6、筛余物（180</w:t>
            </w:r>
            <w:r>
              <w:rPr>
                <w:rFonts w:hint="eastAsia" w:ascii="仿宋" w:hAnsi="仿宋" w:eastAsia="仿宋" w:cs="仿宋"/>
                <w:i w:val="0"/>
                <w:iCs w:val="0"/>
                <w:caps w:val="0"/>
                <w:color w:val="333333"/>
                <w:spacing w:val="0"/>
                <w:sz w:val="21"/>
                <w:szCs w:val="21"/>
                <w:highlight w:val="none"/>
                <w:shd w:val="clear" w:color="auto" w:fill="FFFFFF"/>
              </w:rPr>
              <w:t>μm</w:t>
            </w:r>
            <w:r>
              <w:rPr>
                <w:rFonts w:hint="eastAsia" w:ascii="仿宋" w:hAnsi="仿宋" w:eastAsia="仿宋" w:cs="仿宋"/>
                <w:color w:val="000000"/>
                <w:sz w:val="21"/>
                <w:szCs w:val="21"/>
                <w:highlight w:val="none"/>
                <w:lang w:val="en-US" w:eastAsia="zh-CN"/>
              </w:rPr>
              <w:t>筛网）/%≥88</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7、水不溶物/%≤0.3</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8、氯化物含量/%≤0.5</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lang w:val="en-US" w:eastAsia="zh-CN"/>
              </w:rPr>
              <w:t>9、硫酸盐含量/%≤1.0</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标包三</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155" w:type="dxa"/>
            <w:noWrap w:val="0"/>
            <w:vAlign w:val="center"/>
          </w:tcPr>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标包四</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单过硫酸氢钾消毒剂</w:t>
            </w:r>
          </w:p>
        </w:tc>
        <w:tc>
          <w:tcPr>
            <w:tcW w:w="5155" w:type="dxa"/>
            <w:noWrap w:val="0"/>
            <w:vAlign w:val="center"/>
          </w:tcPr>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过硫酸氢钾复合粉》HG/T 5562-2019</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1、过硫酸氢钾的质量分数w1（%）≥10.5；</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2、钾（K）的质量分数w2（%）≥8.0；</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3、总有效氧氯的质量分数（以Cl计）w3（%）：35-45；</w:t>
            </w:r>
          </w:p>
          <w:p>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4、PH（10g/L水溶液，25℃）：3.0-6.0</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3" w:hRule="atLeast"/>
          <w:jc w:val="center"/>
        </w:trPr>
        <w:tc>
          <w:tcPr>
            <w:tcW w:w="1002" w:type="dxa"/>
            <w:noWrap w:val="0"/>
            <w:vAlign w:val="center"/>
          </w:tcPr>
          <w:p>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标包五</w:t>
            </w:r>
          </w:p>
        </w:tc>
        <w:tc>
          <w:tcPr>
            <w:tcW w:w="17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液体</w:t>
            </w:r>
            <w:r>
              <w:rPr>
                <w:rFonts w:hint="eastAsia" w:ascii="仿宋" w:hAnsi="仿宋" w:eastAsia="仿宋" w:cs="仿宋"/>
                <w:color w:val="auto"/>
                <w:sz w:val="21"/>
                <w:szCs w:val="21"/>
                <w:highlight w:val="none"/>
                <w:lang w:eastAsia="zh-CN"/>
              </w:rPr>
              <w:t>复合碳源</w:t>
            </w:r>
          </w:p>
        </w:tc>
        <w:tc>
          <w:tcPr>
            <w:tcW w:w="5155" w:type="dxa"/>
            <w:noWrap w:val="0"/>
            <w:vAlign w:val="center"/>
          </w:tcPr>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符合</w:t>
            </w:r>
            <w:r>
              <w:rPr>
                <w:rFonts w:hint="eastAsia" w:ascii="仿宋" w:hAnsi="仿宋" w:eastAsia="仿宋" w:cs="仿宋"/>
                <w:color w:val="000000"/>
                <w:sz w:val="21"/>
                <w:szCs w:val="21"/>
                <w:highlight w:val="none"/>
                <w:lang w:val="en-US" w:eastAsia="zh-CN"/>
              </w:rPr>
              <w:t>标准：《污（废）水处理用碳源》HG/T 5960-2021</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1、化学需氧量（CODCr）/(mg/L)≥2.5x105</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2、BOD5/CODCr≥0.55</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3、PH值  7.0-9.0</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4、密度(20℃)/（g/cm3）  1.00-1.26</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5、水不溶物的质量分数/%≤0.2</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凝点/℃≤供需双方协商</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6、总磷（以P计）的质量分数/%≤0.006</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7、总氮（以N计）的质量分数/%≤0.03</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8、氯化物（CI）的质量分数/%≤0.1</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9、硫酸盐（SO4）的质量分数/%≤0.1</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10、汞（Hg）的质量分数/%≤0.00002</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11、镉（Cd）的质量分数/%≤0.0002</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12、铬（Cr）的质量分数/%≤0.0005</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13、砷（As）的质量分数/%≤0.0005</w:t>
            </w:r>
          </w:p>
          <w:p>
            <w:pPr>
              <w:keepNext w:val="0"/>
              <w:keepLines w:val="0"/>
              <w:pageBreakBefore w:val="0"/>
              <w:widowControl/>
              <w:kinsoku/>
              <w:wordWrap/>
              <w:overflowPunct/>
              <w:topLinePunct w:val="0"/>
              <w:autoSpaceDE/>
              <w:autoSpaceDN/>
              <w:bidi w:val="0"/>
              <w:adjustRightInd/>
              <w:snapToGrid w:val="0"/>
              <w:spacing w:line="36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14、铅（Pb）的质量分数/%≤0.0005</w:t>
            </w:r>
          </w:p>
        </w:tc>
        <w:tc>
          <w:tcPr>
            <w:tcW w:w="75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注：投标人应出具具备国家认定资质的第三方检测机构出具的药剂检验/检测报告，证明所投标产品符合标准要求。</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标包一（固体聚丙烯酰胺（PAM阳离子））、标包二（固体聚丙烯酰胺（PAM阴离子））、标包三（液体三氯化铁）、标包五（液体复合碳源）最终中标价格统一执行所有中标单位投标报价中分项报价的最低价，中标候选单位如不能接受此价格，视为放弃中标资格，由综合得分排名次之的投标人中标，依次类推或重新招标。</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pPr>
        <w:pStyle w:val="37"/>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05"/>
          <w:rFonts w:hint="eastAsia"/>
          <w:highlight w:val="none"/>
        </w:rPr>
        <w:t>第四部分  评标原则、程序与方法</w:t>
      </w:r>
    </w:p>
    <w:bookmarkEnd w:id="16"/>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pPr>
        <w:pStyle w:val="2"/>
        <w:keepNext w:val="0"/>
        <w:keepLines w:val="0"/>
        <w:pageBreakBefore w:val="0"/>
        <w:widowControl w:val="0"/>
        <w:kinsoku/>
        <w:wordWrap/>
        <w:overflowPunct/>
        <w:topLinePunct w:val="0"/>
        <w:autoSpaceDE w:val="0"/>
        <w:autoSpaceDN w:val="0"/>
        <w:bidi w:val="0"/>
        <w:adjustRightInd w:val="0"/>
        <w:snapToGrid/>
        <w:ind w:firstLine="480" w:firstLineChars="200"/>
        <w:textAlignment w:val="auto"/>
        <w:rPr>
          <w:rFonts w:hint="default" w:eastAsia="仿宋"/>
          <w:highlight w:val="none"/>
          <w:lang w:val="en-US" w:eastAsia="zh-CN"/>
        </w:rPr>
      </w:pPr>
      <w:r>
        <w:rPr>
          <w:rFonts w:hint="eastAsia" w:eastAsia="仿宋"/>
          <w:highlight w:val="none"/>
          <w:lang w:val="en-US" w:eastAsia="zh-CN"/>
        </w:rPr>
        <w:t>各标包均适用</w:t>
      </w:r>
    </w:p>
    <w:tbl>
      <w:tblPr>
        <w:tblStyle w:val="42"/>
        <w:tblW w:w="9063" w:type="dxa"/>
        <w:jc w:val="center"/>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356" w:hRule="atLeast"/>
          <w:jc w:val="center"/>
        </w:trPr>
        <w:tc>
          <w:tcPr>
            <w:tcW w:w="1996"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标包一指固体聚丙烯酰胺（PAM阳离子）供货业绩；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标包二指固体聚丙烯酰胺（PAM阴离子）供货业绩；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标包三指液体三氯化铁供货业绩；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标包四指固体单过硫酸氢钾消毒剂供货业绩；</w:t>
            </w:r>
          </w:p>
          <w:p>
            <w:pPr>
              <w:pStyle w:val="13"/>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标包五指液体复合碳源供货业绩</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pStyle w:val="13"/>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标包一（固体聚丙烯酰胺（PAM阳离子））、标包二（固体聚丙烯酰胺（PAM阴离子））、标包三（液体三氯化铁）、标包五（液体复合碳源）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名的投标人中标人，标包四（固体单过硫酸氢钾消毒剂）确定排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的为中标单位。</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2、评标结束后，公示无异议标包一（固体聚丙烯酰胺（PAM阳离子））、标包二（固体聚丙烯酰胺（PAM阴离子））、标包三（液体三氯化铁）、标包五（液体复合碳源）确定排名前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名的投标人的为中标人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标包四（固体单过硫酸氢钾消毒剂）排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pPr>
        <w:snapToGrid w:val="0"/>
        <w:spacing w:line="360" w:lineRule="auto"/>
        <w:ind w:firstLine="562" w:firstLineChars="20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注：投标文件格式除有特殊说明，其余内容所有标包均需提供</w:t>
      </w:r>
    </w:p>
    <w:p>
      <w:pPr>
        <w:jc w:val="center"/>
        <w:rPr>
          <w:rFonts w:hint="eastAsia" w:ascii="仿宋" w:hAnsi="仿宋" w:eastAsia="仿宋" w:cs="仿宋"/>
          <w:bCs/>
          <w:sz w:val="30"/>
          <w:szCs w:val="30"/>
          <w:highlight w:val="none"/>
        </w:rPr>
      </w:pPr>
    </w:p>
    <w:p>
      <w:pPr>
        <w:jc w:val="center"/>
        <w:rPr>
          <w:rFonts w:hint="eastAsia" w:ascii="仿宋" w:hAnsi="仿宋" w:eastAsia="仿宋" w:cs="仿宋"/>
          <w:bCs/>
          <w:sz w:val="30"/>
          <w:szCs w:val="30"/>
          <w:highlight w:val="none"/>
        </w:rPr>
      </w:pPr>
    </w:p>
    <w:p>
      <w:pPr>
        <w:jc w:val="center"/>
        <w:rPr>
          <w:rFonts w:hint="eastAsia" w:ascii="仿宋" w:hAnsi="仿宋" w:eastAsia="仿宋" w:cs="仿宋"/>
          <w:bCs/>
          <w:sz w:val="30"/>
          <w:szCs w:val="30"/>
          <w:highlight w:val="none"/>
        </w:rPr>
      </w:pPr>
    </w:p>
    <w:p>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pPr>
        <w:ind w:firstLine="900" w:firstLineChars="300"/>
        <w:jc w:val="left"/>
        <w:rPr>
          <w:rFonts w:ascii="仿宋" w:hAnsi="仿宋" w:eastAsia="仿宋" w:cs="仿宋"/>
          <w:bCs/>
          <w:sz w:val="30"/>
          <w:szCs w:val="30"/>
          <w:highlight w:val="none"/>
        </w:rPr>
      </w:pPr>
    </w:p>
    <w:p>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pPr>
        <w:ind w:firstLine="900" w:firstLineChars="300"/>
        <w:jc w:val="left"/>
        <w:rPr>
          <w:rFonts w:ascii="仿宋" w:hAnsi="仿宋" w:eastAsia="仿宋" w:cs="仿宋"/>
          <w:bCs/>
          <w:sz w:val="30"/>
          <w:szCs w:val="30"/>
          <w:highlight w:val="none"/>
        </w:rPr>
      </w:pPr>
    </w:p>
    <w:p>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pPr>
        <w:ind w:firstLine="900" w:firstLineChars="300"/>
        <w:jc w:val="left"/>
        <w:rPr>
          <w:rFonts w:hint="eastAsia" w:ascii="仿宋" w:hAnsi="仿宋" w:eastAsia="仿宋" w:cs="仿宋"/>
          <w:bCs/>
          <w:sz w:val="30"/>
          <w:szCs w:val="30"/>
          <w:highlight w:val="none"/>
        </w:rPr>
      </w:pPr>
    </w:p>
    <w:p>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pPr>
        <w:ind w:firstLine="900" w:firstLineChars="300"/>
        <w:jc w:val="left"/>
        <w:rPr>
          <w:rFonts w:hint="eastAsia" w:ascii="仿宋" w:hAnsi="仿宋" w:eastAsia="仿宋" w:cs="仿宋"/>
          <w:bCs/>
          <w:sz w:val="30"/>
          <w:szCs w:val="30"/>
          <w:highlight w:val="none"/>
        </w:rPr>
      </w:pPr>
    </w:p>
    <w:p>
      <w:pPr>
        <w:pStyle w:val="2"/>
        <w:rPr>
          <w:rFonts w:hint="eastAsia"/>
          <w:highlight w:val="none"/>
        </w:rPr>
      </w:pPr>
    </w:p>
    <w:p>
      <w:pPr>
        <w:ind w:firstLine="900" w:firstLineChars="300"/>
        <w:jc w:val="left"/>
        <w:rPr>
          <w:rFonts w:hint="eastAsia" w:ascii="仿宋" w:hAnsi="仿宋" w:eastAsia="仿宋" w:cs="仿宋"/>
          <w:bCs/>
          <w:sz w:val="30"/>
          <w:szCs w:val="30"/>
          <w:highlight w:val="none"/>
        </w:rPr>
      </w:pPr>
    </w:p>
    <w:p>
      <w:pPr>
        <w:pStyle w:val="24"/>
        <w:rPr>
          <w:rFonts w:ascii="仿宋" w:hAnsi="仿宋" w:eastAsia="仿宋" w:cs="仿宋"/>
          <w:kern w:val="0"/>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p>
    <w:p>
      <w:pPr>
        <w:pStyle w:val="37"/>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pPr>
        <w:jc w:val="center"/>
        <w:rPr>
          <w:rFonts w:ascii="仿宋" w:hAnsi="仿宋" w:eastAsia="仿宋" w:cs="仿宋"/>
          <w:b/>
          <w:bCs/>
          <w:sz w:val="24"/>
          <w:szCs w:val="24"/>
          <w:highlight w:val="none"/>
        </w:rPr>
      </w:pPr>
    </w:p>
    <w:p>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pPr>
        <w:pStyle w:val="24"/>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WHSW-SWT2026-001</w:t>
      </w:r>
    </w:p>
    <w:p>
      <w:pPr>
        <w:pStyle w:val="24"/>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威海水务投资有限责任公司选定PAM阳离子、PAM阴离子、三氯化铁、单过硫酸氢钾消毒剂、复合碳源年度供应商</w:t>
      </w:r>
    </w:p>
    <w:tbl>
      <w:tblPr>
        <w:tblStyle w:val="42"/>
        <w:tblW w:w="96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含税</w:t>
            </w:r>
            <w:r>
              <w:rPr>
                <w:rFonts w:hint="eastAsia" w:ascii="仿宋" w:hAnsi="仿宋" w:eastAsia="仿宋" w:cs="仿宋"/>
                <w:sz w:val="24"/>
                <w:highlight w:val="none"/>
                <w:lang w:eastAsia="zh-CN"/>
              </w:rPr>
              <w:t>）</w:t>
            </w:r>
          </w:p>
        </w:tc>
        <w:tc>
          <w:tcPr>
            <w:tcW w:w="6391" w:type="dxa"/>
            <w:noWrap w:val="0"/>
            <w:vAlign w:val="center"/>
          </w:tcPr>
          <w:p>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jc w:val="center"/>
        </w:trPr>
        <w:tc>
          <w:tcPr>
            <w:tcW w:w="3288" w:type="dxa"/>
            <w:noWrap w:val="0"/>
            <w:vAlign w:val="center"/>
          </w:tcPr>
          <w:p>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pPr>
        <w:snapToGrid w:val="0"/>
        <w:spacing w:line="360" w:lineRule="auto"/>
        <w:ind w:firstLine="240" w:firstLineChars="100"/>
        <w:jc w:val="left"/>
        <w:rPr>
          <w:rFonts w:hint="eastAsia" w:ascii="仿宋" w:hAnsi="仿宋" w:eastAsia="仿宋" w:cs="仿宋"/>
          <w:sz w:val="24"/>
          <w:szCs w:val="24"/>
          <w:highlight w:val="none"/>
          <w:lang w:val="en-US" w:eastAsia="zh-CN"/>
        </w:rPr>
      </w:pPr>
    </w:p>
    <w:p>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pPr>
        <w:pStyle w:val="2"/>
        <w:rPr>
          <w:rFonts w:hint="eastAsia"/>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报价明细表（根据所投标包自行选择）</w:t>
      </w:r>
    </w:p>
    <w:p>
      <w:pPr>
        <w:pStyle w:val="2"/>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标包一</w:t>
      </w:r>
    </w:p>
    <w:tbl>
      <w:tblPr>
        <w:tblStyle w:val="42"/>
        <w:tblW w:w="1607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5"/>
        <w:gridCol w:w="967"/>
        <w:gridCol w:w="4394"/>
        <w:gridCol w:w="825"/>
        <w:gridCol w:w="1095"/>
        <w:gridCol w:w="1515"/>
        <w:gridCol w:w="1275"/>
        <w:gridCol w:w="1590"/>
        <w:gridCol w:w="1125"/>
        <w:gridCol w:w="1230"/>
        <w:gridCol w:w="13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85"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（元/吨）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单价</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val="en-US" w:eastAsia="zh-CN"/>
              </w:rPr>
              <w:t>/吨</w:t>
            </w:r>
            <w:r>
              <w:rPr>
                <w:rFonts w:hint="eastAsia" w:ascii="仿宋" w:hAnsi="仿宋" w:eastAsia="仿宋" w:cs="仿宋"/>
                <w:b w:val="0"/>
                <w:bCs w:val="0"/>
                <w:i w:val="0"/>
                <w:iCs w:val="0"/>
                <w:color w:val="000000"/>
                <w:sz w:val="21"/>
                <w:szCs w:val="21"/>
                <w:highlight w:val="none"/>
                <w:u w:val="none"/>
              </w:rPr>
              <w:t>）</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合价</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rPr>
              <w:t>（元）</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default"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7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固体聚丙烯酰胺（PAM阳离子）</w:t>
            </w:r>
          </w:p>
        </w:tc>
        <w:tc>
          <w:tcPr>
            <w:tcW w:w="43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阳离子型聚丙烯酰胺》GB/T31246-2025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1、特性粘度（30℃）/（dL/g）≥3.0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2、阳离子度a/%：3.0-95.0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3、固含量/%≥90.0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4、丙烯酰胺单体含量（以干基计）/%≤0.10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5、溶解时间（1g/L）/min≤60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6、水不溶物/%≤0.2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7、筛余物（1.70mm筛网）/%≤5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8、筛余物（180μm筛网）/%≥85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9、灼烧残渣/%≤2.5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280</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8880.00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2486400.00</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3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标包二</w:t>
      </w:r>
    </w:p>
    <w:tbl>
      <w:tblPr>
        <w:tblStyle w:val="42"/>
        <w:tblW w:w="1591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（PAM阴离子）</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阴离子和非离子型聚丙烯酰胺》GB/T17514-2017</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1、固含量（固体）/%≥90.0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2、丙烯酰胺单体含量（以干基计）/%≤0.02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3、溶解时间（阴离子型）/min≤60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4、溶解时间（非离子型）/min≤90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5、筛余物（1.00mm筛网）/%≤2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6、筛余物（180μm筛网）/%≥88</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7、水不溶物/%≤0.3</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8、氯化物含量/%≤0.5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9、硫酸盐含量/%≤1.0</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190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6390.00</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1214100.00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sz w:val="30"/>
          <w:szCs w:val="30"/>
          <w:highlight w:val="none"/>
        </w:rPr>
        <w:br w:type="page"/>
      </w:r>
      <w:r>
        <w:rPr>
          <w:rFonts w:hint="eastAsia" w:ascii="仿宋" w:hAnsi="仿宋" w:eastAsia="仿宋" w:cs="仿宋"/>
          <w:b/>
          <w:bCs/>
          <w:kern w:val="2"/>
          <w:sz w:val="30"/>
          <w:szCs w:val="30"/>
          <w:highlight w:val="none"/>
          <w:lang w:val="en-US" w:eastAsia="zh-CN" w:bidi="ar-SA"/>
        </w:rPr>
        <w:t>标包三</w:t>
      </w:r>
    </w:p>
    <w:tbl>
      <w:tblPr>
        <w:tblStyle w:val="42"/>
        <w:tblW w:w="1586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3"/>
        <w:gridCol w:w="955"/>
        <w:gridCol w:w="5183"/>
        <w:gridCol w:w="648"/>
        <w:gridCol w:w="936"/>
        <w:gridCol w:w="1516"/>
        <w:gridCol w:w="1367"/>
        <w:gridCol w:w="1567"/>
        <w:gridCol w:w="1066"/>
        <w:gridCol w:w="89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3"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highlight w:val="none"/>
              </w:rPr>
              <w:t>299.00</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2272400.00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snapToGrid w:val="0"/>
        <w:spacing w:line="360" w:lineRule="auto"/>
        <w:ind w:firstLine="630" w:firstLineChars="300"/>
        <w:jc w:val="left"/>
        <w:rPr>
          <w:rFonts w:hint="default" w:ascii="仿宋" w:hAnsi="仿宋" w:eastAsia="仿宋" w:cs="仿宋"/>
          <w:sz w:val="24"/>
          <w:szCs w:val="24"/>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sz w:val="30"/>
          <w:szCs w:val="30"/>
          <w:highlight w:val="none"/>
        </w:rPr>
        <w:br w:type="page"/>
      </w:r>
      <w:r>
        <w:rPr>
          <w:rFonts w:hint="eastAsia" w:ascii="仿宋" w:hAnsi="仿宋" w:eastAsia="仿宋" w:cs="仿宋"/>
          <w:b/>
          <w:bCs/>
          <w:kern w:val="2"/>
          <w:sz w:val="30"/>
          <w:szCs w:val="30"/>
          <w:highlight w:val="none"/>
          <w:lang w:val="en-US" w:eastAsia="zh-CN" w:bidi="ar-SA"/>
        </w:rPr>
        <w:t>标包四</w:t>
      </w:r>
    </w:p>
    <w:tbl>
      <w:tblPr>
        <w:tblStyle w:val="42"/>
        <w:tblW w:w="1598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1066"/>
        <w:gridCol w:w="5184"/>
        <w:gridCol w:w="659"/>
        <w:gridCol w:w="919"/>
        <w:gridCol w:w="1522"/>
        <w:gridCol w:w="1366"/>
        <w:gridCol w:w="1567"/>
        <w:gridCol w:w="1067"/>
        <w:gridCol w:w="886"/>
        <w:gridCol w:w="1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23" w:hRule="atLeast"/>
          <w:jc w:val="center"/>
        </w:trPr>
        <w:tc>
          <w:tcPr>
            <w:tcW w:w="6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49" w:hRule="atLeast"/>
          <w:jc w:val="center"/>
        </w:trPr>
        <w:tc>
          <w:tcPr>
            <w:tcW w:w="6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固体单过硫酸氢钾消毒剂</w:t>
            </w:r>
          </w:p>
        </w:tc>
        <w:tc>
          <w:tcPr>
            <w:tcW w:w="51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过硫酸氢钾复合粉》HG/T 5562-2019</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1、过硫酸氢钾的质量分数w1（%）≥10.5；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2、钾（K）的质量分数w2（%）≥8.0；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3、总有效氧氯的质量分数（以Cl计）w3（%）：35-45；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4、PH（10g/L水溶液，25℃）：3.0-6.0</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14</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highlight w:val="none"/>
              </w:rPr>
              <w:t>31000.00</w:t>
            </w:r>
          </w:p>
        </w:tc>
        <w:tc>
          <w:tcPr>
            <w:tcW w:w="13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434000.00</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snapToGrid w:val="0"/>
        <w:spacing w:line="360" w:lineRule="auto"/>
        <w:ind w:firstLine="630" w:firstLineChars="300"/>
        <w:jc w:val="left"/>
        <w:rPr>
          <w:rFonts w:hint="default" w:ascii="仿宋" w:hAnsi="仿宋" w:eastAsia="仿宋" w:cs="仿宋"/>
          <w:sz w:val="24"/>
          <w:szCs w:val="24"/>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jc w:val="center"/>
        <w:rPr>
          <w:rFonts w:hint="eastAsia"/>
          <w:highlight w:val="none"/>
          <w:lang w:val="en-US" w:eastAsia="zh-CN"/>
        </w:rPr>
      </w:pPr>
      <w:r>
        <w:rPr>
          <w:rFonts w:hint="eastAsia" w:ascii="仿宋" w:hAnsi="仿宋" w:eastAsia="仿宋" w:cs="仿宋"/>
          <w:b/>
          <w:bCs/>
          <w:sz w:val="30"/>
          <w:szCs w:val="30"/>
          <w:highlight w:val="none"/>
        </w:rPr>
        <w:br w:type="page"/>
      </w:r>
      <w:bookmarkStart w:id="18" w:name="_Toc103329621"/>
      <w:r>
        <w:rPr>
          <w:rFonts w:hint="eastAsia" w:ascii="仿宋" w:hAnsi="仿宋" w:eastAsia="仿宋" w:cs="仿宋"/>
          <w:b/>
          <w:bCs/>
          <w:kern w:val="2"/>
          <w:sz w:val="30"/>
          <w:szCs w:val="30"/>
          <w:highlight w:val="none"/>
          <w:lang w:val="en-US" w:eastAsia="zh-CN" w:bidi="ar-SA"/>
        </w:rPr>
        <w:t>标包五</w:t>
      </w:r>
    </w:p>
    <w:tbl>
      <w:tblPr>
        <w:tblStyle w:val="42"/>
        <w:tblW w:w="1598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0"/>
        <w:gridCol w:w="1066"/>
        <w:gridCol w:w="5185"/>
        <w:gridCol w:w="662"/>
        <w:gridCol w:w="856"/>
        <w:gridCol w:w="1577"/>
        <w:gridCol w:w="1377"/>
        <w:gridCol w:w="1555"/>
        <w:gridCol w:w="1076"/>
        <w:gridCol w:w="1155"/>
        <w:gridCol w:w="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17" w:hRule="atLeast"/>
          <w:jc w:val="center"/>
        </w:trPr>
        <w:tc>
          <w:tcPr>
            <w:tcW w:w="6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8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w:t>
            </w:r>
          </w:p>
        </w:tc>
        <w:tc>
          <w:tcPr>
            <w:tcW w:w="13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p>
        </w:tc>
        <w:tc>
          <w:tcPr>
            <w:tcW w:w="1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57" w:hRule="atLeast"/>
          <w:jc w:val="center"/>
        </w:trPr>
        <w:tc>
          <w:tcPr>
            <w:tcW w:w="6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液体复合碳源</w:t>
            </w:r>
          </w:p>
        </w:tc>
        <w:tc>
          <w:tcPr>
            <w:tcW w:w="51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符合标准：《污（废）水处理用碳源》HG/T 5960-2021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1、化学需氧量（CODCr）/(mg/L)≥2.5x105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2、BOD5/CODCr≥0.55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3、PH值  7.0-9.0</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4、密度(20℃)/（g/cm3）  1.00-1.26</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5、水不溶物的质量分数/%≤0.2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凝点/℃≤供需双方协商</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6、总磷（以P计）的质量分数/%≤0.006</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7、总氮（以N计）的质量分数/%≤0.03</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8、氯化物（CI）的质量分数/%≤0.1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9、硫酸盐（SO4）的质量分数/%≤0.1</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10、汞（Hg）的质量分数/%≤0.00002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11、镉（Cd）的质量分数/%≤0.0002</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12、铬（Cr）的质量分数/%≤0.0005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13、砷（As）的质量分数/%≤0.0005</w:t>
            </w:r>
          </w:p>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14、铅（Pb）的质量分数/%≤0.0005</w:t>
            </w:r>
          </w:p>
        </w:tc>
        <w:tc>
          <w:tcPr>
            <w:tcW w:w="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8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14500</w:t>
            </w:r>
          </w:p>
        </w:tc>
        <w:tc>
          <w:tcPr>
            <w:tcW w:w="15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highlight w:val="none"/>
              </w:rPr>
              <w:t>642.00</w:t>
            </w:r>
          </w:p>
        </w:tc>
        <w:tc>
          <w:tcPr>
            <w:tcW w:w="13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9309000.00</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79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2.以上价格均为含税价格。</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1"/>
          <w:szCs w:val="21"/>
          <w:highlight w:val="none"/>
          <w:lang w:val="en-US" w:eastAsia="zh-CN"/>
        </w:rPr>
        <w:t>6.最终中标价格统一执行所有中标单位投标报价中分项报价的最低价，中标候选单位如不能接受此价格，视为放弃中标资格，由综合得分排名次之的投标人中标，依次类推或重新招标。</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pPr>
        <w:spacing w:line="460" w:lineRule="exact"/>
        <w:ind w:left="1747" w:leftChars="832"/>
        <w:jc w:val="center"/>
        <w:rPr>
          <w:rFonts w:hint="eastAsia" w:ascii="仿宋" w:hAnsi="仿宋" w:eastAsia="仿宋" w:cs="仿宋"/>
          <w:b/>
          <w:bCs/>
          <w:color w:val="000000"/>
          <w:sz w:val="24"/>
          <w:szCs w:val="24"/>
          <w:highlight w:val="none"/>
        </w:rPr>
      </w:pPr>
    </w:p>
    <w:p>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pPr>
        <w:spacing w:line="480" w:lineRule="exact"/>
        <w:rPr>
          <w:rFonts w:hint="eastAsia" w:ascii="仿宋" w:hAnsi="仿宋" w:eastAsia="仿宋" w:cs="仿宋"/>
          <w:bCs/>
          <w:color w:val="000000"/>
          <w:sz w:val="24"/>
          <w:szCs w:val="24"/>
          <w:highlight w:val="none"/>
        </w:rPr>
      </w:pPr>
    </w:p>
    <w:p>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pPr>
        <w:spacing w:line="480" w:lineRule="exact"/>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pacing w:line="480" w:lineRule="auto"/>
        <w:rPr>
          <w:rFonts w:hint="eastAsia" w:ascii="仿宋" w:hAnsi="仿宋" w:eastAsia="仿宋" w:cs="仿宋"/>
          <w:bCs/>
          <w:color w:val="000000"/>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pStyle w:val="2"/>
        <w:rPr>
          <w:rFonts w:hint="eastAsia" w:ascii="仿宋" w:hAnsi="仿宋" w:eastAsia="仿宋" w:cs="仿宋"/>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default" w:eastAsia="仿宋"/>
          <w:b/>
          <w:bCs/>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注：标包一（固体聚丙烯酰胺（PAM阳离子））、标包二（固体聚丙烯酰胺（PAM阴离子））、标包三（液体三氯化铁）、标包五（液体复合碳源）需填写。</w:t>
      </w:r>
    </w:p>
    <w:p>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为营造公平竞争、规范有序的市场环境，树立诚信守法经营形象。本单位郑重承诺：</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二、我方在本次采购活动中绝无资质挂靠、串标、围标情形，若经贵方查出，立即取消我方中标（成交）资格并承担相应的法律责任。</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三、我方在以往的采购活动中，无重大违法、违规的不良记录；或虽有不良记录，但已超过处理期限。</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四、我方一旦中标（成交），将按规定及时与贵方签订合同，严格按照投标（报价）文件中所承诺的报价、质量、服务期等内容组织实施。</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五、自觉接受社会各界的监督，依法接受有关行政机关的事中事后监管和执法检查，并如实提供有关情况和材料。</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六、严格遵守国家法律、法规、规章和相关政策的规定，积极参与社会信用体系建设，倡导树立以信笃行，以诚兴业的传统美德，争当信用市民，争创信用企业。</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七、我方承诺我单位、法定代表人、授权委托人近三年内无行贿犯罪记录。如有不实，愿意承担一切后果。</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八、我方或代理人承诺不向贵方工作人员提供正常业务接待以外的宴请、度假、旅游、娱乐（包括但不限于到营业性的会所、夜总会、桑拿、按摩和高尔夫球场）等消费，不参加贵方工作人员的婚丧喜庆等活动。</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九、我方或代理人承诺不向贵方工作人员支付应由其个人支付的各项费用（包括但不限于住宅装修、婚丧嫁娶、旅游、度假、食宿、购物、学费、子女出国留学等）。</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十、我方或代理人承诺不接受贵方工作人员介绍、指定或限定的工程分包单位、物资供应商、物资设备等。</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一、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十二、本《信用承诺书》同意向社会公开。</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pPr>
        <w:pStyle w:val="37"/>
        <w:jc w:val="center"/>
        <w:rPr>
          <w:rFonts w:hint="eastAsia" w:ascii="仿宋" w:hAnsi="仿宋" w:eastAsia="仿宋" w:cs="仿宋"/>
          <w:b/>
          <w:bCs/>
          <w:kern w:val="2"/>
          <w:sz w:val="36"/>
          <w:szCs w:val="36"/>
          <w:highlight w:val="none"/>
        </w:rPr>
      </w:pPr>
    </w:p>
    <w:p>
      <w:pPr>
        <w:pStyle w:val="37"/>
        <w:jc w:val="both"/>
        <w:rPr>
          <w:rFonts w:hint="eastAsia" w:ascii="仿宋" w:hAnsi="仿宋" w:eastAsia="仿宋" w:cs="仿宋"/>
          <w:b/>
          <w:bCs/>
          <w:kern w:val="2"/>
          <w:sz w:val="36"/>
          <w:szCs w:val="36"/>
          <w:highlight w:val="none"/>
        </w:rPr>
      </w:pPr>
    </w:p>
    <w:p>
      <w:pPr>
        <w:pStyle w:val="37"/>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pPr>
        <w:pStyle w:val="24"/>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pPr>
        <w:pStyle w:val="24"/>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2"/>
        <w:tblW w:w="87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5"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2350"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7" w:hRule="atLeast"/>
          <w:jc w:val="center"/>
        </w:trPr>
        <w:tc>
          <w:tcPr>
            <w:tcW w:w="435" w:type="dxa"/>
            <w:vMerge w:val="restart"/>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140"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pPr>
              <w:spacing w:line="440" w:lineRule="exact"/>
              <w:jc w:val="center"/>
              <w:rPr>
                <w:rFonts w:hint="eastAsia" w:ascii="仿宋" w:hAnsi="仿宋" w:eastAsia="仿宋" w:cs="仿宋"/>
                <w:sz w:val="24"/>
                <w:szCs w:val="24"/>
                <w:highlight w:val="none"/>
              </w:rPr>
            </w:pPr>
          </w:p>
        </w:tc>
        <w:tc>
          <w:tcPr>
            <w:tcW w:w="2140"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pPr>
              <w:spacing w:line="440" w:lineRule="exact"/>
              <w:jc w:val="cente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pPr>
              <w:spacing w:line="440" w:lineRule="exact"/>
              <w:jc w:val="center"/>
              <w:rPr>
                <w:rFonts w:hint="eastAsia" w:ascii="仿宋" w:hAnsi="仿宋" w:eastAsia="仿宋" w:cs="仿宋"/>
                <w:sz w:val="24"/>
                <w:szCs w:val="24"/>
                <w:highlight w:val="none"/>
              </w:rPr>
            </w:pPr>
          </w:p>
        </w:tc>
        <w:tc>
          <w:tcPr>
            <w:tcW w:w="1915" w:type="dxa"/>
            <w:noWrap w:val="0"/>
            <w:vAlign w:val="center"/>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54" w:hRule="atLeast"/>
          <w:jc w:val="center"/>
        </w:trPr>
        <w:tc>
          <w:tcPr>
            <w:tcW w:w="8758" w:type="dxa"/>
            <w:gridSpan w:val="6"/>
            <w:noWrap w:val="0"/>
            <w:vAlign w:val="top"/>
          </w:tcPr>
          <w:p>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22" w:hRule="atLeast"/>
          <w:jc w:val="center"/>
        </w:trPr>
        <w:tc>
          <w:tcPr>
            <w:tcW w:w="8758" w:type="dxa"/>
            <w:gridSpan w:val="6"/>
            <w:noWrap w:val="0"/>
            <w:vAlign w:val="top"/>
          </w:tcPr>
          <w:p>
            <w:pPr>
              <w:spacing w:line="440" w:lineRule="exact"/>
              <w:rPr>
                <w:rFonts w:hint="eastAsia" w:ascii="仿宋" w:hAnsi="仿宋" w:eastAsia="仿宋" w:cs="仿宋"/>
                <w:sz w:val="24"/>
                <w:szCs w:val="24"/>
                <w:highlight w:val="none"/>
              </w:rPr>
            </w:pPr>
          </w:p>
        </w:tc>
      </w:tr>
    </w:tbl>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pPr>
        <w:pStyle w:val="24"/>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2"/>
        <w:tblW w:w="94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2379" w:type="dxa"/>
            <w:gridSpan w:val="3"/>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pPr>
              <w:spacing w:line="440" w:lineRule="exact"/>
              <w:ind w:left="507"/>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7"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2379" w:type="dxa"/>
            <w:gridSpan w:val="3"/>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2"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7" w:hRule="atLeast"/>
          <w:jc w:val="center"/>
        </w:trPr>
        <w:tc>
          <w:tcPr>
            <w:tcW w:w="2647"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840" w:type="dxa"/>
            <w:gridSpan w:val="2"/>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6" w:hRule="atLeast"/>
          <w:jc w:val="center"/>
        </w:trPr>
        <w:tc>
          <w:tcPr>
            <w:tcW w:w="606" w:type="dxa"/>
            <w:vMerge w:val="restart"/>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790"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pPr>
              <w:spacing w:line="440" w:lineRule="exact"/>
              <w:jc w:val="center"/>
              <w:rPr>
                <w:rFonts w:hint="eastAsia" w:ascii="仿宋" w:hAnsi="仿宋" w:eastAsia="仿宋" w:cs="仿宋"/>
                <w:sz w:val="24"/>
                <w:highlight w:val="none"/>
              </w:rPr>
            </w:pPr>
          </w:p>
        </w:tc>
        <w:tc>
          <w:tcPr>
            <w:tcW w:w="1790"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pPr>
              <w:spacing w:line="440" w:lineRule="exact"/>
              <w:jc w:val="center"/>
              <w:rPr>
                <w:rFonts w:hint="eastAsia" w:ascii="仿宋" w:hAnsi="仿宋" w:eastAsia="仿宋" w:cs="仿宋"/>
                <w:sz w:val="24"/>
                <w:highlight w:val="none"/>
              </w:rPr>
            </w:pPr>
          </w:p>
        </w:tc>
        <w:tc>
          <w:tcPr>
            <w:tcW w:w="2041" w:type="dxa"/>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pPr>
              <w:spacing w:line="440" w:lineRule="exac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atLeast"/>
          <w:jc w:val="center"/>
        </w:trPr>
        <w:tc>
          <w:tcPr>
            <w:tcW w:w="9498" w:type="dxa"/>
            <w:gridSpan w:val="7"/>
            <w:noWrap w:val="0"/>
            <w:vAlign w:val="center"/>
          </w:tcPr>
          <w:p>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69" w:hRule="atLeast"/>
          <w:jc w:val="center"/>
        </w:trPr>
        <w:tc>
          <w:tcPr>
            <w:tcW w:w="9498" w:type="dxa"/>
            <w:gridSpan w:val="7"/>
            <w:noWrap w:val="0"/>
            <w:vAlign w:val="center"/>
          </w:tcPr>
          <w:p>
            <w:pPr>
              <w:spacing w:line="440" w:lineRule="exact"/>
              <w:jc w:val="center"/>
              <w:rPr>
                <w:rFonts w:hint="eastAsia" w:ascii="仿宋" w:hAnsi="仿宋" w:eastAsia="仿宋" w:cs="仿宋"/>
                <w:sz w:val="24"/>
                <w:highlight w:val="none"/>
              </w:rPr>
            </w:pP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pPr>
        <w:snapToGrid w:val="0"/>
        <w:spacing w:line="360" w:lineRule="auto"/>
        <w:ind w:firstLine="240" w:firstLineChars="100"/>
        <w:rPr>
          <w:rFonts w:hint="default" w:ascii="仿宋" w:hAnsi="仿宋" w:eastAsia="仿宋" w:cs="仿宋"/>
          <w:sz w:val="24"/>
          <w:szCs w:val="24"/>
          <w:highlight w:val="none"/>
          <w:lang w:val="en-US" w:eastAsia="zh-CN"/>
        </w:rPr>
      </w:pPr>
    </w:p>
    <w:p>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pPr>
        <w:spacing w:line="480" w:lineRule="exact"/>
        <w:rPr>
          <w:rFonts w:hint="eastAsia"/>
          <w:bCs/>
          <w:color w:val="auto"/>
          <w:highlight w:val="none"/>
        </w:rPr>
      </w:pPr>
    </w:p>
    <w:p>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pPr>
        <w:spacing w:line="560" w:lineRule="exact"/>
        <w:ind w:firstLine="480" w:firstLineChars="200"/>
        <w:rPr>
          <w:rFonts w:hint="eastAsia" w:ascii="仿宋" w:hAnsi="仿宋" w:eastAsia="仿宋" w:cs="仿宋"/>
          <w:color w:val="auto"/>
          <w:sz w:val="24"/>
          <w:szCs w:val="24"/>
          <w:highlight w:val="none"/>
        </w:rPr>
      </w:pP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pPr>
        <w:spacing w:line="560" w:lineRule="exact"/>
        <w:rPr>
          <w:rFonts w:hint="eastAsia" w:ascii="仿宋" w:hAnsi="仿宋" w:eastAsia="仿宋" w:cs="仿宋"/>
          <w:color w:val="auto"/>
          <w:sz w:val="24"/>
          <w:szCs w:val="24"/>
          <w:highlight w:val="none"/>
        </w:rPr>
      </w:pPr>
    </w:p>
    <w:p>
      <w:pPr>
        <w:spacing w:line="560" w:lineRule="exact"/>
        <w:rPr>
          <w:rFonts w:hint="eastAsia" w:ascii="仿宋" w:hAnsi="仿宋" w:eastAsia="仿宋" w:cs="仿宋"/>
          <w:color w:val="auto"/>
          <w:sz w:val="24"/>
          <w:szCs w:val="24"/>
          <w:highlight w:val="none"/>
        </w:rPr>
      </w:pPr>
    </w:p>
    <w:p>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pPr>
        <w:spacing w:line="560" w:lineRule="exact"/>
        <w:rPr>
          <w:rFonts w:hint="eastAsia" w:ascii="仿宋" w:hAnsi="仿宋" w:eastAsia="仿宋" w:cs="仿宋"/>
          <w:color w:val="auto"/>
          <w:sz w:val="24"/>
          <w:szCs w:val="24"/>
          <w:highlight w:val="none"/>
        </w:rPr>
      </w:pPr>
    </w:p>
    <w:p>
      <w:pPr>
        <w:spacing w:line="560" w:lineRule="exact"/>
        <w:rPr>
          <w:rFonts w:hint="eastAsia" w:ascii="仿宋" w:hAnsi="仿宋" w:eastAsia="仿宋" w:cs="仿宋"/>
          <w:color w:val="auto"/>
          <w:sz w:val="24"/>
          <w:szCs w:val="24"/>
          <w:highlight w:val="none"/>
        </w:rPr>
      </w:pPr>
    </w:p>
    <w:p>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pPr>
        <w:pStyle w:val="13"/>
        <w:spacing w:line="360" w:lineRule="auto"/>
        <w:ind w:left="0" w:leftChars="0" w:firstLine="0" w:firstLineChars="0"/>
        <w:jc w:val="center"/>
        <w:rPr>
          <w:rFonts w:hint="eastAsia" w:ascii="仿宋" w:hAnsi="仿宋" w:eastAsia="仿宋" w:cs="仿宋"/>
          <w:color w:val="auto"/>
          <w:sz w:val="24"/>
          <w:szCs w:val="24"/>
          <w:highlight w:val="none"/>
        </w:rPr>
      </w:pPr>
    </w:p>
    <w:p>
      <w:pPr>
        <w:pStyle w:val="13"/>
        <w:spacing w:line="360" w:lineRule="auto"/>
        <w:ind w:left="0" w:leftChars="0" w:firstLine="0" w:firstLineChars="0"/>
        <w:jc w:val="center"/>
        <w:rPr>
          <w:rFonts w:hint="eastAsia" w:ascii="仿宋" w:hAnsi="仿宋" w:eastAsia="仿宋" w:cs="仿宋"/>
          <w:color w:val="auto"/>
          <w:sz w:val="24"/>
          <w:szCs w:val="24"/>
          <w:highlight w:val="none"/>
        </w:rPr>
      </w:pPr>
    </w:p>
    <w:p>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pStyle w:val="24"/>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pPr>
        <w:pStyle w:val="24"/>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标包一：固体聚丙烯酰胺（PAM阳离子）、标包二：固体聚丙烯酰胺（PAM阴离子）、标包四：固体单过硫酸氢钾消毒剂、标包五：液体复合碳源还需提供如下资料：</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注：标包一：固体聚丙烯酰胺（PAM阳离子）、标包二：固体聚丙烯酰胺（PAM阴离子）、标包四：固体单过硫酸氢钾消毒剂、标包五：液体复合碳源需提供。</w:t>
      </w:r>
    </w:p>
    <w:p>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b/>
          <w:bCs w:val="0"/>
          <w:kern w:val="2"/>
          <w:sz w:val="30"/>
          <w:szCs w:val="30"/>
          <w:highlight w:val="none"/>
          <w:lang w:val="en-US" w:eastAsia="zh-CN" w:bidi="ar-SA"/>
        </w:rPr>
        <w:t>标包三：液体三氯化铁还需提供如下资料：</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注：标包三：液体三氯化铁需提供。</w:t>
      </w: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p>
    <w:p>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kern w:val="2"/>
          <w:sz w:val="30"/>
          <w:szCs w:val="30"/>
          <w:highlight w:val="none"/>
        </w:rPr>
        <w:br w:type="page"/>
      </w:r>
      <w:r>
        <w:rPr>
          <w:rFonts w:hint="eastAsia" w:ascii="仿宋" w:hAnsi="仿宋" w:eastAsia="仿宋" w:cs="仿宋"/>
          <w:kern w:val="2"/>
          <w:sz w:val="30"/>
          <w:szCs w:val="30"/>
          <w:highlight w:val="none"/>
        </w:rPr>
        <w:t>法定代表人身份证明</w:t>
      </w:r>
    </w:p>
    <w:p>
      <w:pPr>
        <w:spacing w:line="440" w:lineRule="exact"/>
        <w:rPr>
          <w:szCs w:val="20"/>
          <w:highlight w:val="none"/>
        </w:rPr>
      </w:pPr>
    </w:p>
    <w:p>
      <w:pPr>
        <w:spacing w:line="440" w:lineRule="exact"/>
        <w:rPr>
          <w:szCs w:val="21"/>
          <w:highlight w:val="none"/>
        </w:rPr>
      </w:pP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pPr>
        <w:spacing w:line="440" w:lineRule="exact"/>
        <w:rPr>
          <w:rFonts w:hint="eastAsia" w:ascii="仿宋" w:hAnsi="仿宋" w:eastAsia="仿宋" w:cs="仿宋"/>
          <w:sz w:val="24"/>
          <w:szCs w:val="24"/>
          <w:highlight w:val="none"/>
        </w:rPr>
      </w:pPr>
    </w:p>
    <w:p>
      <w:pPr>
        <w:spacing w:line="440" w:lineRule="exact"/>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pPr>
        <w:spacing w:line="440" w:lineRule="exact"/>
        <w:rPr>
          <w:rFonts w:eastAsia="黑体"/>
          <w:szCs w:val="20"/>
          <w:highlight w:val="none"/>
        </w:rPr>
      </w:pPr>
    </w:p>
    <w:tbl>
      <w:tblPr>
        <w:tblStyle w:val="42"/>
        <w:tblpPr w:leftFromText="180" w:rightFromText="180" w:vertAnchor="text" w:horzAnchor="page" w:tblpXSpec="center" w:tblpY="968"/>
        <w:tblOverlap w:val="never"/>
        <w:tblW w:w="83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85" w:hRule="atLeast"/>
          <w:jc w:val="center"/>
        </w:trPr>
        <w:tc>
          <w:tcPr>
            <w:tcW w:w="8300" w:type="dxa"/>
            <w:noWrap w:val="0"/>
            <w:vAlign w:val="center"/>
          </w:tcPr>
          <w:p>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pPr>
        <w:pStyle w:val="24"/>
        <w:spacing w:line="520" w:lineRule="exact"/>
        <w:ind w:firstLine="1110"/>
        <w:jc w:val="center"/>
        <w:rPr>
          <w:rFonts w:ascii="仿宋" w:hAnsi="仿宋" w:eastAsia="仿宋" w:cs="仿宋"/>
          <w:b/>
          <w:bCs/>
          <w:sz w:val="24"/>
          <w:szCs w:val="24"/>
          <w:highlight w:val="none"/>
        </w:rPr>
      </w:pP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pPr>
        <w:pStyle w:val="24"/>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pPr>
        <w:pStyle w:val="24"/>
        <w:spacing w:line="520" w:lineRule="exact"/>
        <w:ind w:firstLine="1111"/>
        <w:rPr>
          <w:rFonts w:ascii="仿宋" w:hAnsi="仿宋" w:eastAsia="仿宋" w:cs="仿宋"/>
          <w:sz w:val="24"/>
          <w:szCs w:val="24"/>
          <w:highlight w:val="none"/>
        </w:rPr>
      </w:pP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pPr>
        <w:pStyle w:val="24"/>
        <w:spacing w:line="520" w:lineRule="exact"/>
        <w:rPr>
          <w:rFonts w:ascii="仿宋" w:hAnsi="仿宋" w:eastAsia="仿宋" w:cs="仿宋"/>
          <w:sz w:val="24"/>
          <w:szCs w:val="24"/>
          <w:highlight w:val="none"/>
        </w:rPr>
      </w:pPr>
    </w:p>
    <w:p>
      <w:pPr>
        <w:pStyle w:val="24"/>
        <w:spacing w:line="520" w:lineRule="exact"/>
        <w:rPr>
          <w:rFonts w:ascii="仿宋" w:hAnsi="仿宋" w:eastAsia="仿宋" w:cs="仿宋"/>
          <w:sz w:val="24"/>
          <w:szCs w:val="24"/>
          <w:highlight w:val="none"/>
        </w:rPr>
      </w:pPr>
    </w:p>
    <w:tbl>
      <w:tblPr>
        <w:tblStyle w:val="42"/>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72" w:hRule="atLeast"/>
        </w:trPr>
        <w:tc>
          <w:tcPr>
            <w:tcW w:w="8960" w:type="dxa"/>
            <w:noWrap w:val="0"/>
            <w:vAlign w:val="center"/>
          </w:tcPr>
          <w:p>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pPr>
        <w:snapToGrid w:val="0"/>
        <w:spacing w:line="360" w:lineRule="auto"/>
        <w:ind w:firstLine="480" w:firstLineChars="200"/>
        <w:jc w:val="left"/>
        <w:rPr>
          <w:rFonts w:hint="eastAsia" w:ascii="仿宋" w:hAnsi="仿宋" w:eastAsia="仿宋" w:cs="仿宋"/>
          <w:sz w:val="24"/>
          <w:szCs w:val="24"/>
          <w:highlight w:val="none"/>
        </w:rPr>
      </w:pPr>
    </w:p>
    <w:p>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pPr>
        <w:snapToGrid w:val="0"/>
        <w:spacing w:line="360" w:lineRule="auto"/>
        <w:ind w:firstLine="480" w:firstLineChars="200"/>
        <w:jc w:val="left"/>
        <w:rPr>
          <w:rFonts w:ascii="仿宋" w:hAnsi="仿宋" w:eastAsia="仿宋" w:cs="仿宋"/>
          <w:sz w:val="24"/>
          <w:szCs w:val="24"/>
          <w:highlight w:val="none"/>
        </w:rPr>
      </w:pPr>
    </w:p>
    <w:p>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pPr>
        <w:pStyle w:val="24"/>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pPr>
        <w:snapToGrid w:val="0"/>
        <w:spacing w:line="560" w:lineRule="exact"/>
        <w:ind w:firstLine="562" w:firstLineChars="201"/>
        <w:rPr>
          <w:rFonts w:ascii="宋体" w:hAnsi="宋体"/>
          <w:sz w:val="28"/>
          <w:szCs w:val="28"/>
          <w:highlight w:val="none"/>
        </w:rPr>
      </w:pPr>
    </w:p>
    <w:p>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outlineLvl w:val="0"/>
        <w:rPr>
          <w:rFonts w:hint="eastAsia" w:ascii="仿宋" w:hAnsi="仿宋" w:eastAsia="仿宋" w:cs="仿宋"/>
          <w:sz w:val="24"/>
          <w:szCs w:val="24"/>
          <w:highlight w:val="none"/>
        </w:rPr>
      </w:pPr>
      <w:bookmarkStart w:id="20" w:name="_Toc2784"/>
      <w:bookmarkStart w:id="21"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360" w:lineRule="auto"/>
        <w:jc w:val="center"/>
        <w:rPr>
          <w:rFonts w:hint="eastAsia" w:ascii="仿宋" w:hAnsi="仿宋" w:eastAsia="仿宋" w:cs="仿宋"/>
          <w:b/>
          <w:bCs/>
          <w:sz w:val="36"/>
          <w:szCs w:val="36"/>
          <w:highlight w:val="none"/>
        </w:rPr>
      </w:pPr>
    </w:p>
    <w:p>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3"/>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pPr>
        <w:snapToGrid w:val="0"/>
        <w:spacing w:line="560" w:lineRule="exact"/>
        <w:ind w:firstLine="484" w:firstLineChars="201"/>
        <w:jc w:val="center"/>
        <w:rPr>
          <w:rFonts w:hint="eastAsia" w:ascii="仿宋" w:hAnsi="仿宋" w:eastAsia="仿宋" w:cs="仿宋"/>
          <w:b/>
          <w:bCs/>
          <w:sz w:val="24"/>
          <w:szCs w:val="24"/>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26"/>
        <w:rPr>
          <w:rFonts w:hint="eastAsia"/>
          <w:highlight w:val="none"/>
        </w:rPr>
      </w:pPr>
    </w:p>
    <w:p>
      <w:pPr>
        <w:rPr>
          <w:rFonts w:hint="eastAsia"/>
          <w:highlight w:val="none"/>
        </w:rPr>
      </w:pPr>
    </w:p>
    <w:p>
      <w:pPr>
        <w:pStyle w:val="17"/>
        <w:rPr>
          <w:rFonts w:hint="eastAsia"/>
          <w:highlight w:val="none"/>
        </w:rPr>
      </w:pPr>
    </w:p>
    <w:p>
      <w:pPr>
        <w:pStyle w:val="17"/>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pPr>
        <w:snapToGrid w:val="0"/>
        <w:spacing w:line="360" w:lineRule="auto"/>
        <w:jc w:val="center"/>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lang w:val="en-US" w:eastAsia="zh-CN"/>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rPr>
      </w:pPr>
    </w:p>
    <w:p>
      <w:pPr>
        <w:pStyle w:val="3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pPr>
        <w:snapToGrid w:val="0"/>
        <w:spacing w:line="360" w:lineRule="auto"/>
        <w:jc w:val="center"/>
        <w:rPr>
          <w:rFonts w:hint="eastAsia" w:ascii="仿宋" w:hAnsi="仿宋" w:eastAsia="仿宋" w:cs="仿宋"/>
          <w:b/>
          <w:bCs/>
          <w:sz w:val="30"/>
          <w:szCs w:val="30"/>
          <w:highlight w:val="none"/>
        </w:rPr>
      </w:pPr>
    </w:p>
    <w:p>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snapToGrid w:val="0"/>
        <w:spacing w:line="360" w:lineRule="auto"/>
        <w:ind w:left="559" w:leftChars="266" w:firstLine="2400" w:firstLineChars="1000"/>
        <w:jc w:val="left"/>
        <w:rPr>
          <w:rFonts w:ascii="仿宋" w:hAnsi="仿宋" w:eastAsia="仿宋" w:cs="仿宋"/>
          <w:sz w:val="24"/>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pStyle w:val="37"/>
        <w:rPr>
          <w:rFonts w:ascii="仿宋" w:hAnsi="仿宋" w:eastAsia="仿宋" w:cs="仿宋"/>
          <w:szCs w:val="24"/>
          <w:highlight w:val="none"/>
        </w:rPr>
      </w:pPr>
    </w:p>
    <w:p>
      <w:pPr>
        <w:spacing w:line="360" w:lineRule="exact"/>
        <w:ind w:right="1120"/>
        <w:rPr>
          <w:rFonts w:hint="eastAsia" w:ascii="仿宋" w:hAnsi="仿宋" w:eastAsia="仿宋" w:cs="仿宋"/>
          <w:sz w:val="24"/>
          <w:highlight w:val="none"/>
        </w:rPr>
      </w:pPr>
    </w:p>
    <w:p>
      <w:pPr>
        <w:spacing w:line="360" w:lineRule="exact"/>
        <w:ind w:right="112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firstLine="3000" w:firstLineChars="1250"/>
        <w:rPr>
          <w:rFonts w:hint="eastAsia" w:ascii="仿宋" w:hAnsi="仿宋" w:eastAsia="仿宋" w:cs="仿宋"/>
          <w:sz w:val="24"/>
          <w:highlight w:val="none"/>
        </w:rPr>
      </w:pPr>
    </w:p>
    <w:p>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pPr>
        <w:pStyle w:val="85"/>
        <w:ind w:left="480" w:firstLine="0"/>
        <w:rPr>
          <w:rFonts w:ascii="仿宋" w:hAnsi="仿宋" w:eastAsia="仿宋" w:cs="仿宋"/>
          <w:bCs/>
          <w:szCs w:val="24"/>
          <w:highlight w:val="none"/>
        </w:rPr>
      </w:pPr>
    </w:p>
    <w:p>
      <w:pPr>
        <w:pStyle w:val="85"/>
        <w:ind w:firstLine="0"/>
        <w:rPr>
          <w:rFonts w:ascii="仿宋" w:hAnsi="仿宋" w:eastAsia="仿宋" w:cs="仿宋"/>
          <w:bCs/>
          <w:szCs w:val="24"/>
          <w:highlight w:val="none"/>
        </w:rPr>
      </w:pPr>
    </w:p>
    <w:p>
      <w:pPr>
        <w:pStyle w:val="85"/>
        <w:ind w:left="480" w:firstLine="0"/>
        <w:rPr>
          <w:rFonts w:ascii="仿宋" w:hAnsi="仿宋" w:eastAsia="仿宋" w:cs="仿宋"/>
          <w:bCs/>
          <w:szCs w:val="24"/>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tabs>
          <w:tab w:val="left" w:pos="580"/>
        </w:tabs>
        <w:ind w:right="560"/>
        <w:jc w:val="center"/>
        <w:rPr>
          <w:rFonts w:hint="eastAsia" w:ascii="仿宋" w:hAnsi="仿宋" w:eastAsia="仿宋" w:cs="仿宋"/>
          <w:b/>
          <w:bCs/>
          <w:sz w:val="36"/>
          <w:szCs w:val="36"/>
          <w:highlight w:val="none"/>
        </w:rPr>
      </w:pPr>
    </w:p>
    <w:p>
      <w:pPr>
        <w:pStyle w:val="24"/>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投标人或生产厂商202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2"/>
        <w:tblW w:w="93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986"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5" w:hRule="atLeast"/>
          <w:jc w:val="center"/>
        </w:trPr>
        <w:tc>
          <w:tcPr>
            <w:tcW w:w="986" w:type="dxa"/>
            <w:noWrap w:val="0"/>
            <w:vAlign w:val="center"/>
          </w:tcPr>
          <w:p>
            <w:pPr>
              <w:rPr>
                <w:rFonts w:hint="eastAsia" w:ascii="仿宋" w:hAnsi="仿宋" w:eastAsia="仿宋" w:cs="仿宋"/>
                <w:sz w:val="24"/>
                <w:szCs w:val="24"/>
                <w:highlight w:val="none"/>
              </w:rPr>
            </w:pPr>
          </w:p>
        </w:tc>
        <w:tc>
          <w:tcPr>
            <w:tcW w:w="2115" w:type="dxa"/>
            <w:noWrap w:val="0"/>
            <w:vAlign w:val="center"/>
          </w:tcPr>
          <w:p>
            <w:pPr>
              <w:rPr>
                <w:rFonts w:hint="eastAsia" w:ascii="仿宋" w:hAnsi="仿宋" w:eastAsia="仿宋" w:cs="仿宋"/>
                <w:sz w:val="24"/>
                <w:szCs w:val="24"/>
                <w:highlight w:val="none"/>
              </w:rPr>
            </w:pPr>
          </w:p>
        </w:tc>
        <w:tc>
          <w:tcPr>
            <w:tcW w:w="1761" w:type="dxa"/>
            <w:noWrap w:val="0"/>
            <w:vAlign w:val="center"/>
          </w:tcPr>
          <w:p>
            <w:pPr>
              <w:rPr>
                <w:rFonts w:hint="eastAsia" w:ascii="仿宋" w:hAnsi="仿宋" w:eastAsia="仿宋" w:cs="仿宋"/>
                <w:sz w:val="24"/>
                <w:szCs w:val="24"/>
                <w:highlight w:val="none"/>
              </w:rPr>
            </w:pPr>
          </w:p>
        </w:tc>
        <w:tc>
          <w:tcPr>
            <w:tcW w:w="1427" w:type="dxa"/>
            <w:noWrap w:val="0"/>
            <w:vAlign w:val="center"/>
          </w:tcPr>
          <w:p>
            <w:pPr>
              <w:rPr>
                <w:rFonts w:hint="eastAsia" w:ascii="仿宋" w:hAnsi="仿宋" w:eastAsia="仿宋" w:cs="仿宋"/>
                <w:sz w:val="24"/>
                <w:szCs w:val="24"/>
                <w:highlight w:val="none"/>
              </w:rPr>
            </w:pPr>
          </w:p>
        </w:tc>
        <w:tc>
          <w:tcPr>
            <w:tcW w:w="1426" w:type="dxa"/>
            <w:noWrap w:val="0"/>
            <w:vAlign w:val="center"/>
          </w:tcPr>
          <w:p>
            <w:pPr>
              <w:rPr>
                <w:rFonts w:hint="eastAsia" w:ascii="仿宋" w:hAnsi="仿宋" w:eastAsia="仿宋" w:cs="仿宋"/>
                <w:sz w:val="24"/>
                <w:szCs w:val="24"/>
                <w:highlight w:val="none"/>
              </w:rPr>
            </w:pPr>
          </w:p>
        </w:tc>
        <w:tc>
          <w:tcPr>
            <w:tcW w:w="1602" w:type="dxa"/>
            <w:noWrap w:val="0"/>
            <w:vAlign w:val="center"/>
          </w:tcPr>
          <w:p>
            <w:pPr>
              <w:rPr>
                <w:rFonts w:hint="eastAsia" w:ascii="仿宋" w:hAnsi="仿宋" w:eastAsia="仿宋" w:cs="仿宋"/>
                <w:sz w:val="24"/>
                <w:szCs w:val="24"/>
                <w:highlight w:val="none"/>
              </w:rPr>
            </w:pPr>
          </w:p>
        </w:tc>
      </w:tr>
    </w:tbl>
    <w:p>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hint="eastAsia"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pPr>
        <w:pStyle w:val="24"/>
        <w:spacing w:line="520" w:lineRule="exact"/>
        <w:jc w:val="center"/>
        <w:rPr>
          <w:rFonts w:hint="eastAsia" w:ascii="仿宋" w:hAnsi="仿宋" w:eastAsia="仿宋" w:cs="仿宋"/>
          <w:b/>
          <w:bCs/>
          <w:sz w:val="30"/>
          <w:szCs w:val="30"/>
          <w:highlight w:val="none"/>
        </w:rPr>
      </w:pPr>
    </w:p>
    <w:p>
      <w:pPr>
        <w:pStyle w:val="24"/>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2"/>
        <w:tblW w:w="97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atLeast"/>
          <w:jc w:val="center"/>
        </w:trPr>
        <w:tc>
          <w:tcPr>
            <w:tcW w:w="468" w:type="dxa"/>
            <w:vMerge w:val="restart"/>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3" w:hRule="atLeast"/>
          <w:jc w:val="center"/>
        </w:trPr>
        <w:tc>
          <w:tcPr>
            <w:tcW w:w="468" w:type="dxa"/>
            <w:vMerge w:val="continue"/>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pPr>
              <w:pStyle w:val="24"/>
              <w:spacing w:line="400" w:lineRule="exact"/>
              <w:jc w:val="center"/>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4"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3" w:hRule="atLeast"/>
          <w:jc w:val="center"/>
        </w:trPr>
        <w:tc>
          <w:tcPr>
            <w:tcW w:w="468" w:type="dxa"/>
            <w:noWrap w:val="0"/>
            <w:vAlign w:val="top"/>
          </w:tcPr>
          <w:p>
            <w:pPr>
              <w:pStyle w:val="24"/>
              <w:spacing w:line="400" w:lineRule="exact"/>
              <w:rPr>
                <w:rFonts w:ascii="仿宋" w:hAnsi="仿宋" w:eastAsia="仿宋" w:cs="仿宋"/>
                <w:sz w:val="24"/>
                <w:szCs w:val="24"/>
                <w:highlight w:val="none"/>
              </w:rPr>
            </w:pPr>
          </w:p>
        </w:tc>
        <w:tc>
          <w:tcPr>
            <w:tcW w:w="1236" w:type="dxa"/>
            <w:noWrap w:val="0"/>
            <w:vAlign w:val="top"/>
          </w:tcPr>
          <w:p>
            <w:pPr>
              <w:pStyle w:val="24"/>
              <w:spacing w:line="400" w:lineRule="exact"/>
              <w:rPr>
                <w:rFonts w:ascii="仿宋" w:hAnsi="仿宋" w:eastAsia="仿宋" w:cs="仿宋"/>
                <w:sz w:val="24"/>
                <w:szCs w:val="24"/>
                <w:highlight w:val="none"/>
              </w:rPr>
            </w:pPr>
          </w:p>
        </w:tc>
        <w:tc>
          <w:tcPr>
            <w:tcW w:w="2657" w:type="dxa"/>
            <w:noWrap w:val="0"/>
            <w:vAlign w:val="top"/>
          </w:tcPr>
          <w:p>
            <w:pPr>
              <w:pStyle w:val="24"/>
              <w:spacing w:line="400" w:lineRule="exact"/>
              <w:rPr>
                <w:rFonts w:ascii="仿宋" w:hAnsi="仿宋" w:eastAsia="仿宋" w:cs="仿宋"/>
                <w:sz w:val="24"/>
                <w:szCs w:val="24"/>
                <w:highlight w:val="none"/>
              </w:rPr>
            </w:pPr>
          </w:p>
        </w:tc>
        <w:tc>
          <w:tcPr>
            <w:tcW w:w="1417" w:type="dxa"/>
            <w:noWrap w:val="0"/>
            <w:vAlign w:val="top"/>
          </w:tcPr>
          <w:p>
            <w:pPr>
              <w:pStyle w:val="24"/>
              <w:spacing w:line="400" w:lineRule="exact"/>
              <w:rPr>
                <w:rFonts w:ascii="仿宋" w:hAnsi="仿宋" w:eastAsia="仿宋" w:cs="仿宋"/>
                <w:sz w:val="24"/>
                <w:szCs w:val="24"/>
                <w:highlight w:val="none"/>
              </w:rPr>
            </w:pPr>
          </w:p>
        </w:tc>
        <w:tc>
          <w:tcPr>
            <w:tcW w:w="2694" w:type="dxa"/>
            <w:noWrap w:val="0"/>
            <w:vAlign w:val="top"/>
          </w:tcPr>
          <w:p>
            <w:pPr>
              <w:pStyle w:val="24"/>
              <w:spacing w:line="400" w:lineRule="exact"/>
              <w:rPr>
                <w:rFonts w:ascii="仿宋" w:hAnsi="仿宋" w:eastAsia="仿宋" w:cs="仿宋"/>
                <w:sz w:val="24"/>
                <w:szCs w:val="24"/>
                <w:highlight w:val="none"/>
              </w:rPr>
            </w:pPr>
          </w:p>
        </w:tc>
        <w:tc>
          <w:tcPr>
            <w:tcW w:w="1293" w:type="dxa"/>
            <w:noWrap w:val="0"/>
            <w:vAlign w:val="top"/>
          </w:tcPr>
          <w:p>
            <w:pPr>
              <w:pStyle w:val="24"/>
              <w:spacing w:line="400" w:lineRule="exact"/>
              <w:rPr>
                <w:rFonts w:ascii="仿宋" w:hAnsi="仿宋" w:eastAsia="仿宋" w:cs="仿宋"/>
                <w:sz w:val="24"/>
                <w:szCs w:val="24"/>
                <w:highlight w:val="none"/>
              </w:rPr>
            </w:pPr>
          </w:p>
        </w:tc>
      </w:tr>
    </w:tbl>
    <w:p>
      <w:pPr>
        <w:pStyle w:val="24"/>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pPr>
        <w:spacing w:line="360" w:lineRule="exact"/>
        <w:ind w:firstLine="4200" w:firstLineChars="1750"/>
        <w:rPr>
          <w:rFonts w:ascii="仿宋" w:hAnsi="仿宋" w:eastAsia="仿宋" w:cs="仿宋"/>
          <w:sz w:val="24"/>
          <w:szCs w:val="24"/>
          <w:highlight w:val="none"/>
        </w:rPr>
      </w:pPr>
    </w:p>
    <w:p>
      <w:pPr>
        <w:spacing w:line="360" w:lineRule="exact"/>
        <w:ind w:firstLine="4200" w:firstLineChars="1750"/>
        <w:rPr>
          <w:rFonts w:ascii="仿宋" w:hAnsi="仿宋" w:eastAsia="仿宋" w:cs="仿宋"/>
          <w:sz w:val="24"/>
          <w:szCs w:val="24"/>
          <w:highlight w:val="none"/>
        </w:rPr>
      </w:pPr>
    </w:p>
    <w:p>
      <w:pPr>
        <w:spacing w:line="360" w:lineRule="exact"/>
        <w:ind w:firstLine="4200" w:firstLineChars="1750"/>
        <w:rPr>
          <w:rFonts w:ascii="仿宋" w:hAnsi="仿宋" w:eastAsia="仿宋" w:cs="仿宋"/>
          <w:sz w:val="24"/>
          <w:szCs w:val="24"/>
          <w:highlight w:val="none"/>
        </w:rPr>
      </w:pP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pPr>
        <w:spacing w:line="460" w:lineRule="exact"/>
        <w:jc w:val="center"/>
        <w:rPr>
          <w:rFonts w:hint="eastAsia" w:ascii="仿宋" w:hAnsi="仿宋" w:eastAsia="仿宋" w:cs="仿宋"/>
          <w:b/>
          <w:kern w:val="0"/>
          <w:sz w:val="36"/>
          <w:szCs w:val="36"/>
          <w:highlight w:val="none"/>
        </w:rPr>
      </w:pPr>
    </w:p>
    <w:p>
      <w:pPr>
        <w:spacing w:line="460" w:lineRule="exact"/>
        <w:jc w:val="center"/>
        <w:rPr>
          <w:rFonts w:hint="eastAsia" w:ascii="仿宋" w:hAnsi="仿宋" w:eastAsia="仿宋" w:cs="仿宋"/>
          <w:b/>
          <w:kern w:val="0"/>
          <w:sz w:val="36"/>
          <w:szCs w:val="36"/>
          <w:highlight w:val="none"/>
        </w:rPr>
      </w:pPr>
    </w:p>
    <w:p>
      <w:pPr>
        <w:spacing w:line="460" w:lineRule="exact"/>
        <w:jc w:val="center"/>
        <w:rPr>
          <w:rFonts w:hint="eastAsia" w:ascii="仿宋" w:hAnsi="仿宋" w:eastAsia="仿宋" w:cs="仿宋"/>
          <w:b/>
          <w:kern w:val="0"/>
          <w:sz w:val="36"/>
          <w:szCs w:val="36"/>
          <w:highlight w:val="none"/>
        </w:rPr>
      </w:pPr>
    </w:p>
    <w:p>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pPr>
        <w:pStyle w:val="24"/>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pPr>
        <w:pStyle w:val="24"/>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pPr>
        <w:pStyle w:val="24"/>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w:t>
      </w:r>
      <w:bookmarkStart w:id="25" w:name="_GoBack"/>
      <w:bookmarkEnd w:id="25"/>
      <w:r>
        <w:rPr>
          <w:rFonts w:hint="eastAsia" w:ascii="仿宋" w:hAnsi="仿宋" w:eastAsia="仿宋" w:cs="仿宋"/>
          <w:sz w:val="24"/>
          <w:szCs w:val="24"/>
          <w:highlight w:val="none"/>
        </w:rPr>
        <w:t>关服务方案</w:t>
      </w:r>
    </w:p>
    <w:p>
      <w:pPr>
        <w:pStyle w:val="24"/>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招标编号：WHSW-SWT2026-001</w:t>
      </w:r>
    </w:p>
    <w:p>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pPr>
        <w:pStyle w:val="37"/>
        <w:rPr>
          <w:rFonts w:hint="eastAsia" w:ascii="仿宋" w:hAnsi="仿宋" w:eastAsia="仿宋" w:cs="仿宋"/>
          <w:highlight w:val="none"/>
        </w:rPr>
      </w:pPr>
    </w:p>
    <w:p>
      <w:pPr>
        <w:snapToGrid w:val="0"/>
        <w:spacing w:line="360" w:lineRule="auto"/>
        <w:ind w:firstLine="480"/>
        <w:rPr>
          <w:rFonts w:hint="eastAsia" w:ascii="仿宋" w:hAnsi="仿宋" w:eastAsia="仿宋" w:cs="仿宋"/>
          <w:sz w:val="24"/>
          <w:szCs w:val="24"/>
          <w:highlight w:val="none"/>
          <w:u w:val="single"/>
        </w:rPr>
      </w:pPr>
      <w:bookmarkStart w:id="23" w:name="_Toc325358070"/>
      <w:bookmarkStart w:id="24" w:name="_Toc183264312"/>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可选择依据有关制度规定对乙方履约情况进行评价，合格则续签合同，续签不超过2次。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pPr>
        <w:snapToGrid w:val="0"/>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2"/>
        <w:tblW w:w="84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仿宋" w:hAnsi="仿宋" w:eastAsia="仿宋" w:cs="仿宋"/>
                <w:color w:val="auto"/>
                <w:sz w:val="24"/>
                <w:szCs w:val="24"/>
                <w:highlight w:val="none"/>
              </w:rPr>
            </w:pPr>
          </w:p>
        </w:tc>
      </w:tr>
    </w:tbl>
    <w:p>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pPr>
        <w:keepNext w:val="0"/>
        <w:keepLines w:val="0"/>
        <w:pageBreakBefore w:val="0"/>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pPr>
        <w:pStyle w:val="76"/>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pPr>
        <w:pStyle w:val="76"/>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pPr>
        <w:pStyle w:val="76"/>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2"/>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（4）甲方指定乙方为本合同所供药剂的唯一供应商。</w:t>
      </w:r>
    </w:p>
    <w:p>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（5）乙方为本合同所供药剂的唯一供应商，应直接供应商品，不得转让他人供应；</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2"/>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30" w:type="dxa"/>
            <w:noWrap w:val="0"/>
            <w:vAlign w:val="top"/>
          </w:tcPr>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pPr>
                            <w:pStyle w:val="29"/>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ADMeA1AAAAAMBAAAPAAAAAAAAAAEAIAAAACIAAABkcnMvZG93bnJldi54bWxQSwECFAAU&#10;AAAACACHTuJAWxDjKbwBAABTAwAADgAAAAAAAAABACAAAAAjAQAAZHJzL2Uyb0RvYy54bWxQSwUG&#10;AAAAAAYABgBZAQAAUQUAAAAA&#10;">
              <v:fill on="f" focussize="0,0"/>
              <v:stroke on="f" weight="1.2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29"/>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EPlfknQAAAA&#10;AwEAAA8AAAAAAAAAAQAgAAAAIgAAAGRycy9kb3ducmV2LnhtbFBLAQIUABQAAAAIAIdO4kA0OPwI&#10;swEAAEkDAAAOAAAAAAAAAAEAIAAAAB8BAABkcnMvZTJvRG9jLnhtbFBLBQYAAAAABgAGAFkBAABE&#10;BQAAAAA=&#10;">
              <v:fill on="f" focussize="0,0"/>
              <v:stroke on="f"/>
              <v:imagedata o:title=""/>
              <o:lock v:ext="edit" aspectratio="f"/>
              <v:textbox inset="0mm,0mm,0mm,0mm" style="mso-fit-shape-to-text:t;">
                <w:txbxContent>
                  <w:p>
                    <w:pPr>
                      <w:pStyle w:val="29"/>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29"/>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Q+V+SdAA&#10;AAADAQAADwAAAAAAAAABACAAAAAiAAAAZHJzL2Rvd25yZXYueG1sUEsBAhQAFAAAAAgAh07iQJyt&#10;nZC1AQAATAMAAA4AAAAAAAAAAQAgAAAAHwEAAGRycy9lMm9Eb2MueG1sUEsFBgAAAAAGAAYAWQEA&#10;AEYFAAAAAA==&#10;">
              <v:fill on="f" focussize="0,0"/>
              <v:stroke on="f"/>
              <v:imagedata o:title=""/>
              <o:lock v:ext="edit" aspectratio="f"/>
              <v:textbox inset="0mm,0mm,0mm,0mm" style="mso-fit-shape-to-text:t;">
                <w:txbxContent>
                  <w:p>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2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D5X5J0AAA&#10;AAMBAAAPAAAAAAAAAAEAIAAAACIAAABkcnMvZG93bnJldi54bWxQSwECFAAUAAAACACHTuJAblYf&#10;wLQBAABJAwAADgAAAAAAAAABACAAAAAfAQAAZHJzL2Uyb0RvYy54bWxQSwUGAAAAAAYABgBZAQAA&#10;RQ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pPr>
                            <w:pStyle w:val="29"/>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gyIUc&#10;0AAAAAMBAAAPAAAAAAAAAAEAIAAAACIAAABkcnMvZG93bnJldi54bWxQSwECFAAUAAAACACHTuJA&#10;O6uEYbcBAABMAwAADgAAAAAAAAABACAAAAAfAQAAZHJzL2Uyb0RvYy54bWxQSwUGAAAAAAYABgBZ&#10;AQAASAU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29"/>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PlfknQ&#10;AAAAAwEAAA8AAAAAAAAAAQAgAAAAIgAAAGRycy9kb3ducmV2LnhtbFBLAQIUABQAAAAIAIdO4kA1&#10;iwtatgEAAEwDAAAOAAAAAAAAAAEAIAAAAB8BAABkcnMvZTJvRG9jLnhtbFBLBQYAAAAABgAGAFkB&#10;AABHBQAAAAA=&#10;">
              <v:fill on="f" focussize="0,0"/>
              <v:stroke on="f"/>
              <v:imagedata o:title=""/>
              <o:lock v:ext="edit" aspectratio="f"/>
              <v:textbox inset="0mm,0mm,0mm,0mm" style="mso-fit-shape-to-text:t;">
                <w:txbxContent>
                  <w:p>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2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EPlfknQAAAA&#10;AwEAAA8AAAAAAAAAAQAgAAAAIgAAAGRycy9kb3ducmV2LnhtbFBLAQIUABQAAAAIAIdO4kALP/Cl&#10;swEAAEkDAAAOAAAAAAAAAAEAIAAAAB8BAABkcnMvZTJvRG9jLnhtbFBLBQYAAAAABgAGAFkBAABE&#10;BQ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pPr>
                            <w:pStyle w:val="29"/>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DIhRzQ&#10;AAAAAwEAAA8AAAAAAAAAAQAgAAAAIgAAAGRycy9kb3ducmV2LnhtbFBLAQIUABQAAAAIAIdO4kCS&#10;jRKrtgEAAEwDAAAOAAAAAAAAAAEAIAAAAB8BAABkcnMvZTJvRG9jLnhtbFBLBQYAAAAABgAGAFkB&#10;AABHBQAAAAA=&#10;">
              <v:fill on="f" focussize="0,0"/>
              <v:stroke on="f"/>
              <v:imagedata o:title=""/>
              <o:lock v:ext="edit" aspectratio="f"/>
              <v:textbox inset="0mm,0mm,0mm,0mm" style="mso-fit-shape-to-text:t;">
                <w:txbxContent>
                  <w:p>
                    <w:pPr>
                      <w:pStyle w:val="29"/>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34E0E6A8"/>
    <w:multiLevelType w:val="singleLevel"/>
    <w:tmpl w:val="34E0E6A8"/>
    <w:lvl w:ilvl="0" w:tentative="0">
      <w:start w:val="1"/>
      <w:numFmt w:val="decimal"/>
      <w:suff w:val="nothing"/>
      <w:lvlText w:val="%1、"/>
      <w:lvlJc w:val="left"/>
    </w:lvl>
  </w:abstractNum>
  <w:abstractNum w:abstractNumId="2">
    <w:nsid w:val="5852C880"/>
    <w:multiLevelType w:val="singleLevel"/>
    <w:tmpl w:val="5852C880"/>
    <w:lvl w:ilvl="0" w:tentative="0">
      <w:start w:val="1"/>
      <w:numFmt w:val="decimal"/>
      <w:suff w:val="nothing"/>
      <w:lvlText w:val="%1、"/>
      <w:lvlJc w:val="left"/>
    </w:lvl>
  </w:abstractNum>
  <w:abstractNum w:abstractNumId="3">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8B094A"/>
    <w:rsid w:val="109E0A4B"/>
    <w:rsid w:val="10AD2D88"/>
    <w:rsid w:val="10EA2BC5"/>
    <w:rsid w:val="10F414EA"/>
    <w:rsid w:val="10FA0DBF"/>
    <w:rsid w:val="11166793"/>
    <w:rsid w:val="11293107"/>
    <w:rsid w:val="112E5EC1"/>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D641E0"/>
    <w:rsid w:val="18F719F9"/>
    <w:rsid w:val="193446F8"/>
    <w:rsid w:val="193631F2"/>
    <w:rsid w:val="19A80665"/>
    <w:rsid w:val="19AA0184"/>
    <w:rsid w:val="19E03E83"/>
    <w:rsid w:val="19E42FA8"/>
    <w:rsid w:val="19EA6CD0"/>
    <w:rsid w:val="1A2076E9"/>
    <w:rsid w:val="1A2F6FA0"/>
    <w:rsid w:val="1A4678C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D76825"/>
    <w:rsid w:val="20DB3072"/>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1A0D91"/>
    <w:rsid w:val="2E55688B"/>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3F4944"/>
    <w:rsid w:val="4C4B52F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F3376"/>
    <w:rsid w:val="50760A57"/>
    <w:rsid w:val="50903563"/>
    <w:rsid w:val="50C42459"/>
    <w:rsid w:val="50C854B3"/>
    <w:rsid w:val="50CF01D2"/>
    <w:rsid w:val="50E2295D"/>
    <w:rsid w:val="50EC48E0"/>
    <w:rsid w:val="51017205"/>
    <w:rsid w:val="512110B0"/>
    <w:rsid w:val="51275918"/>
    <w:rsid w:val="5138767D"/>
    <w:rsid w:val="514477A1"/>
    <w:rsid w:val="515E513F"/>
    <w:rsid w:val="51653A78"/>
    <w:rsid w:val="51675ADE"/>
    <w:rsid w:val="516F16A8"/>
    <w:rsid w:val="51D862A4"/>
    <w:rsid w:val="51E66A28"/>
    <w:rsid w:val="521D47E0"/>
    <w:rsid w:val="5247586A"/>
    <w:rsid w:val="5271389B"/>
    <w:rsid w:val="52927EBD"/>
    <w:rsid w:val="52953DA4"/>
    <w:rsid w:val="52A575BB"/>
    <w:rsid w:val="52BE3C8F"/>
    <w:rsid w:val="52DE4138"/>
    <w:rsid w:val="530E2C43"/>
    <w:rsid w:val="5322125E"/>
    <w:rsid w:val="532A2228"/>
    <w:rsid w:val="535320ED"/>
    <w:rsid w:val="53644E32"/>
    <w:rsid w:val="5371289D"/>
    <w:rsid w:val="53DE6D19"/>
    <w:rsid w:val="53F61DBC"/>
    <w:rsid w:val="53FF3638"/>
    <w:rsid w:val="540235C5"/>
    <w:rsid w:val="54036473"/>
    <w:rsid w:val="540A5C84"/>
    <w:rsid w:val="540E63A1"/>
    <w:rsid w:val="54457114"/>
    <w:rsid w:val="547D79BE"/>
    <w:rsid w:val="54844437"/>
    <w:rsid w:val="549C03CB"/>
    <w:rsid w:val="54A0116D"/>
    <w:rsid w:val="550058CC"/>
    <w:rsid w:val="55124B31"/>
    <w:rsid w:val="553E36FF"/>
    <w:rsid w:val="556128E7"/>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695363"/>
    <w:rsid w:val="679D028A"/>
    <w:rsid w:val="68275CED"/>
    <w:rsid w:val="683F3A37"/>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B200D0"/>
    <w:rsid w:val="6DD4077E"/>
    <w:rsid w:val="6DEA4604"/>
    <w:rsid w:val="6DFB7BC5"/>
    <w:rsid w:val="6E932C1C"/>
    <w:rsid w:val="6EB94CA1"/>
    <w:rsid w:val="6EE07AA3"/>
    <w:rsid w:val="6EEB8E5F"/>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285AC3"/>
    <w:rsid w:val="7C442F72"/>
    <w:rsid w:val="7C443F36"/>
    <w:rsid w:val="7C6333F8"/>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unhideWhenUsed/>
    <w:qFormat/>
    <w:uiPriority w:val="99"/>
    <w:tblPr>
      <w:tblLayout w:type="fixed"/>
      <w:tblCellMar>
        <w:top w:w="0" w:type="dxa"/>
        <w:left w:w="108" w:type="dxa"/>
        <w:bottom w:w="0" w:type="dxa"/>
        <w:right w:w="108" w:type="dxa"/>
      </w:tblCellMar>
    </w:tblPr>
  </w:style>
  <w:style w:type="paragraph" w:customStyle="1" w:styleId="2">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w:basedOn w:val="1"/>
    <w:next w:val="1"/>
    <w:link w:val="114"/>
    <w:qFormat/>
    <w:uiPriority w:val="0"/>
    <w:pPr>
      <w:spacing w:after="120"/>
    </w:pPr>
    <w:rPr>
      <w:rFonts w:ascii="宋体" w:hAnsi="宋体"/>
      <w:kern w:val="0"/>
      <w:sz w:val="20"/>
      <w:szCs w:val="24"/>
    </w:rPr>
  </w:style>
  <w:style w:type="paragraph" w:styleId="18">
    <w:name w:val="Body Text Indent"/>
    <w:basedOn w:val="1"/>
    <w:next w:val="19"/>
    <w:link w:val="115"/>
    <w:qFormat/>
    <w:uiPriority w:val="0"/>
    <w:pPr>
      <w:spacing w:after="120"/>
      <w:ind w:left="420" w:leftChars="200"/>
    </w:pPr>
    <w:rPr>
      <w:rFonts w:ascii="宋体" w:hAnsi="宋体"/>
      <w:kern w:val="0"/>
      <w:sz w:val="20"/>
      <w:szCs w:val="24"/>
    </w:rPr>
  </w:style>
  <w:style w:type="paragraph" w:styleId="19">
    <w:name w:val="envelope return"/>
    <w:basedOn w:val="1"/>
    <w:qFormat/>
    <w:uiPriority w:val="0"/>
    <w:pPr>
      <w:snapToGrid w:val="0"/>
      <w:spacing w:line="360" w:lineRule="auto"/>
      <w:ind w:firstLine="200" w:firstLineChars="200"/>
    </w:pPr>
    <w:rPr>
      <w:rFonts w:ascii="Arial" w:hAnsi="Arial" w:cs="Arial"/>
      <w:sz w:val="24"/>
    </w:rPr>
  </w:style>
  <w:style w:type="paragraph" w:styleId="20">
    <w:name w:val="List 2"/>
    <w:basedOn w:val="1"/>
    <w:qFormat/>
    <w:uiPriority w:val="0"/>
    <w:pPr>
      <w:ind w:left="100" w:leftChars="200" w:hanging="200" w:hangingChars="200"/>
      <w:contextualSpacing/>
    </w:pPr>
  </w:style>
  <w:style w:type="paragraph" w:styleId="21">
    <w:name w:val="Block Text"/>
    <w:basedOn w:val="1"/>
    <w:qFormat/>
    <w:uiPriority w:val="0"/>
    <w:pPr>
      <w:ind w:left="-4" w:right="-108"/>
    </w:pPr>
    <w:rPr>
      <w:rFonts w:ascii="宋体" w:hAnsi="Times New Roman"/>
      <w:sz w:val="28"/>
      <w:szCs w:val="20"/>
    </w:rPr>
  </w:style>
  <w:style w:type="paragraph" w:styleId="22">
    <w:name w:val="toc 5"/>
    <w:basedOn w:val="1"/>
    <w:next w:val="1"/>
    <w:semiHidden/>
    <w:qFormat/>
    <w:uiPriority w:val="0"/>
    <w:pPr>
      <w:ind w:left="800"/>
      <w:jc w:val="left"/>
    </w:pPr>
    <w:rPr>
      <w:rFonts w:ascii="Times New Roman" w:hAnsi="Times New Roman"/>
      <w:kern w:val="0"/>
      <w:sz w:val="18"/>
      <w:szCs w:val="18"/>
    </w:rPr>
  </w:style>
  <w:style w:type="paragraph" w:styleId="23">
    <w:name w:val="toc 3"/>
    <w:basedOn w:val="1"/>
    <w:next w:val="1"/>
    <w:semiHidden/>
    <w:qFormat/>
    <w:uiPriority w:val="0"/>
    <w:pPr>
      <w:ind w:left="400"/>
      <w:jc w:val="left"/>
    </w:pPr>
    <w:rPr>
      <w:rFonts w:ascii="Times New Roman" w:hAnsi="Times New Roman"/>
      <w:i/>
      <w:iCs/>
      <w:kern w:val="0"/>
      <w:sz w:val="20"/>
      <w:szCs w:val="20"/>
    </w:rPr>
  </w:style>
  <w:style w:type="paragraph" w:styleId="24">
    <w:name w:val="Plain Text"/>
    <w:basedOn w:val="1"/>
    <w:link w:val="116"/>
    <w:qFormat/>
    <w:uiPriority w:val="0"/>
    <w:rPr>
      <w:rFonts w:ascii="宋体" w:hAnsi="Courier New"/>
      <w:szCs w:val="20"/>
    </w:rPr>
  </w:style>
  <w:style w:type="paragraph" w:styleId="25">
    <w:name w:val="toc 8"/>
    <w:basedOn w:val="1"/>
    <w:next w:val="1"/>
    <w:semiHidden/>
    <w:qFormat/>
    <w:uiPriority w:val="0"/>
    <w:pPr>
      <w:ind w:left="1400"/>
      <w:jc w:val="left"/>
    </w:pPr>
    <w:rPr>
      <w:rFonts w:ascii="Times New Roman" w:hAnsi="Times New Roman"/>
      <w:kern w:val="0"/>
      <w:sz w:val="18"/>
      <w:szCs w:val="18"/>
    </w:rPr>
  </w:style>
  <w:style w:type="paragraph" w:styleId="26">
    <w:name w:val="Date"/>
    <w:basedOn w:val="1"/>
    <w:next w:val="1"/>
    <w:link w:val="117"/>
    <w:unhideWhenUsed/>
    <w:qFormat/>
    <w:uiPriority w:val="99"/>
    <w:pPr>
      <w:ind w:left="100" w:leftChars="2500"/>
    </w:pPr>
  </w:style>
  <w:style w:type="paragraph" w:styleId="27">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8">
    <w:name w:val="Balloon Text"/>
    <w:basedOn w:val="1"/>
    <w:link w:val="119"/>
    <w:unhideWhenUsed/>
    <w:qFormat/>
    <w:uiPriority w:val="99"/>
    <w:rPr>
      <w:kern w:val="0"/>
      <w:sz w:val="18"/>
      <w:szCs w:val="18"/>
    </w:rPr>
  </w:style>
  <w:style w:type="paragraph" w:styleId="29">
    <w:name w:val="footer"/>
    <w:basedOn w:val="1"/>
    <w:link w:val="120"/>
    <w:unhideWhenUsed/>
    <w:qFormat/>
    <w:uiPriority w:val="99"/>
    <w:pPr>
      <w:tabs>
        <w:tab w:val="center" w:pos="4153"/>
        <w:tab w:val="right" w:pos="8306"/>
      </w:tabs>
      <w:snapToGrid w:val="0"/>
      <w:jc w:val="left"/>
    </w:pPr>
    <w:rPr>
      <w:kern w:val="0"/>
      <w:sz w:val="18"/>
      <w:szCs w:val="18"/>
    </w:rPr>
  </w:style>
  <w:style w:type="paragraph" w:styleId="30">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2">
    <w:name w:val="toc 4"/>
    <w:basedOn w:val="1"/>
    <w:next w:val="1"/>
    <w:semiHidden/>
    <w:qFormat/>
    <w:uiPriority w:val="0"/>
    <w:pPr>
      <w:ind w:left="600"/>
      <w:jc w:val="left"/>
    </w:pPr>
    <w:rPr>
      <w:rFonts w:ascii="Times New Roman" w:hAnsi="Times New Roman"/>
      <w:kern w:val="0"/>
      <w:sz w:val="18"/>
      <w:szCs w:val="18"/>
    </w:rPr>
  </w:style>
  <w:style w:type="paragraph" w:styleId="33">
    <w:name w:val="toc 6"/>
    <w:basedOn w:val="1"/>
    <w:next w:val="1"/>
    <w:semiHidden/>
    <w:qFormat/>
    <w:uiPriority w:val="0"/>
    <w:pPr>
      <w:ind w:left="1000"/>
      <w:jc w:val="left"/>
    </w:pPr>
    <w:rPr>
      <w:rFonts w:ascii="Times New Roman" w:hAnsi="Times New Roman"/>
      <w:kern w:val="0"/>
      <w:sz w:val="18"/>
      <w:szCs w:val="18"/>
    </w:rPr>
  </w:style>
  <w:style w:type="paragraph" w:styleId="34">
    <w:name w:val="Body Text Indent 3"/>
    <w:basedOn w:val="1"/>
    <w:qFormat/>
    <w:uiPriority w:val="0"/>
    <w:pPr>
      <w:spacing w:after="120" w:afterLines="0"/>
      <w:ind w:left="420" w:leftChars="200"/>
    </w:pPr>
    <w:rPr>
      <w:sz w:val="16"/>
      <w:szCs w:val="16"/>
    </w:rPr>
  </w:style>
  <w:style w:type="paragraph" w:styleId="35">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6">
    <w:name w:val="toc 9"/>
    <w:basedOn w:val="1"/>
    <w:next w:val="1"/>
    <w:semiHidden/>
    <w:qFormat/>
    <w:uiPriority w:val="0"/>
    <w:pPr>
      <w:ind w:left="1600"/>
      <w:jc w:val="left"/>
    </w:pPr>
    <w:rPr>
      <w:rFonts w:ascii="Times New Roman" w:hAnsi="Times New Roman"/>
      <w:kern w:val="0"/>
      <w:sz w:val="18"/>
      <w:szCs w:val="18"/>
    </w:rPr>
  </w:style>
  <w:style w:type="paragraph" w:styleId="3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9">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40">
    <w:name w:val="annotation subject"/>
    <w:basedOn w:val="16"/>
    <w:next w:val="16"/>
    <w:link w:val="123"/>
    <w:semiHidden/>
    <w:qFormat/>
    <w:uiPriority w:val="0"/>
    <w:rPr>
      <w:rFonts w:ascii="宋体" w:hAnsi="宋体"/>
      <w:b/>
      <w:bCs/>
    </w:rPr>
  </w:style>
  <w:style w:type="paragraph" w:styleId="41">
    <w:name w:val="Body Text First Indent 2"/>
    <w:basedOn w:val="18"/>
    <w:next w:val="1"/>
    <w:qFormat/>
    <w:uiPriority w:val="0"/>
    <w:pPr>
      <w:spacing w:after="120"/>
      <w:ind w:left="200" w:leftChars="200" w:firstLine="420"/>
      <w:jc w:val="both"/>
    </w:pPr>
    <w:rPr>
      <w:rFonts w:ascii="Calibri" w:hAnsi="Calibri" w:eastAsia="宋体"/>
      <w:szCs w:val="24"/>
      <w:lang w:val="en-US"/>
    </w:rPr>
  </w:style>
  <w:style w:type="table" w:styleId="43">
    <w:name w:val="Table Grid"/>
    <w:basedOn w:val="4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45">
    <w:name w:val="Strong"/>
    <w:basedOn w:val="44"/>
    <w:qFormat/>
    <w:uiPriority w:val="22"/>
    <w:rPr>
      <w:b/>
      <w:bCs/>
    </w:rPr>
  </w:style>
  <w:style w:type="character" w:styleId="46">
    <w:name w:val="page number"/>
    <w:qFormat/>
    <w:uiPriority w:val="0"/>
  </w:style>
  <w:style w:type="character" w:styleId="47">
    <w:name w:val="FollowedHyperlink"/>
    <w:qFormat/>
    <w:uiPriority w:val="0"/>
    <w:rPr>
      <w:rFonts w:hint="eastAsia" w:ascii="微软雅黑" w:hAnsi="微软雅黑" w:eastAsia="微软雅黑" w:cs="微软雅黑"/>
      <w:color w:val="333333"/>
      <w:sz w:val="21"/>
      <w:szCs w:val="21"/>
      <w:u w:val="none"/>
    </w:rPr>
  </w:style>
  <w:style w:type="character" w:styleId="48">
    <w:name w:val="Emphasis"/>
    <w:qFormat/>
    <w:uiPriority w:val="20"/>
  </w:style>
  <w:style w:type="character" w:styleId="49">
    <w:name w:val="HTML Definition"/>
    <w:unhideWhenUsed/>
    <w:qFormat/>
    <w:uiPriority w:val="99"/>
  </w:style>
  <w:style w:type="character" w:styleId="50">
    <w:name w:val="HTML Typewriter"/>
    <w:unhideWhenUsed/>
    <w:qFormat/>
    <w:uiPriority w:val="99"/>
    <w:rPr>
      <w:rFonts w:hint="default" w:ascii="monospace" w:hAnsi="monospace" w:eastAsia="monospace" w:cs="monospace"/>
      <w:sz w:val="20"/>
    </w:rPr>
  </w:style>
  <w:style w:type="character" w:styleId="51">
    <w:name w:val="HTML Acronym"/>
    <w:unhideWhenUsed/>
    <w:qFormat/>
    <w:uiPriority w:val="99"/>
  </w:style>
  <w:style w:type="character" w:styleId="52">
    <w:name w:val="HTML Variable"/>
    <w:unhideWhenUsed/>
    <w:qFormat/>
    <w:uiPriority w:val="99"/>
  </w:style>
  <w:style w:type="character" w:styleId="53">
    <w:name w:val="Hyperlink"/>
    <w:qFormat/>
    <w:uiPriority w:val="0"/>
    <w:rPr>
      <w:rFonts w:hint="eastAsia" w:ascii="微软雅黑" w:hAnsi="微软雅黑" w:eastAsia="微软雅黑" w:cs="微软雅黑"/>
      <w:color w:val="333333"/>
      <w:sz w:val="21"/>
      <w:szCs w:val="21"/>
      <w:u w:val="none"/>
    </w:rPr>
  </w:style>
  <w:style w:type="character" w:styleId="54">
    <w:name w:val="HTML Code"/>
    <w:unhideWhenUsed/>
    <w:qFormat/>
    <w:uiPriority w:val="99"/>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unhideWhenUsed/>
    <w:qFormat/>
    <w:uiPriority w:val="99"/>
  </w:style>
  <w:style w:type="character" w:styleId="57">
    <w:name w:val="HTML Keyboard"/>
    <w:unhideWhenUsed/>
    <w:qFormat/>
    <w:uiPriority w:val="99"/>
    <w:rPr>
      <w:rFonts w:ascii="monospace" w:hAnsi="monospace" w:eastAsia="monospace" w:cs="monospace"/>
      <w:sz w:val="20"/>
    </w:rPr>
  </w:style>
  <w:style w:type="character" w:styleId="58">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9"/>
    <w:next w:val="41"/>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17"/>
    <w:qFormat/>
    <w:uiPriority w:val="0"/>
    <w:rPr>
      <w:rFonts w:ascii="宋体" w:hAnsi="宋体"/>
      <w:szCs w:val="24"/>
    </w:rPr>
  </w:style>
  <w:style w:type="character" w:customStyle="1" w:styleId="115">
    <w:name w:val="正文文本缩进 字符"/>
    <w:link w:val="18"/>
    <w:qFormat/>
    <w:uiPriority w:val="0"/>
    <w:rPr>
      <w:rFonts w:ascii="宋体" w:hAnsi="宋体"/>
      <w:szCs w:val="24"/>
    </w:rPr>
  </w:style>
  <w:style w:type="character" w:customStyle="1" w:styleId="116">
    <w:name w:val="纯文本 字符"/>
    <w:link w:val="24"/>
    <w:qFormat/>
    <w:uiPriority w:val="0"/>
    <w:rPr>
      <w:rFonts w:ascii="宋体" w:hAnsi="Courier New"/>
      <w:kern w:val="2"/>
      <w:sz w:val="21"/>
    </w:rPr>
  </w:style>
  <w:style w:type="character" w:customStyle="1" w:styleId="117">
    <w:name w:val="日期 字符"/>
    <w:link w:val="26"/>
    <w:semiHidden/>
    <w:qFormat/>
    <w:uiPriority w:val="99"/>
  </w:style>
  <w:style w:type="character" w:customStyle="1" w:styleId="118">
    <w:name w:val="正文文本缩进 2 字符"/>
    <w:link w:val="27"/>
    <w:qFormat/>
    <w:uiPriority w:val="0"/>
    <w:rPr>
      <w:rFonts w:ascii="宋体" w:hAnsi="宋体"/>
      <w:szCs w:val="24"/>
    </w:rPr>
  </w:style>
  <w:style w:type="character" w:customStyle="1" w:styleId="119">
    <w:name w:val="批注框文本 字符"/>
    <w:link w:val="28"/>
    <w:semiHidden/>
    <w:qFormat/>
    <w:uiPriority w:val="99"/>
    <w:rPr>
      <w:sz w:val="18"/>
      <w:szCs w:val="18"/>
    </w:rPr>
  </w:style>
  <w:style w:type="character" w:customStyle="1" w:styleId="120">
    <w:name w:val="页脚 字符"/>
    <w:link w:val="29"/>
    <w:qFormat/>
    <w:uiPriority w:val="99"/>
    <w:rPr>
      <w:sz w:val="18"/>
      <w:szCs w:val="18"/>
    </w:rPr>
  </w:style>
  <w:style w:type="character" w:customStyle="1" w:styleId="121">
    <w:name w:val="页眉 字符"/>
    <w:link w:val="30"/>
    <w:qFormat/>
    <w:uiPriority w:val="99"/>
    <w:rPr>
      <w:sz w:val="18"/>
      <w:szCs w:val="18"/>
    </w:rPr>
  </w:style>
  <w:style w:type="character" w:customStyle="1" w:styleId="122">
    <w:name w:val="标题 字符"/>
    <w:link w:val="39"/>
    <w:qFormat/>
    <w:uiPriority w:val="0"/>
    <w:rPr>
      <w:rFonts w:ascii="Arial" w:hAnsi="Arial" w:cs="Arial"/>
      <w:b/>
      <w:bCs/>
      <w:sz w:val="32"/>
      <w:szCs w:val="32"/>
    </w:rPr>
  </w:style>
  <w:style w:type="character" w:customStyle="1" w:styleId="123">
    <w:name w:val="批注主题 字符"/>
    <w:link w:val="40"/>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4"/>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4"/>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84</Pages>
  <Words>24695</Words>
  <Characters>26869</Characters>
  <Lines>273</Lines>
  <Paragraphs>77</Paragraphs>
  <TotalTime>11</TotalTime>
  <ScaleCrop>false</ScaleCrop>
  <LinksUpToDate>false</LinksUpToDate>
  <CharactersWithSpaces>26977</CharactersWithSpaces>
  <Application>WPS Office_11.1.0.8919_F1E327BC-269C-435d-A152-05C5408002CA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%E6%9D%A8%E6%99%93%E9%9D%92</cp:lastModifiedBy>
  <cp:lastPrinted>2023-04-20T00:59:00Z</cp:lastPrinted>
  <dcterms:modified xsi:type="dcterms:W3CDTF">2026-06-26T08:25:27Z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y fmtid="{D5CDD505-2E9C-101B-9397-08002B2CF9AE}" pid="3" name="ICV">
    <vt:lpwstr>6AA2CA33DA7444EAAC367BC6EEC8B909_13</vt:lpwstr>
  </property>
  <property fmtid="{D5CDD505-2E9C-101B-9397-08002B2CF9AE}" pid="4" name="KSOTemplateDocerSaveRecord">
    <vt:lpwstr>eyJoZGlkIjoiZmMxMzNmNmU5NjQ4MmQxNjZkYzRkNWUwOWQ2YmE3ZGYiLCJ1c2VySWQiOiI1OTIxMTQ3MDkifQ==</vt:lpwstr>
  </property>
</Properties>
</file>