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81C5F">
      <w:pPr>
        <w:jc w:val="right"/>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28"/>
          <w:szCs w:val="28"/>
          <w:highlight w:val="none"/>
        </w:rPr>
        <w:drawing>
          <wp:anchor distT="0" distB="0" distL="114300" distR="114300" simplePos="0" relativeHeight="251659264" behindDoc="0" locked="0" layoutInCell="1" allowOverlap="1">
            <wp:simplePos x="0" y="0"/>
            <wp:positionH relativeFrom="column">
              <wp:posOffset>36195</wp:posOffset>
            </wp:positionH>
            <wp:positionV relativeFrom="paragraph">
              <wp:posOffset>70485</wp:posOffset>
            </wp:positionV>
            <wp:extent cx="1297305" cy="1265555"/>
            <wp:effectExtent l="0" t="0" r="17145" b="10795"/>
            <wp:wrapNone/>
            <wp:docPr id="1" name="图片 3"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111"/>
                    <pic:cNvPicPr>
                      <a:picLocks noChangeAspect="1"/>
                    </pic:cNvPicPr>
                  </pic:nvPicPr>
                  <pic:blipFill>
                    <a:blip r:embed="rId13"/>
                    <a:stretch>
                      <a:fillRect/>
                    </a:stretch>
                  </pic:blipFill>
                  <pic:spPr>
                    <a:xfrm>
                      <a:off x="0" y="0"/>
                      <a:ext cx="1297305" cy="1265555"/>
                    </a:xfrm>
                    <a:prstGeom prst="rect">
                      <a:avLst/>
                    </a:prstGeom>
                    <a:noFill/>
                    <a:ln>
                      <a:noFill/>
                    </a:ln>
                  </pic:spPr>
                </pic:pic>
              </a:graphicData>
            </a:graphic>
          </wp:anchor>
        </w:drawing>
      </w:r>
      <w:r>
        <w:rPr>
          <w:rFonts w:hint="eastAsia" w:ascii="仿宋" w:hAnsi="仿宋" w:eastAsia="仿宋" w:cs="仿宋"/>
          <w:color w:val="auto"/>
          <w:sz w:val="30"/>
          <w:szCs w:val="30"/>
          <w:highlight w:val="none"/>
        </w:rPr>
        <w:t>招标编号：</w:t>
      </w:r>
      <w:r>
        <w:rPr>
          <w:rFonts w:hint="eastAsia" w:ascii="仿宋" w:hAnsi="仿宋" w:eastAsia="仿宋" w:cs="仿宋"/>
          <w:color w:val="auto"/>
          <w:sz w:val="30"/>
          <w:szCs w:val="30"/>
          <w:highlight w:val="none"/>
          <w:lang w:eastAsia="zh-CN"/>
        </w:rPr>
        <w:t>WHSW-JPS2026-005</w:t>
      </w:r>
    </w:p>
    <w:p w14:paraId="7D9FC977">
      <w:pPr>
        <w:pStyle w:val="5"/>
        <w:rPr>
          <w:rFonts w:hint="eastAsia" w:ascii="仿宋" w:hAnsi="仿宋" w:eastAsia="仿宋" w:cs="仿宋"/>
          <w:color w:val="auto"/>
          <w:highlight w:val="none"/>
        </w:rPr>
      </w:pPr>
    </w:p>
    <w:p w14:paraId="15715AC6">
      <w:pPr>
        <w:rPr>
          <w:rFonts w:hint="eastAsia" w:ascii="仿宋" w:hAnsi="仿宋" w:eastAsia="仿宋" w:cs="仿宋"/>
          <w:color w:val="auto"/>
          <w:highlight w:val="none"/>
        </w:rPr>
      </w:pPr>
    </w:p>
    <w:p w14:paraId="2F7F0DA2">
      <w:pPr>
        <w:pStyle w:val="51"/>
        <w:rPr>
          <w:rFonts w:hint="eastAsia" w:ascii="仿宋" w:hAnsi="仿宋" w:eastAsia="仿宋" w:cs="仿宋"/>
          <w:color w:val="auto"/>
          <w:highlight w:val="none"/>
        </w:rPr>
      </w:pPr>
    </w:p>
    <w:p w14:paraId="57AAE30F">
      <w:pPr>
        <w:pStyle w:val="51"/>
        <w:rPr>
          <w:rFonts w:hint="eastAsia" w:ascii="仿宋" w:hAnsi="仿宋" w:eastAsia="仿宋" w:cs="仿宋"/>
          <w:color w:val="auto"/>
          <w:highlight w:val="none"/>
        </w:rPr>
      </w:pPr>
    </w:p>
    <w:p w14:paraId="4AD0ABDA">
      <w:pPr>
        <w:pStyle w:val="34"/>
        <w:tabs>
          <w:tab w:val="left" w:pos="540"/>
        </w:tabs>
        <w:rPr>
          <w:rFonts w:hint="eastAsia" w:ascii="仿宋" w:hAnsi="仿宋" w:eastAsia="仿宋" w:cs="仿宋"/>
          <w:color w:val="auto"/>
          <w:highlight w:val="none"/>
        </w:rPr>
      </w:pPr>
    </w:p>
    <w:p w14:paraId="0BF18A9E">
      <w:pPr>
        <w:spacing w:line="700" w:lineRule="exact"/>
        <w:jc w:val="center"/>
        <w:rPr>
          <w:rFonts w:hint="eastAsia" w:ascii="仿宋" w:hAnsi="仿宋" w:eastAsia="仿宋" w:cs="仿宋"/>
          <w:b/>
          <w:bCs/>
          <w:color w:val="auto"/>
          <w:sz w:val="52"/>
          <w:szCs w:val="52"/>
          <w:highlight w:val="none"/>
        </w:rPr>
      </w:pPr>
      <w:r>
        <w:rPr>
          <w:rFonts w:hint="eastAsia" w:ascii="仿宋" w:hAnsi="仿宋" w:eastAsia="仿宋" w:cs="仿宋"/>
          <w:b/>
          <w:bCs/>
          <w:color w:val="auto"/>
          <w:kern w:val="0"/>
          <w:sz w:val="52"/>
          <w:szCs w:val="52"/>
          <w:highlight w:val="none"/>
          <w:lang w:val="en-US" w:eastAsia="zh-CN" w:bidi="ar"/>
        </w:rPr>
        <w:t>成大路（北虎口西红石山隧道内）供水主管道改造工程——PE管、管件采购</w:t>
      </w:r>
    </w:p>
    <w:p w14:paraId="75AC265C">
      <w:pPr>
        <w:pStyle w:val="13"/>
        <w:rPr>
          <w:rFonts w:hint="eastAsia" w:ascii="仿宋" w:hAnsi="仿宋" w:eastAsia="仿宋" w:cs="仿宋"/>
          <w:b/>
          <w:color w:val="auto"/>
          <w:sz w:val="36"/>
          <w:szCs w:val="36"/>
          <w:highlight w:val="none"/>
        </w:rPr>
      </w:pPr>
    </w:p>
    <w:p w14:paraId="36C847E0">
      <w:pPr>
        <w:pStyle w:val="13"/>
        <w:rPr>
          <w:rFonts w:hint="eastAsia" w:ascii="仿宋" w:hAnsi="仿宋" w:eastAsia="仿宋" w:cs="仿宋"/>
          <w:b/>
          <w:color w:val="auto"/>
          <w:sz w:val="24"/>
          <w:highlight w:val="none"/>
        </w:rPr>
      </w:pPr>
    </w:p>
    <w:p w14:paraId="78938BCD">
      <w:pPr>
        <w:pStyle w:val="16"/>
        <w:rPr>
          <w:rFonts w:hint="eastAsia" w:ascii="仿宋" w:hAnsi="仿宋" w:eastAsia="仿宋" w:cs="仿宋"/>
          <w:color w:val="auto"/>
          <w:highlight w:val="none"/>
        </w:rPr>
      </w:pPr>
    </w:p>
    <w:p w14:paraId="3ADD5CEA">
      <w:pPr>
        <w:jc w:val="center"/>
        <w:rPr>
          <w:rFonts w:hint="eastAsia" w:ascii="仿宋" w:hAnsi="仿宋" w:eastAsia="仿宋" w:cs="仿宋"/>
          <w:b/>
          <w:color w:val="auto"/>
          <w:spacing w:val="20"/>
          <w:sz w:val="72"/>
          <w:szCs w:val="72"/>
          <w:highlight w:val="none"/>
        </w:rPr>
      </w:pPr>
      <w:r>
        <w:rPr>
          <w:rFonts w:hint="eastAsia" w:ascii="仿宋" w:hAnsi="仿宋" w:eastAsia="仿宋" w:cs="仿宋"/>
          <w:b/>
          <w:color w:val="auto"/>
          <w:spacing w:val="20"/>
          <w:sz w:val="72"/>
          <w:szCs w:val="72"/>
          <w:highlight w:val="none"/>
        </w:rPr>
        <w:t>招标文件</w:t>
      </w:r>
    </w:p>
    <w:p w14:paraId="36D7BD61">
      <w:pPr>
        <w:spacing w:line="360" w:lineRule="auto"/>
        <w:rPr>
          <w:rFonts w:hint="eastAsia" w:ascii="仿宋" w:hAnsi="仿宋" w:eastAsia="仿宋" w:cs="仿宋"/>
          <w:b/>
          <w:bCs/>
          <w:color w:val="auto"/>
          <w:sz w:val="32"/>
          <w:szCs w:val="32"/>
          <w:highlight w:val="none"/>
        </w:rPr>
      </w:pPr>
    </w:p>
    <w:p w14:paraId="594926E2">
      <w:pPr>
        <w:jc w:val="center"/>
        <w:rPr>
          <w:rFonts w:hint="eastAsia" w:ascii="仿宋" w:hAnsi="仿宋" w:eastAsia="仿宋" w:cs="仿宋"/>
          <w:b/>
          <w:color w:val="auto"/>
          <w:sz w:val="28"/>
          <w:szCs w:val="28"/>
          <w:highlight w:val="none"/>
        </w:rPr>
      </w:pPr>
    </w:p>
    <w:p w14:paraId="4EABA5C8">
      <w:pPr>
        <w:pStyle w:val="51"/>
        <w:rPr>
          <w:rFonts w:hint="eastAsia" w:ascii="仿宋" w:hAnsi="仿宋" w:eastAsia="仿宋" w:cs="仿宋"/>
          <w:b/>
          <w:color w:val="auto"/>
          <w:sz w:val="28"/>
          <w:szCs w:val="28"/>
          <w:highlight w:val="none"/>
        </w:rPr>
      </w:pPr>
    </w:p>
    <w:p w14:paraId="0E6C19A4">
      <w:pPr>
        <w:pStyle w:val="51"/>
        <w:rPr>
          <w:rFonts w:hint="eastAsia" w:ascii="仿宋" w:hAnsi="仿宋" w:eastAsia="仿宋" w:cs="仿宋"/>
          <w:b/>
          <w:color w:val="auto"/>
          <w:sz w:val="28"/>
          <w:szCs w:val="28"/>
          <w:highlight w:val="none"/>
        </w:rPr>
      </w:pPr>
    </w:p>
    <w:p w14:paraId="585092B5">
      <w:pPr>
        <w:ind w:firstLine="1928" w:firstLineChars="600"/>
        <w:jc w:val="both"/>
        <w:rPr>
          <w:rFonts w:hint="eastAsia" w:ascii="仿宋" w:hAnsi="仿宋" w:eastAsia="仿宋" w:cs="仿宋"/>
          <w:b/>
          <w:bCs/>
          <w:color w:val="auto"/>
          <w:sz w:val="32"/>
          <w:szCs w:val="32"/>
          <w:highlight w:val="none"/>
        </w:rPr>
      </w:pPr>
    </w:p>
    <w:p w14:paraId="48D7C831">
      <w:pPr>
        <w:ind w:firstLine="1928" w:firstLineChars="600"/>
        <w:jc w:val="both"/>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t>招标人：</w:t>
      </w:r>
      <w:r>
        <w:rPr>
          <w:rFonts w:hint="eastAsia" w:ascii="仿宋" w:hAnsi="仿宋" w:eastAsia="仿宋" w:cs="仿宋"/>
          <w:b/>
          <w:bCs/>
          <w:color w:val="auto"/>
          <w:sz w:val="32"/>
          <w:szCs w:val="32"/>
          <w:highlight w:val="none"/>
          <w:lang w:eastAsia="zh-CN"/>
        </w:rPr>
        <w:t>威海市水务集团给排水工程有限公司</w:t>
      </w:r>
    </w:p>
    <w:p w14:paraId="489132CD">
      <w:pPr>
        <w:ind w:firstLine="1928" w:firstLineChars="6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招标代理机构：威海正华工程咨询有限公司</w:t>
      </w:r>
      <w:bookmarkStart w:id="0" w:name="_Toc10617"/>
      <w:bookmarkStart w:id="1" w:name="_Toc29450"/>
      <w:bookmarkStart w:id="2" w:name="_Toc12435"/>
    </w:p>
    <w:p w14:paraId="40DEC14F">
      <w:pPr>
        <w:ind w:firstLine="1928" w:firstLineChars="600"/>
        <w:jc w:val="both"/>
        <w:rPr>
          <w:rFonts w:hint="eastAsia" w:ascii="仿宋" w:hAnsi="仿宋" w:eastAsia="仿宋" w:cs="仿宋"/>
          <w:b/>
          <w:bCs w:val="0"/>
          <w:color w:val="auto"/>
          <w:sz w:val="32"/>
          <w:szCs w:val="32"/>
          <w:highlight w:val="none"/>
          <w:lang w:val="en-US" w:eastAsia="zh-CN"/>
        </w:rPr>
      </w:pPr>
      <w:r>
        <w:rPr>
          <w:rFonts w:hint="eastAsia" w:ascii="仿宋" w:hAnsi="仿宋" w:eastAsia="仿宋" w:cs="仿宋"/>
          <w:b/>
          <w:bCs/>
          <w:color w:val="auto"/>
          <w:sz w:val="32"/>
          <w:szCs w:val="32"/>
          <w:highlight w:val="none"/>
        </w:rPr>
        <w:t>日期：二〇二</w:t>
      </w:r>
      <w:r>
        <w:rPr>
          <w:rFonts w:hint="eastAsia" w:ascii="仿宋" w:hAnsi="仿宋" w:eastAsia="仿宋"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月</w:t>
      </w:r>
      <w:bookmarkEnd w:id="0"/>
      <w:bookmarkEnd w:id="1"/>
      <w:bookmarkEnd w:id="2"/>
    </w:p>
    <w:p w14:paraId="7B63BCEC">
      <w:pPr>
        <w:shd w:val="clear"/>
        <w:spacing w:line="360" w:lineRule="exact"/>
        <w:rPr>
          <w:rFonts w:hint="eastAsia" w:ascii="仿宋" w:hAnsi="仿宋" w:eastAsia="仿宋" w:cs="仿宋"/>
          <w:color w:val="auto"/>
          <w:szCs w:val="21"/>
          <w:highlight w:val="none"/>
        </w:rPr>
      </w:pPr>
    </w:p>
    <w:p w14:paraId="769DB800">
      <w:pPr>
        <w:shd w:val="clear"/>
        <w:rPr>
          <w:rFonts w:hint="eastAsia" w:ascii="仿宋" w:hAnsi="仿宋" w:eastAsia="仿宋" w:cs="仿宋"/>
          <w:color w:val="auto"/>
          <w:highlight w:val="none"/>
        </w:rPr>
      </w:pPr>
    </w:p>
    <w:p w14:paraId="1F6AFD45">
      <w:pPr>
        <w:shd w:val="clear"/>
        <w:rPr>
          <w:rFonts w:hint="eastAsia" w:ascii="仿宋" w:hAnsi="仿宋" w:eastAsia="仿宋" w:cs="仿宋"/>
          <w:color w:val="auto"/>
          <w:highlight w:val="none"/>
        </w:rPr>
      </w:pPr>
    </w:p>
    <w:p w14:paraId="65F528C7">
      <w:pPr>
        <w:shd w:val="clear"/>
        <w:rPr>
          <w:rFonts w:hint="eastAsia" w:ascii="仿宋" w:hAnsi="仿宋" w:eastAsia="仿宋" w:cs="仿宋"/>
          <w:color w:val="auto"/>
          <w:highlight w:val="none"/>
        </w:rPr>
      </w:pPr>
    </w:p>
    <w:p w14:paraId="514F8EE8">
      <w:pPr>
        <w:shd w:val="clear"/>
        <w:rPr>
          <w:rFonts w:hint="eastAsia" w:ascii="仿宋" w:hAnsi="仿宋" w:eastAsia="仿宋" w:cs="仿宋"/>
          <w:color w:val="auto"/>
          <w:highlight w:val="none"/>
        </w:rPr>
      </w:pPr>
    </w:p>
    <w:p w14:paraId="01337C73">
      <w:pPr>
        <w:shd w:val="clear"/>
        <w:rPr>
          <w:rFonts w:hint="eastAsia" w:ascii="仿宋" w:hAnsi="仿宋" w:eastAsia="仿宋" w:cs="仿宋"/>
          <w:color w:val="auto"/>
          <w:highlight w:val="none"/>
        </w:rPr>
      </w:pPr>
    </w:p>
    <w:p w14:paraId="5710324D">
      <w:pPr>
        <w:shd w:val="clear"/>
        <w:rPr>
          <w:rFonts w:hint="eastAsia" w:ascii="仿宋" w:hAnsi="仿宋" w:eastAsia="仿宋" w:cs="仿宋"/>
          <w:color w:val="auto"/>
          <w:highlight w:val="none"/>
        </w:rPr>
      </w:pPr>
    </w:p>
    <w:p w14:paraId="58E2DAA4">
      <w:pPr>
        <w:shd w:val="clear"/>
        <w:rPr>
          <w:rFonts w:hint="eastAsia" w:ascii="仿宋" w:hAnsi="仿宋" w:eastAsia="仿宋" w:cs="仿宋"/>
          <w:color w:val="auto"/>
          <w:highlight w:val="none"/>
        </w:rPr>
      </w:pPr>
    </w:p>
    <w:p w14:paraId="073179ED">
      <w:pPr>
        <w:shd w:val="clear"/>
        <w:rPr>
          <w:rFonts w:hint="eastAsia" w:ascii="仿宋" w:hAnsi="仿宋" w:eastAsia="仿宋" w:cs="仿宋"/>
          <w:color w:val="auto"/>
          <w:highlight w:val="none"/>
        </w:rPr>
      </w:pPr>
    </w:p>
    <w:sdt>
      <w:sdtPr>
        <w:rPr>
          <w:rFonts w:hint="eastAsia" w:ascii="仿宋" w:hAnsi="仿宋" w:eastAsia="仿宋" w:cs="仿宋"/>
          <w:b w:val="0"/>
          <w:bCs w:val="0"/>
          <w:caps/>
          <w:color w:val="auto"/>
          <w:kern w:val="2"/>
          <w:sz w:val="21"/>
          <w:szCs w:val="24"/>
          <w:highlight w:val="none"/>
          <w:lang w:val="zh-CN"/>
        </w:rPr>
        <w:id w:val="984660636"/>
        <w:docPartObj>
          <w:docPartGallery w:val="Table of Contents"/>
          <w:docPartUnique/>
        </w:docPartObj>
      </w:sdtPr>
      <w:sdtEndPr>
        <w:rPr>
          <w:rFonts w:hint="eastAsia" w:ascii="仿宋" w:hAnsi="仿宋" w:eastAsia="仿宋" w:cs="仿宋"/>
          <w:b/>
          <w:bCs/>
          <w:caps/>
          <w:color w:val="auto"/>
          <w:kern w:val="2"/>
          <w:sz w:val="28"/>
          <w:szCs w:val="28"/>
          <w:highlight w:val="none"/>
          <w:lang w:val="zh-CN"/>
        </w:rPr>
      </w:sdtEndPr>
      <w:sdtContent>
        <w:p w14:paraId="3155E2FC">
          <w:pPr>
            <w:pStyle w:val="389"/>
            <w:shd w:val="clear"/>
            <w:jc w:val="center"/>
            <w:rPr>
              <w:rFonts w:hint="eastAsia" w:ascii="仿宋" w:hAnsi="仿宋" w:eastAsia="仿宋" w:cs="仿宋"/>
              <w:color w:val="auto"/>
              <w:sz w:val="44"/>
              <w:szCs w:val="44"/>
              <w:highlight w:val="none"/>
            </w:rPr>
          </w:pPr>
          <w:bookmarkStart w:id="3" w:name="_Hlk130651888"/>
          <w:bookmarkStart w:id="4" w:name="_Toc382129898"/>
          <w:bookmarkStart w:id="5" w:name="_Toc413596380"/>
          <w:r>
            <w:rPr>
              <w:rFonts w:hint="eastAsia" w:ascii="仿宋" w:hAnsi="仿宋" w:eastAsia="仿宋" w:cs="仿宋"/>
              <w:color w:val="auto"/>
              <w:sz w:val="44"/>
              <w:szCs w:val="44"/>
              <w:highlight w:val="none"/>
              <w:lang w:val="zh-CN"/>
            </w:rPr>
            <w:t>目录</w:t>
          </w:r>
        </w:p>
        <w:p w14:paraId="4B1CA67D">
          <w:pPr>
            <w:pStyle w:val="38"/>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Style w:val="62"/>
              <w:rFonts w:hint="eastAsia" w:ascii="仿宋" w:hAnsi="仿宋" w:eastAsia="仿宋" w:cs="仿宋"/>
              <w:b w:val="0"/>
              <w:bCs w:val="0"/>
              <w:color w:val="auto"/>
              <w:sz w:val="24"/>
              <w:szCs w:val="24"/>
              <w:highlight w:val="none"/>
            </w:rPr>
            <w:fldChar w:fldCharType="begin"/>
          </w:r>
          <w:r>
            <w:rPr>
              <w:rStyle w:val="62"/>
              <w:rFonts w:hint="eastAsia" w:ascii="仿宋" w:hAnsi="仿宋" w:eastAsia="仿宋" w:cs="仿宋"/>
              <w:b w:val="0"/>
              <w:bCs w:val="0"/>
              <w:color w:val="auto"/>
              <w:sz w:val="24"/>
              <w:szCs w:val="24"/>
              <w:highlight w:val="none"/>
            </w:rPr>
            <w:instrText xml:space="preserve"> TOC \o "1-3" \h \z \u </w:instrText>
          </w:r>
          <w:r>
            <w:rPr>
              <w:rStyle w:val="62"/>
              <w:rFonts w:hint="eastAsia" w:ascii="仿宋" w:hAnsi="仿宋" w:eastAsia="仿宋" w:cs="仿宋"/>
              <w:b w:val="0"/>
              <w:bCs w:val="0"/>
              <w:color w:val="auto"/>
              <w:sz w:val="24"/>
              <w:szCs w:val="24"/>
              <w:highlight w:val="none"/>
            </w:rPr>
            <w:fldChar w:fldCharType="separate"/>
          </w: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_Toc22874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第一章  招标公告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_Toc22874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14424C7B">
          <w:pPr>
            <w:pStyle w:val="38"/>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_Toc25381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第二章  投标须知</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_Toc25381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ED45287">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_Toc11187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_Toc11187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02ADF981">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_Toc15271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二、招标文件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_Toc15271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9E4BBD3">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_Toc15517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三、投标文件的编制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_Toc15517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F48E319">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_Toc7736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四、投标文件的提交</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_Toc7736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23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2F5903FE">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_Toc10016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五、开标与评审</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_Toc10016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24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CCF745A">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_Toc12718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_Toc12718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B4D705">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_Toc22244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七、结果公示</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_Toc22244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E4AB6F9">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_Toc14994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八、质疑</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_Toc14994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94223CD">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_Toc28613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九、签订合同</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_Toc28613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470A65E1">
          <w:pPr>
            <w:pStyle w:val="38"/>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_Toc24804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第三章  开标、评标、定标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_Toc24804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37</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742FAF6">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_Toc1808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一、开标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_Toc1808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37</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F77441">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_Toc25821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二、评标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_Toc25821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38</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0FBEB9D2">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_Toc25525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三、编写评标报告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_Toc25525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51D8EF8">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_Toc17123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_Toc17123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4D87CCEA">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_Toc25834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五、结果公示</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_Toc25834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B635DC">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_Toc2064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六、签发中标通知书</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_Toc2064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9CF45CF">
          <w:pPr>
            <w:pStyle w:val="46"/>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_Toc27419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七、签订合同</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_Toc27419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40119DF">
          <w:pPr>
            <w:pStyle w:val="38"/>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_Toc25592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第四章  采购项目说明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_Toc25592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7648B18">
          <w:pPr>
            <w:pStyle w:val="38"/>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_Toc15637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第五章  投标文件格式</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_Toc15637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48</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2E5DB983">
          <w:pPr>
            <w:pStyle w:val="38"/>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_Toc10642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第六章  合同（范本）</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lang w:val="en-US" w:eastAsia="zh-CN"/>
            </w:rPr>
            <w:t>69</w:t>
          </w:r>
          <w:r>
            <w:rPr>
              <w:rFonts w:hint="eastAsia" w:ascii="仿宋" w:hAnsi="仿宋" w:eastAsia="仿宋" w:cs="仿宋"/>
              <w:b w:val="0"/>
              <w:bCs w:val="0"/>
              <w:color w:val="auto"/>
              <w:sz w:val="24"/>
              <w:szCs w:val="24"/>
              <w:highlight w:val="none"/>
            </w:rPr>
            <w:fldChar w:fldCharType="end"/>
          </w:r>
        </w:p>
        <w:p w14:paraId="10AF63DE">
          <w:pPr>
            <w:pStyle w:val="38"/>
            <w:keepNext w:val="0"/>
            <w:keepLines w:val="0"/>
            <w:pageBreakBefore w:val="0"/>
            <w:widowControl w:val="0"/>
            <w:shd w:val="clear"/>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color w:val="auto"/>
              <w:highlight w:val="none"/>
            </w:rPr>
          </w:pPr>
          <w:r>
            <w:rPr>
              <w:rFonts w:hint="eastAsia" w:ascii="仿宋" w:hAnsi="仿宋" w:eastAsia="仿宋" w:cs="仿宋"/>
              <w:b w:val="0"/>
              <w:bCs w:val="0"/>
              <w:color w:val="auto"/>
              <w:sz w:val="24"/>
              <w:szCs w:val="24"/>
              <w:highlight w:val="none"/>
            </w:rPr>
            <w:fldChar w:fldCharType="end"/>
          </w:r>
        </w:p>
      </w:sdtContent>
    </w:sdt>
    <w:bookmarkEnd w:id="3"/>
    <w:p w14:paraId="6D989832">
      <w:pPr>
        <w:shd w:val="clear"/>
        <w:rPr>
          <w:rFonts w:hint="eastAsia" w:ascii="仿宋" w:hAnsi="仿宋" w:eastAsia="仿宋" w:cs="仿宋"/>
          <w:color w:val="auto"/>
          <w:kern w:val="0"/>
          <w:highlight w:val="none"/>
        </w:rPr>
      </w:pPr>
    </w:p>
    <w:p w14:paraId="5B0E4C0E">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998616B">
      <w:pPr>
        <w:shd w:val="clear"/>
        <w:rPr>
          <w:rFonts w:hint="eastAsia" w:ascii="仿宋" w:hAnsi="仿宋" w:eastAsia="仿宋" w:cs="仿宋"/>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4"/>
    <w:bookmarkEnd w:id="5"/>
    <w:p w14:paraId="4C905218">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6" w:name="_Toc66864040"/>
      <w:bookmarkStart w:id="7" w:name="_Toc22874"/>
      <w:bookmarkStart w:id="8" w:name="_Toc253045125"/>
      <w:bookmarkStart w:id="9" w:name="_Toc266431116"/>
      <w:r>
        <w:rPr>
          <w:rFonts w:hint="eastAsia" w:ascii="仿宋" w:hAnsi="仿宋" w:eastAsia="仿宋" w:cs="仿宋"/>
          <w:color w:val="auto"/>
          <w:highlight w:val="none"/>
        </w:rPr>
        <w:t>第一章  招标公告</w:t>
      </w:r>
      <w:bookmarkEnd w:id="6"/>
      <w:bookmarkEnd w:id="7"/>
    </w:p>
    <w:p w14:paraId="009C74F4">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lang w:eastAsia="zh-CN"/>
        </w:rPr>
        <w:t>成大路（北虎口西红石山隧道内）供水主管道改造工程——PE管、管件采购</w:t>
      </w:r>
      <w:r>
        <w:rPr>
          <w:rFonts w:hint="eastAsia" w:ascii="仿宋" w:hAnsi="仿宋" w:eastAsia="仿宋" w:cs="仿宋"/>
          <w:b/>
          <w:bCs/>
          <w:color w:val="auto"/>
          <w:spacing w:val="8"/>
          <w:kern w:val="0"/>
          <w:sz w:val="32"/>
          <w:szCs w:val="32"/>
          <w:highlight w:val="none"/>
        </w:rPr>
        <w:t>招标公告</w:t>
      </w:r>
    </w:p>
    <w:p w14:paraId="25FBAE3D">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（招标编号：</w:t>
      </w:r>
      <w:r>
        <w:rPr>
          <w:rFonts w:hint="eastAsia" w:ascii="仿宋" w:hAnsi="仿宋" w:eastAsia="仿宋" w:cs="仿宋"/>
          <w:b/>
          <w:color w:val="auto"/>
          <w:sz w:val="32"/>
          <w:szCs w:val="32"/>
          <w:highlight w:val="none"/>
          <w:lang w:eastAsia="zh-CN"/>
        </w:rPr>
        <w:t>WHSW-JPS2026-005</w:t>
      </w:r>
      <w:r>
        <w:rPr>
          <w:rFonts w:hint="eastAsia" w:ascii="仿宋" w:hAnsi="仿宋" w:eastAsia="仿宋" w:cs="仿宋"/>
          <w:b/>
          <w:bCs/>
          <w:color w:val="auto"/>
          <w:spacing w:val="8"/>
          <w:kern w:val="0"/>
          <w:sz w:val="32"/>
          <w:szCs w:val="32"/>
          <w:highlight w:val="none"/>
        </w:rPr>
        <w:t>）</w:t>
      </w:r>
    </w:p>
    <w:p w14:paraId="358BE92C">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一、招标条件</w:t>
      </w:r>
    </w:p>
    <w:p w14:paraId="0279FD0D">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本招标项目</w:t>
      </w:r>
      <w:r>
        <w:rPr>
          <w:rFonts w:hint="eastAsia" w:ascii="仿宋" w:hAnsi="仿宋" w:eastAsia="仿宋" w:cs="仿宋"/>
          <w:bCs/>
          <w:color w:val="auto"/>
          <w:spacing w:val="8"/>
          <w:kern w:val="0"/>
          <w:sz w:val="28"/>
          <w:szCs w:val="28"/>
          <w:highlight w:val="none"/>
          <w:lang w:eastAsia="zh-CN"/>
        </w:rPr>
        <w:t>成大路（北虎口西红石山隧道内）供水主管道改造工程——PE管、管件采购</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威海市水务集团给排水工程有限公司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1D3FE77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5E794413">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成大路（北虎口西红石山隧道内）供水主管道改造工程——PE管、管件采购</w:t>
      </w:r>
      <w:r>
        <w:rPr>
          <w:rFonts w:hint="eastAsia" w:ascii="仿宋" w:hAnsi="仿宋" w:eastAsia="仿宋" w:cs="仿宋"/>
          <w:bCs/>
          <w:color w:val="auto"/>
          <w:spacing w:val="8"/>
          <w:kern w:val="0"/>
          <w:sz w:val="28"/>
          <w:szCs w:val="28"/>
          <w:highlight w:val="none"/>
        </w:rPr>
        <w:t>。</w:t>
      </w:r>
    </w:p>
    <w:p w14:paraId="76F27699">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val="en-US" w:eastAsia="zh-CN"/>
        </w:rPr>
        <w:t>成大路（北虎口西红石山隧道内）供水主管道改造工程De630PE管的深度优化设计、提供样品、现场复尺、设备材料供应（如焊机）、设备材料检测、配合施工、验收及在质量保证期内发生的任何缺陷修复均由供货厂家负责。</w:t>
      </w:r>
    </w:p>
    <w:p w14:paraId="4D2A1AA0">
      <w:pPr>
        <w:widowControl/>
        <w:shd w:val="clear"/>
        <w:adjustRightInd w:val="0"/>
        <w:spacing w:line="360" w:lineRule="auto"/>
        <w:ind w:firstLine="592" w:firstLineChars="200"/>
        <w:jc w:val="left"/>
        <w:rPr>
          <w:rFonts w:hint="default"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3.最高限价：</w:t>
      </w:r>
      <w:r>
        <w:rPr>
          <w:rFonts w:hint="eastAsia" w:ascii="仿宋" w:hAnsi="仿宋" w:eastAsia="仿宋" w:cs="仿宋"/>
          <w:bCs/>
          <w:color w:val="auto"/>
          <w:spacing w:val="8"/>
          <w:kern w:val="0"/>
          <w:sz w:val="28"/>
          <w:szCs w:val="28"/>
          <w:highlight w:val="none"/>
          <w:u w:val="none"/>
          <w:lang w:val="en-US" w:eastAsia="zh-CN"/>
        </w:rPr>
        <w:t>902378.65元（除税）</w:t>
      </w:r>
      <w:r>
        <w:rPr>
          <w:rFonts w:hint="eastAsia" w:ascii="仿宋" w:hAnsi="仿宋" w:eastAsia="仿宋" w:cs="仿宋"/>
          <w:bCs/>
          <w:color w:val="auto"/>
          <w:spacing w:val="8"/>
          <w:kern w:val="0"/>
          <w:sz w:val="28"/>
          <w:szCs w:val="28"/>
          <w:highlight w:val="none"/>
          <w:lang w:val="en-US" w:eastAsia="zh-CN"/>
        </w:rPr>
        <w:t>。（具体详见采购项目说明）</w:t>
      </w:r>
    </w:p>
    <w:p w14:paraId="37FA260D">
      <w:pPr>
        <w:ind w:firstLine="592" w:firstLineChars="200"/>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4</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rPr>
        <w:t>供货期：</w:t>
      </w:r>
      <w:r>
        <w:rPr>
          <w:rFonts w:hint="eastAsia" w:ascii="仿宋" w:hAnsi="仿宋" w:eastAsia="仿宋"/>
          <w:b w:val="0"/>
          <w:bCs w:val="0"/>
          <w:sz w:val="28"/>
          <w:szCs w:val="28"/>
          <w:highlight w:val="none"/>
          <w:lang w:eastAsia="zh-CN"/>
        </w:rPr>
        <w:t>合同签订后，自接到甲方通知之日</w:t>
      </w:r>
      <w:r>
        <w:rPr>
          <w:rFonts w:hint="eastAsia" w:ascii="仿宋" w:hAnsi="仿宋" w:eastAsia="仿宋"/>
          <w:b w:val="0"/>
          <w:bCs w:val="0"/>
          <w:sz w:val="28"/>
          <w:szCs w:val="28"/>
          <w:highlight w:val="none"/>
          <w:u w:val="none"/>
          <w:lang w:eastAsia="zh-CN"/>
        </w:rPr>
        <w:t>起 30 日</w:t>
      </w:r>
      <w:r>
        <w:rPr>
          <w:rFonts w:hint="eastAsia" w:ascii="仿宋" w:hAnsi="仿宋" w:eastAsia="仿宋"/>
          <w:b w:val="0"/>
          <w:bCs w:val="0"/>
          <w:sz w:val="28"/>
          <w:szCs w:val="28"/>
          <w:highlight w:val="none"/>
          <w:lang w:eastAsia="zh-CN"/>
        </w:rPr>
        <w:t>内，乙方应完成产品交付、提供焊机、</w:t>
      </w:r>
      <w:r>
        <w:rPr>
          <w:rFonts w:hint="eastAsia" w:ascii="仿宋" w:hAnsi="仿宋" w:eastAsia="仿宋"/>
          <w:b w:val="0"/>
          <w:bCs w:val="0"/>
          <w:sz w:val="28"/>
          <w:szCs w:val="28"/>
          <w:highlight w:val="none"/>
          <w:lang w:val="en-US" w:eastAsia="zh-CN"/>
        </w:rPr>
        <w:t>配合施工</w:t>
      </w:r>
      <w:r>
        <w:rPr>
          <w:rFonts w:hint="eastAsia" w:ascii="仿宋" w:hAnsi="仿宋" w:eastAsia="仿宋"/>
          <w:b w:val="0"/>
          <w:bCs w:val="0"/>
          <w:sz w:val="28"/>
          <w:szCs w:val="28"/>
          <w:highlight w:val="none"/>
          <w:lang w:eastAsia="zh-CN"/>
        </w:rPr>
        <w:t>、并验收合格</w:t>
      </w:r>
      <w:r>
        <w:rPr>
          <w:rFonts w:hint="eastAsia" w:ascii="仿宋" w:hAnsi="仿宋" w:eastAsia="仿宋" w:cs="仿宋"/>
          <w:bCs/>
          <w:color w:val="auto"/>
          <w:spacing w:val="8"/>
          <w:kern w:val="0"/>
          <w:sz w:val="28"/>
          <w:szCs w:val="28"/>
          <w:highlight w:val="none"/>
          <w:lang w:val="en-US" w:eastAsia="zh-CN"/>
        </w:rPr>
        <w:t>（甲方单位另有要求除外）。</w:t>
      </w:r>
    </w:p>
    <w:p w14:paraId="2BA39CD2">
      <w:pPr>
        <w:ind w:firstLine="592" w:firstLineChars="200"/>
        <w:rPr>
          <w:rFonts w:hint="eastAsia" w:ascii="仿宋" w:hAnsi="仿宋" w:eastAsia="仿宋"/>
          <w:b w:val="0"/>
          <w:bCs w:val="0"/>
          <w:sz w:val="28"/>
          <w:szCs w:val="28"/>
          <w:highlight w:val="none"/>
          <w:lang w:eastAsia="zh-CN"/>
        </w:rPr>
      </w:pPr>
      <w:r>
        <w:rPr>
          <w:rFonts w:hint="eastAsia" w:ascii="仿宋" w:hAnsi="仿宋" w:eastAsia="仿宋" w:cs="仿宋"/>
          <w:bCs/>
          <w:color w:val="auto"/>
          <w:spacing w:val="8"/>
          <w:kern w:val="0"/>
          <w:sz w:val="28"/>
          <w:szCs w:val="28"/>
          <w:highlight w:val="none"/>
          <w:lang w:val="en-US" w:eastAsia="zh-CN"/>
        </w:rPr>
        <w:t>5.</w:t>
      </w:r>
      <w:r>
        <w:rPr>
          <w:rFonts w:hint="eastAsia" w:ascii="仿宋" w:hAnsi="仿宋" w:eastAsia="仿宋"/>
          <w:b w:val="0"/>
          <w:bCs w:val="0"/>
          <w:sz w:val="28"/>
          <w:szCs w:val="28"/>
          <w:highlight w:val="none"/>
        </w:rPr>
        <w:t>保修期</w:t>
      </w:r>
      <w:r>
        <w:rPr>
          <w:rFonts w:hint="eastAsia" w:ascii="仿宋" w:hAnsi="仿宋" w:eastAsia="仿宋" w:cs="仿宋"/>
          <w:bCs/>
          <w:color w:val="auto"/>
          <w:spacing w:val="8"/>
          <w:kern w:val="0"/>
          <w:sz w:val="28"/>
          <w:szCs w:val="28"/>
          <w:highlight w:val="none"/>
          <w:lang w:val="en-US" w:eastAsia="zh-CN" w:bidi="ar-SA"/>
        </w:rPr>
        <w:t>：</w:t>
      </w:r>
      <w:r>
        <w:rPr>
          <w:rFonts w:hint="eastAsia" w:ascii="仿宋" w:hAnsi="仿宋" w:eastAsia="仿宋"/>
          <w:b w:val="0"/>
          <w:bCs w:val="0"/>
          <w:sz w:val="28"/>
          <w:szCs w:val="28"/>
          <w:highlight w:val="none"/>
        </w:rPr>
        <w:t>自完成验收合格之日起</w:t>
      </w:r>
      <w:r>
        <w:rPr>
          <w:rFonts w:hint="eastAsia" w:ascii="仿宋" w:hAnsi="仿宋" w:eastAsia="仿宋"/>
          <w:b w:val="0"/>
          <w:bCs w:val="0"/>
          <w:sz w:val="28"/>
          <w:szCs w:val="28"/>
          <w:highlight w:val="none"/>
          <w:lang w:val="en-US" w:eastAsia="zh-CN"/>
        </w:rPr>
        <w:t>不少</w:t>
      </w:r>
      <w:r>
        <w:rPr>
          <w:rFonts w:hint="eastAsia" w:ascii="仿宋" w:hAnsi="仿宋" w:eastAsia="仿宋"/>
          <w:b w:val="0"/>
          <w:bCs w:val="0"/>
          <w:sz w:val="28"/>
          <w:szCs w:val="28"/>
          <w:highlight w:val="none"/>
          <w:u w:val="none"/>
          <w:lang w:val="en-US" w:eastAsia="zh-CN"/>
        </w:rPr>
        <w:t>于</w:t>
      </w:r>
      <w:r>
        <w:rPr>
          <w:rFonts w:hint="eastAsia" w:ascii="仿宋" w:hAnsi="仿宋" w:eastAsia="仿宋"/>
          <w:b w:val="0"/>
          <w:bCs w:val="0"/>
          <w:sz w:val="28"/>
          <w:szCs w:val="28"/>
          <w:highlight w:val="none"/>
          <w:u w:val="none"/>
        </w:rPr>
        <w:t xml:space="preserve"> 24 </w:t>
      </w:r>
      <w:r>
        <w:rPr>
          <w:rFonts w:hint="eastAsia" w:ascii="仿宋" w:hAnsi="仿宋" w:eastAsia="仿宋"/>
          <w:b w:val="0"/>
          <w:bCs w:val="0"/>
          <w:sz w:val="28"/>
          <w:szCs w:val="28"/>
          <w:highlight w:val="none"/>
        </w:rPr>
        <w:t>个月</w:t>
      </w:r>
      <w:r>
        <w:rPr>
          <w:rFonts w:hint="eastAsia" w:ascii="仿宋" w:hAnsi="仿宋" w:eastAsia="仿宋"/>
          <w:b w:val="0"/>
          <w:bCs w:val="0"/>
          <w:sz w:val="28"/>
          <w:szCs w:val="28"/>
          <w:highlight w:val="none"/>
          <w:lang w:eastAsia="zh-CN"/>
        </w:rPr>
        <w:t>。</w:t>
      </w:r>
    </w:p>
    <w:p w14:paraId="476C8CDE">
      <w:pPr>
        <w:ind w:firstLine="592" w:firstLineChars="200"/>
        <w:rPr>
          <w:rFonts w:hint="eastAsia" w:ascii="仿宋" w:hAnsi="仿宋" w:eastAsia="仿宋" w:cs="仿宋"/>
          <w:bCs/>
          <w:color w:val="auto"/>
          <w:spacing w:val="8"/>
          <w:kern w:val="0"/>
          <w:sz w:val="28"/>
          <w:szCs w:val="28"/>
          <w:highlight w:val="none"/>
          <w:lang w:val="en-US" w:eastAsia="zh-CN" w:bidi="ar-SA"/>
        </w:rPr>
      </w:pPr>
      <w:r>
        <w:rPr>
          <w:rFonts w:hint="eastAsia" w:ascii="仿宋" w:hAnsi="仿宋" w:eastAsia="仿宋" w:cs="仿宋"/>
          <w:bCs/>
          <w:color w:val="auto"/>
          <w:spacing w:val="8"/>
          <w:kern w:val="0"/>
          <w:sz w:val="28"/>
          <w:szCs w:val="28"/>
          <w:highlight w:val="none"/>
          <w:lang w:val="en-US" w:eastAsia="zh-CN" w:bidi="ar-SA"/>
        </w:rPr>
        <w:t>6.质量标准：达到国家验收规范合格标准。</w:t>
      </w:r>
    </w:p>
    <w:p w14:paraId="76DCC4E0">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1C49768E">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val="en-US" w:eastAsia="zh-CN" w:bidi="ar-SA"/>
        </w:rPr>
      </w:pPr>
      <w:bookmarkStart w:id="10" w:name="_Hlk165101837"/>
      <w:r>
        <w:rPr>
          <w:rFonts w:hint="eastAsia" w:ascii="仿宋" w:hAnsi="仿宋" w:eastAsia="仿宋" w:cs="仿宋"/>
          <w:color w:val="auto"/>
          <w:spacing w:val="8"/>
          <w:kern w:val="0"/>
          <w:sz w:val="28"/>
          <w:szCs w:val="28"/>
          <w:highlight w:val="none"/>
        </w:rPr>
        <w:t>1.</w:t>
      </w:r>
      <w:r>
        <w:rPr>
          <w:rFonts w:hint="eastAsia" w:ascii="仿宋" w:hAnsi="仿宋" w:eastAsia="仿宋" w:cs="仿宋"/>
          <w:color w:val="000000" w:themeColor="text1"/>
          <w:sz w:val="28"/>
          <w:szCs w:val="28"/>
          <w:highlight w:val="none"/>
          <w:lang w:eastAsia="zh-CN"/>
        </w:rPr>
        <w:t>具有独立承担民事责任的能力（若为代理商须提供制造商的授权书）</w:t>
      </w:r>
      <w:r>
        <w:rPr>
          <w:rFonts w:hint="eastAsia" w:ascii="仿宋" w:hAnsi="仿宋" w:eastAsia="仿宋" w:cs="仿宋"/>
          <w:color w:val="auto"/>
          <w:spacing w:val="8"/>
          <w:kern w:val="0"/>
          <w:sz w:val="28"/>
          <w:szCs w:val="28"/>
          <w:highlight w:val="none"/>
          <w:lang w:val="en-US" w:eastAsia="zh-CN" w:bidi="ar-SA"/>
        </w:rPr>
        <w:t>；</w:t>
      </w:r>
    </w:p>
    <w:p w14:paraId="49A9FE6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2.具备涉及饮用水卫生安全产品卫生许可批件</w:t>
      </w:r>
      <w:r>
        <w:rPr>
          <w:rFonts w:hint="eastAsia" w:ascii="仿宋" w:hAnsi="仿宋" w:eastAsia="仿宋" w:cs="仿宋"/>
          <w:color w:val="auto"/>
          <w:spacing w:val="8"/>
          <w:kern w:val="0"/>
          <w:sz w:val="28"/>
          <w:szCs w:val="28"/>
          <w:highlight w:val="none"/>
          <w:lang w:val="en-US" w:eastAsia="zh-CN" w:bidi="ar-SA"/>
        </w:rPr>
        <w:t>；</w:t>
      </w:r>
    </w:p>
    <w:p w14:paraId="6E69960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.具有良好的商业信誉和健全的财务会计制度；</w:t>
      </w:r>
    </w:p>
    <w:p w14:paraId="314BEC9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.具有履行合同所必须设备和专业技术能力，并能提供优质的服务；</w:t>
      </w:r>
    </w:p>
    <w:p w14:paraId="7F87F5C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.具有依法缴纳税收和社会保障资金的良好记录；</w:t>
      </w:r>
    </w:p>
    <w:p w14:paraId="7A98F35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.参加本次招标活动前三年内，在经营活动中没有重大违法记录（若成立时间不足三年，则承诺自成立时间至今，在经营活动中没有重大违法记录）；</w:t>
      </w:r>
    </w:p>
    <w:p w14:paraId="60E0C8A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.投标人及其法定代表人、委托代理人未被最高法院（查询网址为：http://zxgk.court.gov.cn/shixin/）列入失信被执行人；</w:t>
      </w:r>
    </w:p>
    <w:p w14:paraId="61282CC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.投标人近一年在“信用中国”或“信用中国（山东）”无严重失信记录；</w:t>
      </w:r>
    </w:p>
    <w:bookmarkEnd w:id="10"/>
    <w:p w14:paraId="4AF794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.投标人及其法定代表人、委托代理人近三年内无行贿犯罪行为记录（若投标人成立时间不足三年，则承诺自成立时间至今，无行贿犯罪行为记录）；</w:t>
      </w:r>
    </w:p>
    <w:p w14:paraId="1B64DB8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.本次招标不接受联合体投标。</w:t>
      </w:r>
    </w:p>
    <w:p w14:paraId="78CD31B6">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7CFBAB8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29</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w:t>
      </w:r>
    </w:p>
    <w:p w14:paraId="1533CCA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50BA97D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F280F61">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75AECD9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03D2B0F8">
      <w:pPr>
        <w:keepNext w:val="0"/>
        <w:keepLines w:val="0"/>
        <w:widowControl/>
        <w:suppressLineNumbers w:val="0"/>
        <w:pBdr>
          <w:top w:val="none" w:color="auto" w:sz="0" w:space="0"/>
          <w:left w:val="none" w:color="auto" w:sz="0" w:space="0"/>
          <w:bottom w:val="none" w:color="auto" w:sz="0" w:space="0"/>
          <w:right w:val="none" w:color="auto" w:sz="0" w:space="0"/>
        </w:pBdr>
        <w:shd w:val="clear" w:fill="FCFCFC"/>
        <w:spacing w:before="0" w:beforeAutospacing="0" w:after="0" w:afterAutospacing="0" w:line="266" w:lineRule="atLeast"/>
        <w:ind w:left="0" w:right="0" w:firstLine="56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投标人对网上递交的投标文件应加密，在开标会上使用数字证书（CA）进行解密（可远程在线参与开标解密），才能读取或导入投标文件。</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w:t>
      </w:r>
      <w:r>
        <w:rPr>
          <w:rFonts w:hint="eastAsia" w:ascii="仿宋" w:hAnsi="仿宋" w:eastAsia="仿宋" w:cs="仿宋"/>
          <w:color w:val="auto"/>
          <w:spacing w:val="8"/>
          <w:kern w:val="0"/>
          <w:sz w:val="28"/>
          <w:szCs w:val="28"/>
          <w:highlight w:val="none"/>
          <w:lang w:val="en-US" w:eastAsia="zh-CN"/>
        </w:rPr>
        <w:t>同</w:t>
      </w:r>
      <w:r>
        <w:rPr>
          <w:rFonts w:hint="eastAsia" w:ascii="仿宋" w:hAnsi="仿宋" w:eastAsia="仿宋" w:cs="仿宋"/>
          <w:color w:val="auto"/>
          <w:spacing w:val="8"/>
          <w:kern w:val="0"/>
          <w:sz w:val="28"/>
          <w:szCs w:val="28"/>
          <w:highlight w:val="none"/>
        </w:rPr>
        <w:t>提交投标文件截止时间；</w:t>
      </w:r>
    </w:p>
    <w:p w14:paraId="336B078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w:t>
      </w:r>
      <w:bookmarkStart w:id="11" w:name="OLE_LINK3"/>
      <w:r>
        <w:rPr>
          <w:rFonts w:hint="eastAsia" w:ascii="仿宋" w:hAnsi="仿宋" w:eastAsia="仿宋" w:cs="仿宋"/>
          <w:color w:val="auto"/>
          <w:spacing w:val="8"/>
          <w:kern w:val="0"/>
          <w:sz w:val="28"/>
          <w:szCs w:val="28"/>
          <w:highlight w:val="none"/>
        </w:rPr>
        <w:t>威海市公共资源交易中心交易</w:t>
      </w:r>
      <w:r>
        <w:rPr>
          <w:rFonts w:hint="eastAsia" w:ascii="仿宋" w:hAnsi="仿宋" w:eastAsia="仿宋" w:cs="仿宋"/>
          <w:color w:val="auto"/>
          <w:spacing w:val="8"/>
          <w:kern w:val="0"/>
          <w:sz w:val="28"/>
          <w:szCs w:val="28"/>
          <w:highlight w:val="none"/>
          <w:lang w:val="en-US" w:eastAsia="zh-CN"/>
        </w:rPr>
        <w:t>六</w:t>
      </w:r>
      <w:r>
        <w:rPr>
          <w:rFonts w:hint="eastAsia" w:ascii="仿宋" w:hAnsi="仿宋" w:eastAsia="仿宋" w:cs="仿宋"/>
          <w:color w:val="auto"/>
          <w:spacing w:val="8"/>
          <w:kern w:val="0"/>
          <w:sz w:val="28"/>
          <w:szCs w:val="28"/>
          <w:highlight w:val="none"/>
        </w:rPr>
        <w:t>厅（威海市环翠区塔山中路317号四楼）</w:t>
      </w:r>
      <w:bookmarkEnd w:id="11"/>
      <w:r>
        <w:rPr>
          <w:rFonts w:hint="eastAsia" w:ascii="仿宋" w:hAnsi="仿宋" w:eastAsia="仿宋" w:cs="仿宋"/>
          <w:color w:val="auto"/>
          <w:spacing w:val="8"/>
          <w:kern w:val="0"/>
          <w:sz w:val="28"/>
          <w:szCs w:val="28"/>
          <w:highlight w:val="none"/>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1.本项目实行全流程电子化，提交投标文件截止时间前，随时关注威海市公共资源交易网（变更公告栏）内变更提醒。</w:t>
      </w:r>
    </w:p>
    <w:p w14:paraId="2A043A71">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投标人自行准备电脑，提前在个人电脑上进行测试确保音频、视频功能、CA签章功能可正常使用。投标人不到现场参与开评标，但应保持通讯畅通，因通讯不畅造成的一切后果由投标人自行承担。</w:t>
      </w:r>
    </w:p>
    <w:p w14:paraId="4FB9CA53">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w:t>
      </w:r>
      <w:r>
        <w:rPr>
          <w:rFonts w:hint="eastAsia" w:ascii="仿宋" w:hAnsi="仿宋" w:eastAsia="仿宋" w:cs="仿宋"/>
          <w:b/>
          <w:color w:val="auto"/>
          <w:spacing w:val="8"/>
          <w:kern w:val="0"/>
          <w:sz w:val="28"/>
          <w:szCs w:val="28"/>
          <w:highlight w:val="none"/>
          <w:lang w:val="en-US" w:eastAsia="zh-CN"/>
        </w:rPr>
        <w:t>对本次招标提出询问，按以下方式联系</w:t>
      </w:r>
    </w:p>
    <w:p w14:paraId="7FD5C739">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威海市水务集团给排水工程有限公司</w:t>
      </w:r>
    </w:p>
    <w:p w14:paraId="4806E2B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威海市环翠区温泉镇柳林东街228号</w:t>
      </w:r>
    </w:p>
    <w:p w14:paraId="48A2FE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联系人：张莹</w:t>
      </w:r>
    </w:p>
    <w:p w14:paraId="567AEB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联系电话：0631-5978699</w:t>
      </w:r>
    </w:p>
    <w:p w14:paraId="55BE04D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2.招标代理机构：</w:t>
      </w:r>
      <w:r>
        <w:rPr>
          <w:rFonts w:hint="eastAsia" w:ascii="仿宋" w:hAnsi="仿宋" w:eastAsia="仿宋" w:cs="仿宋"/>
          <w:color w:val="auto"/>
          <w:spacing w:val="8"/>
          <w:kern w:val="0"/>
          <w:sz w:val="28"/>
          <w:szCs w:val="28"/>
          <w:highlight w:val="none"/>
          <w:lang w:eastAsia="zh-CN"/>
        </w:rPr>
        <w:t>威海正华工程咨询有限公司</w:t>
      </w:r>
    </w:p>
    <w:p w14:paraId="2CB30AB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pacing w:val="8"/>
          <w:kern w:val="0"/>
          <w:sz w:val="28"/>
          <w:szCs w:val="28"/>
          <w:highlight w:val="none"/>
          <w:lang w:eastAsia="zh-CN"/>
        </w:rPr>
        <w:t>威海市古山五巷16号鼎顺商务9楼</w:t>
      </w:r>
    </w:p>
    <w:p w14:paraId="6CDFCE1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宋文琛  宋修建</w:t>
      </w:r>
    </w:p>
    <w:p w14:paraId="19D967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联系电话：</w:t>
      </w:r>
      <w:r>
        <w:rPr>
          <w:rFonts w:hint="eastAsia" w:ascii="仿宋" w:hAnsi="仿宋" w:eastAsia="仿宋" w:cs="仿宋"/>
          <w:color w:val="auto"/>
          <w:spacing w:val="8"/>
          <w:kern w:val="0"/>
          <w:sz w:val="28"/>
          <w:szCs w:val="28"/>
          <w:highlight w:val="none"/>
          <w:lang w:eastAsia="zh-CN"/>
        </w:rPr>
        <w:t>0631-5213959</w:t>
      </w:r>
    </w:p>
    <w:p w14:paraId="58AB1C7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电子邮箱：</w:t>
      </w:r>
      <w:r>
        <w:rPr>
          <w:rFonts w:hint="eastAsia" w:ascii="仿宋" w:hAnsi="仿宋" w:eastAsia="仿宋" w:cs="仿宋"/>
          <w:color w:val="auto"/>
          <w:spacing w:val="8"/>
          <w:kern w:val="0"/>
          <w:sz w:val="28"/>
          <w:szCs w:val="28"/>
          <w:highlight w:val="none"/>
          <w:lang w:eastAsia="zh-CN"/>
        </w:rPr>
        <w:t>whzhenghua@163.com</w:t>
      </w:r>
    </w:p>
    <w:p w14:paraId="59736FB2">
      <w:pPr>
        <w:widowControl/>
        <w:shd w:val="clear"/>
        <w:adjustRightInd w:val="0"/>
        <w:spacing w:line="360" w:lineRule="auto"/>
        <w:ind w:firstLine="5032" w:firstLineChars="1700"/>
        <w:jc w:val="both"/>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发布人：</w:t>
      </w:r>
      <w:r>
        <w:rPr>
          <w:rFonts w:hint="eastAsia" w:ascii="仿宋" w:hAnsi="仿宋" w:eastAsia="仿宋" w:cs="仿宋"/>
          <w:color w:val="auto"/>
          <w:spacing w:val="8"/>
          <w:kern w:val="0"/>
          <w:sz w:val="28"/>
          <w:szCs w:val="28"/>
          <w:highlight w:val="none"/>
          <w:lang w:eastAsia="zh-CN"/>
        </w:rPr>
        <w:t>威海正华工程咨询有限公司</w:t>
      </w:r>
    </w:p>
    <w:p w14:paraId="02923BCE">
      <w:pPr>
        <w:widowControl/>
        <w:shd w:val="clear"/>
        <w:wordWrap w:val="0"/>
        <w:adjustRightInd w:val="0"/>
        <w:spacing w:line="360" w:lineRule="auto"/>
        <w:ind w:firstLine="592" w:firstLineChars="200"/>
        <w:jc w:val="righ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w:t>
      </w:r>
      <w:bookmarkStart w:id="104" w:name="_GoBack"/>
      <w:bookmarkEnd w:id="104"/>
      <w:r>
        <w:rPr>
          <w:rFonts w:hint="eastAsia" w:ascii="仿宋" w:hAnsi="仿宋" w:eastAsia="仿宋" w:cs="仿宋"/>
          <w:color w:val="auto"/>
          <w:spacing w:val="8"/>
          <w:kern w:val="0"/>
          <w:sz w:val="28"/>
          <w:szCs w:val="28"/>
          <w:highlight w:val="none"/>
        </w:rPr>
        <w:t>：202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22</w:t>
      </w:r>
      <w:r>
        <w:rPr>
          <w:rFonts w:hint="eastAsia" w:ascii="仿宋" w:hAnsi="仿宋" w:eastAsia="仿宋" w:cs="仿宋"/>
          <w:color w:val="auto"/>
          <w:spacing w:val="8"/>
          <w:kern w:val="0"/>
          <w:sz w:val="28"/>
          <w:szCs w:val="28"/>
          <w:highlight w:val="none"/>
        </w:rPr>
        <w:t>日</w:t>
      </w:r>
    </w:p>
    <w:p w14:paraId="07551E2A">
      <w:pPr>
        <w:shd w:val="clear"/>
        <w:rPr>
          <w:rFonts w:hint="eastAsia" w:ascii="仿宋" w:hAnsi="仿宋" w:eastAsia="仿宋" w:cs="仿宋"/>
          <w:color w:val="auto"/>
          <w:highlight w:val="none"/>
        </w:rPr>
        <w:sectPr>
          <w:headerReference r:id="rId6" w:type="first"/>
          <w:headerReference r:id="rId4" w:type="default"/>
          <w:footerReference r:id="rId7" w:type="default"/>
          <w:headerReference r:id="rId5" w:type="even"/>
          <w:pgSz w:w="11906" w:h="16838"/>
          <w:pgMar w:top="1440" w:right="1077" w:bottom="1440" w:left="1077" w:header="851" w:footer="992" w:gutter="0"/>
          <w:pgNumType w:fmt="decimal" w:start="1"/>
          <w:cols w:space="720" w:num="1"/>
          <w:docGrid w:type="lines" w:linePitch="312" w:charSpace="0"/>
        </w:sectPr>
      </w:pPr>
    </w:p>
    <w:bookmarkEnd w:id="8"/>
    <w:bookmarkEnd w:id="9"/>
    <w:p w14:paraId="511F1420">
      <w:pPr>
        <w:pStyle w:val="2"/>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highlight w:val="none"/>
        </w:rPr>
      </w:pPr>
      <w:bookmarkStart w:id="12" w:name="_Toc66864041"/>
      <w:bookmarkStart w:id="13" w:name="_Toc25381"/>
      <w:bookmarkStart w:id="14" w:name="_Toc382129913"/>
      <w:bookmarkStart w:id="15" w:name="_Toc266431126"/>
      <w:bookmarkStart w:id="16" w:name="_Toc413596395"/>
      <w:r>
        <w:rPr>
          <w:rFonts w:hint="eastAsia" w:ascii="仿宋" w:hAnsi="仿宋" w:eastAsia="仿宋" w:cs="仿宋"/>
          <w:color w:val="auto"/>
          <w:highlight w:val="none"/>
        </w:rPr>
        <w:t>第二章  投标须知</w:t>
      </w:r>
      <w:bookmarkEnd w:id="12"/>
      <w:bookmarkEnd w:id="13"/>
    </w:p>
    <w:p w14:paraId="1CAA8F4E">
      <w:pPr>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5"/>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61AA9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577AE7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0F35EA3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w:t>
            </w:r>
          </w:p>
        </w:tc>
        <w:tc>
          <w:tcPr>
            <w:tcW w:w="6881" w:type="dxa"/>
            <w:tcBorders>
              <w:top w:val="single" w:color="auto" w:sz="4" w:space="0"/>
              <w:left w:val="single" w:color="auto" w:sz="4" w:space="0"/>
              <w:bottom w:val="single" w:color="auto" w:sz="4" w:space="0"/>
            </w:tcBorders>
            <w:vAlign w:val="center"/>
          </w:tcPr>
          <w:p w14:paraId="553F87A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3B6A7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DACAE3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44FF7E3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1" w:type="dxa"/>
            <w:tcBorders>
              <w:top w:val="single" w:color="auto" w:sz="4" w:space="0"/>
              <w:left w:val="single" w:color="auto" w:sz="4" w:space="0"/>
              <w:bottom w:val="single" w:color="auto" w:sz="4" w:space="0"/>
            </w:tcBorders>
            <w:vAlign w:val="center"/>
          </w:tcPr>
          <w:p w14:paraId="4A8E5936">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成大路（北虎口西红石山隧道内）供水主管道改造工程——PE管、管件采购</w:t>
            </w:r>
          </w:p>
        </w:tc>
      </w:tr>
      <w:tr w14:paraId="78317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5E1CD3E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46D03C8F">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招标编号</w:t>
            </w:r>
          </w:p>
        </w:tc>
        <w:tc>
          <w:tcPr>
            <w:tcW w:w="6881" w:type="dxa"/>
            <w:tcBorders>
              <w:top w:val="single" w:color="auto" w:sz="4" w:space="0"/>
              <w:left w:val="single" w:color="auto" w:sz="4" w:space="0"/>
              <w:bottom w:val="single" w:color="auto" w:sz="4" w:space="0"/>
            </w:tcBorders>
            <w:vAlign w:val="center"/>
          </w:tcPr>
          <w:p w14:paraId="211B4C99">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WHSW-JPS2026-005</w:t>
            </w:r>
          </w:p>
        </w:tc>
      </w:tr>
      <w:tr w14:paraId="35EE7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68E53C5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00AAD78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881" w:type="dxa"/>
            <w:tcBorders>
              <w:top w:val="single" w:color="auto" w:sz="4" w:space="0"/>
              <w:left w:val="single" w:color="auto" w:sz="4" w:space="0"/>
              <w:bottom w:val="single" w:color="auto" w:sz="4" w:space="0"/>
            </w:tcBorders>
            <w:vAlign w:val="center"/>
          </w:tcPr>
          <w:p w14:paraId="0F2655FE">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 w:hAnsi="仿宋" w:eastAsia="仿宋" w:cs="仿宋"/>
                <w:color w:val="auto"/>
                <w:sz w:val="28"/>
                <w:szCs w:val="28"/>
                <w:highlight w:val="none"/>
                <w:shd w:val="clear" w:color="auto" w:fill="FFFFFF"/>
                <w:lang w:eastAsia="zh-CN"/>
              </w:rPr>
              <w:t>威海市水务集团给排水工程有限公司</w:t>
            </w:r>
          </w:p>
          <w:p w14:paraId="0D1C2CD7">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威海市环翠区温泉镇柳林东街228号</w:t>
            </w:r>
          </w:p>
          <w:p w14:paraId="5D142673">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联系人：张莹</w:t>
            </w:r>
          </w:p>
          <w:p w14:paraId="622708FD">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联系电话：0631-5978699</w:t>
            </w:r>
          </w:p>
        </w:tc>
      </w:tr>
      <w:tr w14:paraId="0762E7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ACE5B3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441BD6AE">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881" w:type="dxa"/>
            <w:tcBorders>
              <w:top w:val="single" w:color="auto" w:sz="4" w:space="0"/>
              <w:left w:val="single" w:color="auto" w:sz="4" w:space="0"/>
              <w:bottom w:val="single" w:color="auto" w:sz="4" w:space="0"/>
            </w:tcBorders>
            <w:vAlign w:val="center"/>
          </w:tcPr>
          <w:p w14:paraId="34FB9A6D">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威海正华工程咨询有限公司</w:t>
            </w:r>
          </w:p>
          <w:p w14:paraId="1A5F028C">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威海市古山五巷16号鼎顺商务9楼</w:t>
            </w:r>
          </w:p>
          <w:p w14:paraId="06C5BA91">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宋文琛  宋修建</w:t>
            </w:r>
          </w:p>
          <w:p w14:paraId="30D8D64B">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0631-5213959</w:t>
            </w:r>
          </w:p>
        </w:tc>
      </w:tr>
      <w:tr w14:paraId="7216B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0F025C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24BC852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81" w:type="dxa"/>
            <w:tcBorders>
              <w:top w:val="single" w:color="auto" w:sz="4" w:space="0"/>
              <w:left w:val="single" w:color="auto" w:sz="4" w:space="0"/>
              <w:bottom w:val="single" w:color="auto" w:sz="4" w:space="0"/>
            </w:tcBorders>
            <w:vAlign w:val="center"/>
          </w:tcPr>
          <w:p w14:paraId="1D03559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0B8CDD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138101B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1262525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81" w:type="dxa"/>
            <w:tcBorders>
              <w:top w:val="single" w:color="auto" w:sz="4" w:space="0"/>
              <w:left w:val="single" w:color="auto" w:sz="4" w:space="0"/>
              <w:bottom w:val="single" w:color="auto" w:sz="4" w:space="0"/>
            </w:tcBorders>
            <w:vAlign w:val="center"/>
          </w:tcPr>
          <w:p w14:paraId="2691F64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14F5D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8EB893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6A72DBA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81" w:type="dxa"/>
            <w:tcBorders>
              <w:top w:val="single" w:color="auto" w:sz="4" w:space="0"/>
              <w:left w:val="single" w:color="auto" w:sz="4" w:space="0"/>
              <w:bottom w:val="single" w:color="auto" w:sz="4" w:space="0"/>
            </w:tcBorders>
            <w:vAlign w:val="center"/>
          </w:tcPr>
          <w:p w14:paraId="37D4005E">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22BCDF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2CCA63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2D719059">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5533C2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81" w:type="dxa"/>
            <w:tcBorders>
              <w:top w:val="single" w:color="auto" w:sz="4" w:space="0"/>
              <w:left w:val="single" w:color="auto" w:sz="4" w:space="0"/>
              <w:bottom w:val="single" w:color="auto" w:sz="4" w:space="0"/>
            </w:tcBorders>
            <w:vAlign w:val="center"/>
          </w:tcPr>
          <w:p w14:paraId="35318AC1">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2．本项目必须网上递交投标文件，参与本项目投标人应利用办理好的CA锁登录国企阳光采购平台进行招标文件的下载和网上递交投标文件，且安全证书（CA锁）在有效期内。</w:t>
            </w:r>
          </w:p>
          <w:p w14:paraId="1251DC40">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3．电子投标文件的制作及提交等有关操作见本文件及威海市公共资源交易网）办事指南栏目-国企采购专区-《新版威海市国有企业阳光采购服务平台操作演示视频（供应商）》，网址: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956ABCC">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E9EF0A6">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6．电子投标文件必需有电子签章方为合法的投标文件，未对电子投标文件进行电子签章的，将作为无效投标处理。</w:t>
            </w:r>
          </w:p>
          <w:p w14:paraId="2435137E">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4D3052D4">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5D57E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2EC1C03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79DC5DF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3CC44A1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81" w:type="dxa"/>
            <w:tcBorders>
              <w:top w:val="single" w:color="auto" w:sz="4" w:space="0"/>
              <w:left w:val="single" w:color="auto" w:sz="4" w:space="0"/>
              <w:bottom w:val="single" w:color="auto" w:sz="4" w:space="0"/>
            </w:tcBorders>
            <w:vAlign w:val="center"/>
          </w:tcPr>
          <w:p w14:paraId="319BD26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437997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35A2DE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0D9F1B2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881" w:type="dxa"/>
            <w:tcBorders>
              <w:top w:val="single" w:color="auto" w:sz="4" w:space="0"/>
              <w:left w:val="single" w:color="auto" w:sz="4" w:space="0"/>
              <w:bottom w:val="single" w:color="auto" w:sz="4" w:space="0"/>
            </w:tcBorders>
            <w:vAlign w:val="center"/>
          </w:tcPr>
          <w:p w14:paraId="3304059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w:t>
            </w:r>
          </w:p>
        </w:tc>
      </w:tr>
      <w:tr w14:paraId="101FF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5880A09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5ADD2CE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881" w:type="dxa"/>
            <w:tcBorders>
              <w:top w:val="single" w:color="auto" w:sz="4" w:space="0"/>
              <w:left w:val="single" w:color="auto" w:sz="4" w:space="0"/>
              <w:bottom w:val="single" w:color="auto" w:sz="4" w:space="0"/>
            </w:tcBorders>
            <w:vAlign w:val="center"/>
          </w:tcPr>
          <w:p w14:paraId="70ABE504">
            <w:pPr>
              <w:shd w:val="clear"/>
              <w:spacing w:line="360" w:lineRule="auto"/>
              <w:textAlignment w:val="top"/>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详见采购项目说明</w:t>
            </w:r>
          </w:p>
        </w:tc>
      </w:tr>
      <w:tr w14:paraId="5F801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89E29B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11921C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81" w:type="dxa"/>
            <w:tcBorders>
              <w:top w:val="single" w:color="auto" w:sz="4" w:space="0"/>
              <w:left w:val="single" w:color="auto" w:sz="4" w:space="0"/>
              <w:bottom w:val="single" w:color="auto" w:sz="4" w:space="0"/>
            </w:tcBorders>
            <w:vAlign w:val="center"/>
          </w:tcPr>
          <w:p w14:paraId="61C66F0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0BFB3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8AF36A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1AE3423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投标预备会</w:t>
            </w:r>
          </w:p>
        </w:tc>
        <w:tc>
          <w:tcPr>
            <w:tcW w:w="6881" w:type="dxa"/>
            <w:tcBorders>
              <w:top w:val="single" w:color="auto" w:sz="4" w:space="0"/>
              <w:left w:val="single" w:color="auto" w:sz="4" w:space="0"/>
              <w:bottom w:val="single" w:color="auto" w:sz="4" w:space="0"/>
            </w:tcBorders>
            <w:vAlign w:val="center"/>
          </w:tcPr>
          <w:p w14:paraId="39C86BF6">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3B5C4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F43B3A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DC9B28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81" w:type="dxa"/>
            <w:tcBorders>
              <w:top w:val="single" w:color="auto" w:sz="4" w:space="0"/>
              <w:left w:val="single" w:color="auto" w:sz="4" w:space="0"/>
              <w:bottom w:val="single" w:color="auto" w:sz="4" w:space="0"/>
            </w:tcBorders>
            <w:vAlign w:val="center"/>
          </w:tcPr>
          <w:p w14:paraId="299D9DA3">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195D5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7E7213F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ED715A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投标文件提交时间及地点</w:t>
            </w:r>
          </w:p>
        </w:tc>
        <w:tc>
          <w:tcPr>
            <w:tcW w:w="6881" w:type="dxa"/>
            <w:tcBorders>
              <w:top w:val="single" w:color="auto" w:sz="4" w:space="0"/>
              <w:left w:val="single" w:color="auto" w:sz="4" w:space="0"/>
              <w:bottom w:val="single" w:color="auto" w:sz="4" w:space="0"/>
            </w:tcBorders>
            <w:vAlign w:val="center"/>
          </w:tcPr>
          <w:p w14:paraId="6CAF35DB">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投标文件提交时间及地点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见招标公告</w:t>
            </w:r>
          </w:p>
          <w:p w14:paraId="1995E86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1.纸质投标文件提交方式：</w:t>
            </w:r>
          </w:p>
          <w:p w14:paraId="4093ED2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w:t>
            </w:r>
            <w:r>
              <w:rPr>
                <w:rFonts w:hint="eastAsia" w:ascii="仿宋" w:hAnsi="仿宋" w:eastAsia="仿宋" w:cs="仿宋"/>
                <w:color w:val="auto"/>
                <w:sz w:val="28"/>
                <w:szCs w:val="28"/>
                <w:highlight w:val="none"/>
                <w:lang w:val="en-US" w:eastAsia="zh-CN"/>
              </w:rPr>
              <w:t>最迟</w:t>
            </w:r>
            <w:r>
              <w:rPr>
                <w:rFonts w:hint="eastAsia" w:ascii="仿宋" w:hAnsi="仿宋" w:eastAsia="仿宋" w:cs="仿宋"/>
                <w:color w:val="auto"/>
                <w:sz w:val="28"/>
                <w:szCs w:val="28"/>
                <w:highlight w:val="none"/>
              </w:rPr>
              <w:t>应在提交电子投标文件截止后三个工作日内，邮寄或送至招标代理处。</w:t>
            </w:r>
          </w:p>
          <w:p w14:paraId="7F594A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2.纸质投标文件共2份，将纸质投标文件密封在密封袋中，并在封口处粘贴封条。</w:t>
            </w:r>
          </w:p>
          <w:p w14:paraId="15AB43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3.封套内容：</w:t>
            </w:r>
          </w:p>
          <w:p w14:paraId="29C840E3">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7F83C5A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EAE660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5FE44D6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4E045BD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（5）注明“公开开标前不得启封”字样。</w:t>
            </w:r>
          </w:p>
        </w:tc>
      </w:tr>
      <w:tr w14:paraId="10C33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FBC1DB9">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54C6346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881" w:type="dxa"/>
            <w:tcBorders>
              <w:top w:val="single" w:color="auto" w:sz="4" w:space="0"/>
              <w:left w:val="single" w:color="auto" w:sz="4" w:space="0"/>
              <w:bottom w:val="single" w:color="auto" w:sz="4" w:space="0"/>
            </w:tcBorders>
            <w:vAlign w:val="center"/>
          </w:tcPr>
          <w:p w14:paraId="30455CC8">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详见招标公告</w:t>
            </w:r>
          </w:p>
        </w:tc>
      </w:tr>
      <w:tr w14:paraId="1D6977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F4B6D1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3940544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881" w:type="dxa"/>
            <w:tcBorders>
              <w:top w:val="single" w:color="auto" w:sz="4" w:space="0"/>
              <w:left w:val="single" w:color="auto" w:sz="4" w:space="0"/>
              <w:bottom w:val="single" w:color="auto" w:sz="4" w:space="0"/>
            </w:tcBorders>
            <w:vAlign w:val="center"/>
          </w:tcPr>
          <w:p w14:paraId="62D0DE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70A39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ECE4A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111E8F9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81" w:type="dxa"/>
            <w:tcBorders>
              <w:top w:val="single" w:color="auto" w:sz="4" w:space="0"/>
              <w:left w:val="single" w:color="auto" w:sz="4" w:space="0"/>
              <w:bottom w:val="single" w:color="auto" w:sz="4" w:space="0"/>
            </w:tcBorders>
            <w:vAlign w:val="center"/>
          </w:tcPr>
          <w:p w14:paraId="56B788F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远程报价，投标人不到现场参与开标。投标人需提前准备已配置好环境的电脑及CA锁，在规定的时间进行开标的各项操作，开标评审期间需实时关注交易系统相关通知，且联络方式应保持畅通。</w:t>
            </w:r>
          </w:p>
        </w:tc>
      </w:tr>
      <w:tr w14:paraId="35A865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1C5BD5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667C831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81" w:type="dxa"/>
            <w:tcBorders>
              <w:top w:val="single" w:color="auto" w:sz="4" w:space="0"/>
              <w:left w:val="single" w:color="auto" w:sz="4" w:space="0"/>
              <w:bottom w:val="single" w:color="auto" w:sz="4" w:space="0"/>
            </w:tcBorders>
            <w:vAlign w:val="center"/>
          </w:tcPr>
          <w:p w14:paraId="1582868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递交投标文件截止</w:t>
            </w:r>
            <w:r>
              <w:rPr>
                <w:rFonts w:hint="eastAsia" w:ascii="仿宋" w:hAnsi="仿宋" w:eastAsia="仿宋" w:cs="仿宋"/>
                <w:color w:val="auto"/>
                <w:sz w:val="28"/>
                <w:szCs w:val="28"/>
                <w:highlight w:val="none"/>
                <w:lang w:eastAsia="zh-CN"/>
              </w:rPr>
              <w:t>时间</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lang w:eastAsia="zh-CN"/>
              </w:rPr>
              <w:t>完成</w:t>
            </w:r>
          </w:p>
          <w:p w14:paraId="255520E4">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31FBAB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5E15BCA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39B1164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81" w:type="dxa"/>
            <w:tcBorders>
              <w:top w:val="single" w:color="auto" w:sz="4" w:space="0"/>
              <w:left w:val="single" w:color="auto" w:sz="4" w:space="0"/>
              <w:bottom w:val="single" w:color="auto" w:sz="4" w:space="0"/>
            </w:tcBorders>
            <w:vAlign w:val="center"/>
          </w:tcPr>
          <w:p w14:paraId="790821D1">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2A4D5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5AE9039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458C1B2D">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评审办法</w:t>
            </w:r>
          </w:p>
        </w:tc>
        <w:tc>
          <w:tcPr>
            <w:tcW w:w="6881" w:type="dxa"/>
            <w:tcBorders>
              <w:top w:val="single" w:color="auto" w:sz="4" w:space="0"/>
              <w:left w:val="single" w:color="auto" w:sz="4" w:space="0"/>
              <w:bottom w:val="single" w:color="auto" w:sz="4" w:space="0"/>
            </w:tcBorders>
            <w:vAlign w:val="center"/>
          </w:tcPr>
          <w:p w14:paraId="5225E2E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0E3BF5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3C73B50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4EDB68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81" w:type="dxa"/>
            <w:tcBorders>
              <w:top w:val="single" w:color="auto" w:sz="4" w:space="0"/>
              <w:left w:val="single" w:color="auto" w:sz="4" w:space="0"/>
              <w:bottom w:val="single" w:color="auto" w:sz="4" w:space="0"/>
            </w:tcBorders>
            <w:vAlign w:val="center"/>
          </w:tcPr>
          <w:p w14:paraId="2DFA600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6328A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CA5211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D8796E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6881" w:type="dxa"/>
            <w:tcBorders>
              <w:top w:val="single" w:color="auto" w:sz="4" w:space="0"/>
              <w:left w:val="single" w:color="auto" w:sz="4" w:space="0"/>
              <w:bottom w:val="single" w:color="auto" w:sz="4" w:space="0"/>
            </w:tcBorders>
            <w:vAlign w:val="center"/>
          </w:tcPr>
          <w:p w14:paraId="154D79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54E201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BFA95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51ED7BE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881" w:type="dxa"/>
            <w:tcBorders>
              <w:top w:val="single" w:color="auto" w:sz="4" w:space="0"/>
              <w:left w:val="single" w:color="auto" w:sz="4" w:space="0"/>
              <w:bottom w:val="single" w:color="auto" w:sz="4" w:space="0"/>
            </w:tcBorders>
            <w:vAlign w:val="center"/>
          </w:tcPr>
          <w:p w14:paraId="006385D8">
            <w:pPr>
              <w:shd w:val="clear"/>
              <w:spacing w:line="240" w:lineRule="auto"/>
              <w:textAlignment w:val="top"/>
              <w:rPr>
                <w:rFonts w:hint="eastAsia" w:ascii="仿宋" w:hAnsi="仿宋" w:eastAsia="仿宋" w:cs="仿宋"/>
                <w:color w:val="auto"/>
                <w:sz w:val="28"/>
                <w:szCs w:val="28"/>
                <w:highlight w:val="none"/>
              </w:rPr>
            </w:pPr>
            <w:bookmarkStart w:id="17" w:name="_Hlk58068062"/>
            <w:r>
              <w:rPr>
                <w:rFonts w:hint="eastAsia" w:ascii="仿宋" w:hAnsi="仿宋" w:eastAsia="仿宋" w:cs="仿宋"/>
                <w:color w:val="auto"/>
                <w:sz w:val="28"/>
                <w:szCs w:val="28"/>
                <w:highlight w:val="none"/>
              </w:rPr>
              <w:t>1.本项目投标保证金：人民币</w:t>
            </w:r>
            <w:r>
              <w:rPr>
                <w:rFonts w:hint="eastAsia" w:ascii="仿宋" w:hAnsi="仿宋" w:eastAsia="仿宋" w:cs="仿宋"/>
                <w:color w:val="auto"/>
                <w:sz w:val="28"/>
                <w:szCs w:val="28"/>
                <w:highlight w:val="none"/>
                <w:u w:val="single"/>
                <w:lang w:val="en-US" w:eastAsia="zh-CN"/>
              </w:rPr>
              <w:t>玖仟元</w:t>
            </w:r>
            <w:r>
              <w:rPr>
                <w:rFonts w:hint="eastAsia" w:ascii="仿宋" w:hAnsi="仿宋" w:eastAsia="仿宋" w:cs="仿宋"/>
                <w:color w:val="auto"/>
                <w:sz w:val="28"/>
                <w:szCs w:val="28"/>
                <w:highlight w:val="none"/>
              </w:rPr>
              <w:t>整。</w:t>
            </w:r>
          </w:p>
          <w:bookmarkEnd w:id="17"/>
          <w:p w14:paraId="36E7F819">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2.交纳截止时间：同电子投标文件提交截止时间。</w:t>
            </w:r>
          </w:p>
          <w:p w14:paraId="7C25A95A">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3.投标保证金的交纳单位必须与投标人名称一致，投标保证金须从其基本账户转出，否则其投标无效。</w:t>
            </w:r>
          </w:p>
          <w:p w14:paraId="4BDECC78">
            <w:pPr>
              <w:spacing w:line="520" w:lineRule="exact"/>
              <w:textAlignment w:val="top"/>
              <w:rPr>
                <w:rFonts w:hint="eastAsia" w:ascii="仿宋" w:hAnsi="仿宋" w:eastAsia="仿宋" w:cs="仿宋"/>
                <w:b/>
                <w:color w:val="000000" w:themeColor="text1"/>
                <w:sz w:val="28"/>
                <w:szCs w:val="28"/>
                <w:highlight w:val="none"/>
              </w:rPr>
            </w:pPr>
            <w:r>
              <w:rPr>
                <w:rFonts w:hint="eastAsia" w:ascii="仿宋" w:hAnsi="仿宋" w:eastAsia="仿宋" w:cs="仿宋"/>
                <w:b/>
                <w:color w:val="000000" w:themeColor="text1"/>
                <w:sz w:val="28"/>
                <w:szCs w:val="28"/>
                <w:highlight w:val="none"/>
              </w:rPr>
              <w:t>4.本项目的投标保证金必须通过国企阳光采购平台交纳，使用说明参见威海市公共资源交易网（http://ggzyjy.weihai.cn）的“办事指南—国企采购专区”中《国企阳光采购平台线上投标保证金操作手册》。</w:t>
            </w:r>
          </w:p>
          <w:p w14:paraId="3D56EB4A">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5</w:t>
            </w:r>
            <w:r>
              <w:rPr>
                <w:rFonts w:ascii="仿宋" w:hAnsi="仿宋" w:eastAsia="仿宋" w:cs="仿宋"/>
                <w:color w:val="000000" w:themeColor="text1"/>
                <w:sz w:val="28"/>
                <w:szCs w:val="28"/>
                <w:highlight w:val="none"/>
              </w:rPr>
              <w:t>.</w:t>
            </w:r>
            <w:r>
              <w:rPr>
                <w:rFonts w:hint="eastAsia" w:ascii="仿宋" w:hAnsi="仿宋" w:eastAsia="仿宋" w:cs="仿宋"/>
                <w:color w:val="000000" w:themeColor="text1"/>
                <w:sz w:val="28"/>
                <w:szCs w:val="28"/>
                <w:highlight w:val="none"/>
              </w:rPr>
              <w:t>为确保投标工作有序进行，投标保证金应当在提交投标文件截止时间前（以到账时间为准）到达</w:t>
            </w:r>
            <w:r>
              <w:rPr>
                <w:rFonts w:hint="eastAsia" w:ascii="仿宋" w:hAnsi="仿宋" w:eastAsia="仿宋" w:cs="仿宋"/>
                <w:b/>
                <w:color w:val="000000" w:themeColor="text1"/>
                <w:sz w:val="28"/>
                <w:szCs w:val="28"/>
                <w:highlight w:val="none"/>
              </w:rPr>
              <w:t>威海公共资源交易服务有限公司</w:t>
            </w:r>
            <w:r>
              <w:rPr>
                <w:rFonts w:hint="eastAsia" w:ascii="仿宋" w:hAnsi="仿宋" w:eastAsia="仿宋" w:cs="仿宋"/>
                <w:color w:val="000000" w:themeColor="text1"/>
                <w:sz w:val="28"/>
                <w:szCs w:val="28"/>
                <w:highlight w:val="none"/>
              </w:rPr>
              <w:t>账户，以网银、电汇等方式一次性足额交纳保证金，不接受支付宝等第三方平台转账。禁止第三方代交。投标保证金交纳单位应与提交投标文件的投标人名称一致。</w:t>
            </w:r>
          </w:p>
          <w:p w14:paraId="4A8D4B9A">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6</w:t>
            </w:r>
            <w:r>
              <w:rPr>
                <w:rFonts w:ascii="仿宋" w:hAnsi="仿宋" w:eastAsia="仿宋" w:cs="仿宋"/>
                <w:color w:val="000000" w:themeColor="text1"/>
                <w:sz w:val="28"/>
                <w:szCs w:val="28"/>
                <w:highlight w:val="none"/>
              </w:rPr>
              <w:t>.</w:t>
            </w:r>
            <w:r>
              <w:rPr>
                <w:rFonts w:hint="eastAsia" w:ascii="仿宋" w:hAnsi="仿宋" w:eastAsia="仿宋" w:cs="仿宋"/>
                <w:color w:val="000000" w:themeColor="text1"/>
                <w:sz w:val="28"/>
                <w:szCs w:val="28"/>
                <w:highlight w:val="none"/>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14:paraId="64F3CDE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
                <w:color w:val="000000" w:themeColor="text1"/>
                <w:sz w:val="28"/>
                <w:szCs w:val="28"/>
                <w:highlight w:val="none"/>
              </w:rPr>
              <w:t>7.退还保证金：</w:t>
            </w:r>
            <w:r>
              <w:rPr>
                <w:rFonts w:hint="eastAsia" w:ascii="仿宋" w:hAnsi="仿宋" w:eastAsia="仿宋" w:cs="仿宋"/>
                <w:color w:val="000000" w:themeColor="text1"/>
                <w:sz w:val="28"/>
                <w:szCs w:val="28"/>
                <w:highlight w:val="none"/>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2C25D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BCD66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24E5165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81" w:type="dxa"/>
            <w:tcBorders>
              <w:top w:val="single" w:color="auto" w:sz="4" w:space="0"/>
              <w:left w:val="single" w:color="auto" w:sz="4" w:space="0"/>
              <w:bottom w:val="single" w:color="auto" w:sz="4" w:space="0"/>
            </w:tcBorders>
            <w:vAlign w:val="center"/>
          </w:tcPr>
          <w:p w14:paraId="33C1BBE7">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3A60F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6866C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FDA890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881" w:type="dxa"/>
            <w:tcBorders>
              <w:top w:val="single" w:color="auto" w:sz="4" w:space="0"/>
              <w:left w:val="single" w:color="auto" w:sz="4" w:space="0"/>
              <w:bottom w:val="single" w:color="auto" w:sz="4" w:space="0"/>
            </w:tcBorders>
            <w:vAlign w:val="center"/>
          </w:tcPr>
          <w:p w14:paraId="1A9B55A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b w:val="0"/>
                <w:bCs w:val="0"/>
                <w:sz w:val="28"/>
                <w:szCs w:val="28"/>
                <w:highlight w:val="none"/>
              </w:rPr>
              <w:t>验收合格后，甲方每年付款三次，每次支付应付账款的约</w:t>
            </w:r>
            <w:r>
              <w:rPr>
                <w:rFonts w:hint="eastAsia" w:ascii="仿宋" w:hAnsi="仿宋" w:eastAsia="仿宋"/>
                <w:b w:val="0"/>
                <w:bCs w:val="0"/>
                <w:sz w:val="28"/>
                <w:szCs w:val="28"/>
                <w:highlight w:val="none"/>
                <w:u w:val="single"/>
                <w:lang w:val="en-US" w:eastAsia="zh-CN"/>
              </w:rPr>
              <w:t>25</w:t>
            </w:r>
            <w:r>
              <w:rPr>
                <w:rFonts w:hint="eastAsia" w:ascii="仿宋" w:hAnsi="仿宋" w:eastAsia="仿宋"/>
                <w:b w:val="0"/>
                <w:bCs w:val="0"/>
                <w:sz w:val="28"/>
                <w:szCs w:val="28"/>
                <w:highlight w:val="none"/>
                <w:u w:val="single"/>
              </w:rPr>
              <w:t>%</w:t>
            </w:r>
          </w:p>
        </w:tc>
      </w:tr>
      <w:tr w14:paraId="6F9CB3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5" w:hRule="atLeast"/>
          <w:jc w:val="center"/>
        </w:trPr>
        <w:tc>
          <w:tcPr>
            <w:tcW w:w="851" w:type="dxa"/>
            <w:vMerge w:val="restart"/>
            <w:tcBorders>
              <w:top w:val="single" w:color="auto" w:sz="4" w:space="0"/>
              <w:right w:val="single" w:color="auto" w:sz="4" w:space="0"/>
            </w:tcBorders>
            <w:vAlign w:val="center"/>
          </w:tcPr>
          <w:p w14:paraId="40300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A08B7D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81" w:type="dxa"/>
            <w:tcBorders>
              <w:top w:val="single" w:color="auto" w:sz="4" w:space="0"/>
              <w:left w:val="single" w:color="auto" w:sz="4" w:space="0"/>
              <w:bottom w:val="single" w:color="auto" w:sz="4" w:space="0"/>
            </w:tcBorders>
            <w:vAlign w:val="center"/>
          </w:tcPr>
          <w:p w14:paraId="5741986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Cs/>
                <w:color w:val="000000" w:themeColor="text1"/>
                <w:spacing w:val="8"/>
                <w:kern w:val="0"/>
                <w:sz w:val="28"/>
                <w:szCs w:val="28"/>
                <w:highlight w:val="none"/>
              </w:rPr>
              <w:t>招标代理服务费全部由中标单位支付，此费用包含在投标报价中，招标人不再另行考虑。具体以中标金额为基数参照原国家发展计划委员会规定的标准（详见《招标代理服务收费管理暂行办法》计价格［2002］1980号)文件“</w:t>
            </w:r>
            <w:r>
              <w:rPr>
                <w:rFonts w:hint="eastAsia" w:ascii="仿宋" w:hAnsi="仿宋" w:eastAsia="仿宋" w:cs="仿宋"/>
                <w:bCs/>
                <w:color w:val="000000" w:themeColor="text1"/>
                <w:spacing w:val="8"/>
                <w:kern w:val="0"/>
                <w:sz w:val="28"/>
                <w:szCs w:val="28"/>
                <w:highlight w:val="none"/>
                <w:lang w:val="en-US" w:eastAsia="zh-CN"/>
              </w:rPr>
              <w:t>货物</w:t>
            </w:r>
            <w:r>
              <w:rPr>
                <w:rFonts w:hint="eastAsia" w:ascii="仿宋" w:hAnsi="仿宋" w:eastAsia="仿宋" w:cs="仿宋"/>
                <w:bCs/>
                <w:color w:val="000000" w:themeColor="text1"/>
                <w:spacing w:val="8"/>
                <w:kern w:val="0"/>
                <w:sz w:val="28"/>
                <w:szCs w:val="28"/>
                <w:highlight w:val="none"/>
              </w:rPr>
              <w:t>类”标准，下浮20%收取。</w:t>
            </w:r>
          </w:p>
        </w:tc>
      </w:tr>
      <w:tr w14:paraId="5225E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48AAD2DD">
            <w:pPr>
              <w:shd w:val="clear"/>
              <w:spacing w:line="360" w:lineRule="auto"/>
              <w:jc w:val="center"/>
              <w:textAlignment w:val="top"/>
              <w:rPr>
                <w:rFonts w:hint="eastAsia"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63CC3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81" w:type="dxa"/>
            <w:tcBorders>
              <w:top w:val="single" w:color="auto" w:sz="4" w:space="0"/>
              <w:left w:val="single" w:color="auto" w:sz="4" w:space="0"/>
              <w:bottom w:val="single" w:color="auto" w:sz="4" w:space="0"/>
            </w:tcBorders>
            <w:vAlign w:val="center"/>
          </w:tcPr>
          <w:p w14:paraId="11451BA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专家评审费由中标人</w:t>
            </w:r>
            <w:r>
              <w:rPr>
                <w:rFonts w:hint="eastAsia" w:ascii="仿宋" w:hAnsi="仿宋" w:eastAsia="仿宋" w:cs="仿宋"/>
                <w:color w:val="auto"/>
                <w:sz w:val="28"/>
                <w:szCs w:val="28"/>
                <w:highlight w:val="none"/>
                <w:lang w:val="en-US" w:eastAsia="zh-CN"/>
              </w:rPr>
              <w:t>支付</w:t>
            </w:r>
            <w:r>
              <w:rPr>
                <w:rFonts w:hint="eastAsia" w:ascii="仿宋" w:hAnsi="仿宋" w:eastAsia="仿宋" w:cs="仿宋"/>
                <w:color w:val="auto"/>
                <w:sz w:val="28"/>
                <w:szCs w:val="28"/>
                <w:highlight w:val="none"/>
              </w:rPr>
              <w:t>，按实收取</w:t>
            </w:r>
          </w:p>
        </w:tc>
      </w:tr>
      <w:tr w14:paraId="44F48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A573F4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1C830D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81" w:type="dxa"/>
            <w:tcBorders>
              <w:top w:val="single" w:color="auto" w:sz="4" w:space="0"/>
              <w:left w:val="single" w:color="auto" w:sz="4" w:space="0"/>
              <w:bottom w:val="single" w:color="auto" w:sz="4" w:space="0"/>
            </w:tcBorders>
            <w:vAlign w:val="center"/>
          </w:tcPr>
          <w:p w14:paraId="1A4978D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是</w:t>
            </w:r>
          </w:p>
        </w:tc>
      </w:tr>
      <w:tr w14:paraId="547DF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E4251A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031D806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81" w:type="dxa"/>
            <w:tcBorders>
              <w:top w:val="single" w:color="auto" w:sz="4" w:space="0"/>
              <w:left w:val="single" w:color="auto" w:sz="4" w:space="0"/>
              <w:bottom w:val="single" w:color="auto" w:sz="4" w:space="0"/>
            </w:tcBorders>
            <w:vAlign w:val="center"/>
          </w:tcPr>
          <w:p w14:paraId="2298D7B6">
            <w:pPr>
              <w:numPr>
                <w:ilvl w:val="0"/>
                <w:numId w:val="2"/>
              </w:num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本项目按</w:t>
            </w:r>
            <w:r>
              <w:rPr>
                <w:rFonts w:hint="eastAsia" w:ascii="仿宋" w:hAnsi="仿宋" w:eastAsia="仿宋" w:cs="仿宋"/>
                <w:color w:val="auto"/>
                <w:sz w:val="28"/>
                <w:szCs w:val="28"/>
                <w:highlight w:val="none"/>
                <w:lang w:val="en-US" w:eastAsia="zh-CN"/>
              </w:rPr>
              <w:t>货物类</w:t>
            </w:r>
            <w:r>
              <w:rPr>
                <w:rFonts w:hint="eastAsia" w:ascii="仿宋" w:hAnsi="仿宋" w:eastAsia="仿宋" w:cs="仿宋"/>
                <w:color w:val="auto"/>
                <w:sz w:val="28"/>
                <w:szCs w:val="28"/>
                <w:highlight w:val="none"/>
              </w:rPr>
              <w:t>以公开招标方式实施采购。</w:t>
            </w:r>
          </w:p>
          <w:p w14:paraId="53B99F44">
            <w:pPr>
              <w:numPr>
                <w:ilvl w:val="0"/>
                <w:numId w:val="2"/>
              </w:num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000000" w:themeColor="text1"/>
                <w:sz w:val="28"/>
                <w:szCs w:val="28"/>
                <w:highlight w:val="none"/>
                <w:lang w:val="en-US" w:eastAsia="zh-CN"/>
              </w:rPr>
              <w:t>本文件要求提供的信用查询情况截图（包括“未被最高人民法院列入失信被执行人”以及“‘信用中国’或‘信用中国（山东）’无严重失信记录”）。</w:t>
            </w:r>
          </w:p>
          <w:p w14:paraId="7158D1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.如投标人在本次项目中弄虚作假成为中标人的，后期一经发现将取消其已中标资格，且今后不再录用，给招标人造成损失的，招标人有权索要赔偿。</w:t>
            </w:r>
          </w:p>
          <w:p w14:paraId="15B6A48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.投标人在本次招标成功中标后，拒绝或不能按照招标人的要求完成任务等，招标人有权撤销其已中标资格，给招标人造成损失的，招标人有权索要赔偿。</w:t>
            </w:r>
          </w:p>
          <w:p w14:paraId="17CF2A9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.投标人不得对本项目进行分包或转包。如投标人在中标后出现上述情况，一经招标人发现立即取消其中标资格。</w:t>
            </w:r>
          </w:p>
        </w:tc>
      </w:tr>
      <w:tr w14:paraId="1D82AC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1FB06DA6">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57A81E9">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信用信息报告查询路径</w:t>
            </w:r>
          </w:p>
        </w:tc>
        <w:tc>
          <w:tcPr>
            <w:tcW w:w="6881" w:type="dxa"/>
            <w:tcBorders>
              <w:top w:val="single" w:color="auto" w:sz="4" w:space="0"/>
              <w:left w:val="single" w:color="auto" w:sz="4" w:space="0"/>
              <w:bottom w:val="single" w:color="auto" w:sz="4" w:space="0"/>
            </w:tcBorders>
            <w:shd w:val="clear" w:color="auto" w:fill="auto"/>
            <w:vAlign w:val="center"/>
          </w:tcPr>
          <w:p w14:paraId="7DB46A1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52A1F61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158C7F6C">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r w14:paraId="73881A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612095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465427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投诉电话</w:t>
            </w:r>
          </w:p>
        </w:tc>
        <w:tc>
          <w:tcPr>
            <w:tcW w:w="6881" w:type="dxa"/>
            <w:tcBorders>
              <w:top w:val="single" w:color="auto" w:sz="4" w:space="0"/>
              <w:left w:val="single" w:color="auto" w:sz="4" w:space="0"/>
              <w:bottom w:val="single" w:color="auto" w:sz="4" w:space="0"/>
            </w:tcBorders>
            <w:shd w:val="clear" w:color="auto" w:fill="auto"/>
            <w:vAlign w:val="center"/>
          </w:tcPr>
          <w:p w14:paraId="524F8FC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0631-5978699</w:t>
            </w:r>
          </w:p>
        </w:tc>
      </w:tr>
      <w:tr w14:paraId="0E3EB9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5AAFA868">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4D3421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特别强调</w:t>
            </w:r>
          </w:p>
        </w:tc>
        <w:tc>
          <w:tcPr>
            <w:tcW w:w="6881" w:type="dxa"/>
            <w:tcBorders>
              <w:top w:val="single" w:color="auto" w:sz="4" w:space="0"/>
              <w:left w:val="single" w:color="auto" w:sz="4" w:space="0"/>
              <w:bottom w:val="single" w:color="auto" w:sz="4" w:space="0"/>
            </w:tcBorders>
            <w:shd w:val="clear" w:color="auto" w:fill="auto"/>
            <w:vAlign w:val="center"/>
          </w:tcPr>
          <w:p w14:paraId="20C63879">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1.因首次采用新版一网通办系统，各单位在参与本项目报名及投标过程中遇到任何问题请及时联系： </w:t>
            </w:r>
            <w:r>
              <w:rPr>
                <w:rFonts w:hint="eastAsia" w:ascii="仿宋" w:hAnsi="仿宋" w:eastAsia="仿宋" w:cs="仿宋"/>
                <w:color w:val="auto"/>
                <w:sz w:val="28"/>
                <w:szCs w:val="28"/>
                <w:highlight w:val="none"/>
                <w:lang w:eastAsia="zh-CN"/>
              </w:rPr>
              <w:t>国企采购技术支持电话：17863029936，国企采购</w:t>
            </w:r>
            <w:r>
              <w:rPr>
                <w:rFonts w:hint="eastAsia" w:ascii="仿宋" w:hAnsi="仿宋" w:eastAsia="仿宋" w:cs="仿宋"/>
                <w:color w:val="auto"/>
                <w:sz w:val="28"/>
                <w:szCs w:val="28"/>
                <w:highlight w:val="none"/>
                <w:lang w:val="en-US" w:eastAsia="zh-CN"/>
              </w:rPr>
              <w:t>技术</w:t>
            </w:r>
            <w:r>
              <w:rPr>
                <w:rFonts w:hint="eastAsia" w:ascii="仿宋" w:hAnsi="仿宋" w:eastAsia="仿宋" w:cs="仿宋"/>
                <w:color w:val="auto"/>
                <w:sz w:val="28"/>
                <w:szCs w:val="28"/>
                <w:highlight w:val="none"/>
                <w:lang w:eastAsia="zh-CN"/>
              </w:rPr>
              <w:t>支持QQ群（</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1046971257</w:t>
            </w:r>
            <w:r>
              <w:rPr>
                <w:rFonts w:hint="eastAsia" w:ascii="仿宋" w:hAnsi="仿宋" w:eastAsia="仿宋" w:cs="仿宋"/>
                <w:color w:val="auto"/>
                <w:sz w:val="28"/>
                <w:szCs w:val="28"/>
                <w:highlight w:val="none"/>
                <w:lang w:eastAsia="zh-CN"/>
              </w:rPr>
              <w:t>。</w:t>
            </w:r>
          </w:p>
          <w:p w14:paraId="651F7701">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2.重点核查的异常投标情形:</w:t>
            </w:r>
          </w:p>
          <w:p w14:paraId="40BBEECA">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(一)法律法规规定视为串通投标的情形；</w:t>
            </w:r>
          </w:p>
          <w:p w14:paraId="31A830B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(二)投标文件异常一致；</w:t>
            </w:r>
          </w:p>
          <w:p w14:paraId="3D48E1E7">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(三)投标活动异常关联；</w:t>
            </w:r>
          </w:p>
          <w:p w14:paraId="054A4D0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(四)通过受让、租借、挂靠资质投标，伪造、变造资质、资格证书或者其他许可证件，提供虚假业绩、奖项、项目负责人等材料。</w:t>
            </w:r>
          </w:p>
          <w:p w14:paraId="0DE42E3D">
            <w:pPr>
              <w:shd w:val="clear"/>
              <w:spacing w:line="240" w:lineRule="auto"/>
              <w:textAlignment w:val="top"/>
              <w:rPr>
                <w:rFonts w:hint="eastAsia" w:ascii="仿宋" w:hAnsi="仿宋" w:eastAsia="仿宋" w:cs="仿宋"/>
                <w:highlight w:val="none"/>
                <w:lang w:val="zh-CN" w:eastAsia="zh-CN"/>
              </w:rPr>
            </w:pPr>
            <w:r>
              <w:rPr>
                <w:rFonts w:hint="eastAsia" w:ascii="仿宋" w:hAnsi="仿宋" w:eastAsia="仿宋" w:cs="仿宋"/>
                <w:color w:val="auto"/>
                <w:sz w:val="28"/>
                <w:szCs w:val="28"/>
                <w:highlight w:val="none"/>
                <w:lang w:val="en-US" w:eastAsia="zh-CN"/>
              </w:rPr>
              <w:t>3.投标人未如实提供业绩(包括少报、漏报符合条件的业绩)，视为隐瞒业绩参与陪标。</w:t>
            </w:r>
          </w:p>
        </w:tc>
      </w:tr>
    </w:tbl>
    <w:p w14:paraId="5A6DAB17">
      <w:pPr>
        <w:shd w:val="clear"/>
        <w:spacing w:line="560" w:lineRule="exact"/>
        <w:ind w:firstLine="643" w:firstLineChars="201"/>
        <w:jc w:val="center"/>
        <w:rPr>
          <w:rFonts w:hint="eastAsia" w:ascii="仿宋" w:hAnsi="仿宋" w:eastAsia="仿宋" w:cs="仿宋"/>
          <w:color w:val="auto"/>
          <w:sz w:val="32"/>
          <w:szCs w:val="32"/>
          <w:highlight w:val="none"/>
        </w:rPr>
      </w:pPr>
    </w:p>
    <w:p w14:paraId="2E26F1DC">
      <w:pPr>
        <w:shd w:val="clear"/>
        <w:spacing w:line="560" w:lineRule="exact"/>
        <w:ind w:firstLine="643" w:firstLineChars="201"/>
        <w:jc w:val="center"/>
        <w:rPr>
          <w:rFonts w:hint="eastAsia" w:ascii="仿宋" w:hAnsi="仿宋" w:eastAsia="仿宋" w:cs="仿宋"/>
          <w:color w:val="auto"/>
          <w:sz w:val="32"/>
          <w:szCs w:val="32"/>
          <w:highlight w:val="none"/>
        </w:rPr>
      </w:pPr>
    </w:p>
    <w:p w14:paraId="46EE4A5D">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3E1A3C2E">
      <w:pPr>
        <w:shd w:val="clear"/>
        <w:spacing w:line="56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18AD4582">
      <w:pPr>
        <w:shd w:val="clear"/>
        <w:snapToGrid w:val="0"/>
        <w:spacing w:line="360" w:lineRule="auto"/>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5"/>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3B421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DC29B8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74C4250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vAlign w:val="center"/>
          </w:tcPr>
          <w:p w14:paraId="27121AA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08B971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5333A651">
            <w:pPr>
              <w:shd w:val="clear"/>
              <w:spacing w:line="360" w:lineRule="auto"/>
              <w:jc w:val="center"/>
              <w:textAlignment w:val="top"/>
              <w:rPr>
                <w:rFonts w:hint="eastAsia" w:ascii="仿宋" w:hAnsi="仿宋" w:eastAsia="仿宋" w:cs="仿宋"/>
                <w:color w:val="auto"/>
                <w:sz w:val="28"/>
                <w:szCs w:val="28"/>
                <w:highlight w:val="none"/>
              </w:rPr>
            </w:pPr>
            <w:bookmarkStart w:id="18"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vAlign w:val="center"/>
          </w:tcPr>
          <w:p w14:paraId="7B1BEA7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tcPr>
          <w:p w14:paraId="1E90C327">
            <w:pPr>
              <w:keepNext w:val="0"/>
              <w:keepLines w:val="0"/>
              <w:pageBreakBefore w:val="0"/>
              <w:widowControl w:val="0"/>
              <w:numPr>
                <w:ilvl w:val="0"/>
                <w:numId w:val="3"/>
              </w:numPr>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bookmarkStart w:id="19" w:name="_Hlk58066797"/>
            <w:r>
              <w:rPr>
                <w:rFonts w:hint="eastAsia" w:ascii="仿宋" w:hAnsi="仿宋" w:eastAsia="仿宋" w:cs="仿宋"/>
                <w:color w:val="000000" w:themeColor="text1"/>
                <w:sz w:val="28"/>
                <w:szCs w:val="28"/>
                <w:highlight w:val="none"/>
              </w:rPr>
              <w:t>投标</w:t>
            </w:r>
            <w:r>
              <w:rPr>
                <w:rFonts w:hint="eastAsia" w:ascii="仿宋" w:hAnsi="仿宋" w:eastAsia="仿宋" w:cs="仿宋"/>
                <w:color w:val="000000" w:themeColor="text1"/>
                <w:sz w:val="28"/>
                <w:szCs w:val="28"/>
                <w:highlight w:val="none"/>
                <w:lang w:val="en-US" w:eastAsia="zh-CN"/>
              </w:rPr>
              <w:t>人</w:t>
            </w:r>
            <w:r>
              <w:rPr>
                <w:rFonts w:hint="eastAsia" w:ascii="仿宋" w:hAnsi="仿宋" w:eastAsia="仿宋" w:cs="仿宋"/>
                <w:color w:val="000000" w:themeColor="text1"/>
                <w:sz w:val="28"/>
                <w:szCs w:val="28"/>
                <w:highlight w:val="none"/>
              </w:rPr>
              <w:t>营业执照扫描件</w:t>
            </w:r>
            <w:r>
              <w:rPr>
                <w:rFonts w:hint="eastAsia" w:ascii="仿宋" w:hAnsi="仿宋" w:eastAsia="仿宋" w:cs="仿宋"/>
                <w:color w:val="auto"/>
                <w:sz w:val="28"/>
                <w:szCs w:val="28"/>
                <w:highlight w:val="none"/>
              </w:rPr>
              <w:t>；</w:t>
            </w:r>
          </w:p>
          <w:p w14:paraId="3929BABF">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法定代表人身份证明、法定代表人身份证扫描件；</w:t>
            </w:r>
          </w:p>
          <w:p w14:paraId="209218F2">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.法定代表人授权委托书、被授权人身份证扫描件；</w:t>
            </w:r>
          </w:p>
          <w:p w14:paraId="2C5688B8">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lang w:val="en-US" w:eastAsia="zh-CN"/>
              </w:rPr>
              <w:t>4.具备涉及饮用水卫生安全产品卫生许可批件</w:t>
            </w:r>
            <w:r>
              <w:rPr>
                <w:rFonts w:hint="eastAsia" w:ascii="仿宋" w:hAnsi="仿宋" w:eastAsia="仿宋" w:cs="仿宋"/>
                <w:color w:val="auto"/>
                <w:sz w:val="28"/>
                <w:szCs w:val="28"/>
                <w:highlight w:val="none"/>
              </w:rPr>
              <w:t>；</w:t>
            </w:r>
          </w:p>
          <w:p w14:paraId="63099177">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47A009B8">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1"/>
                <w:szCs w:val="21"/>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114C791F">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近一年在“信用中国”或“信用中国（山东）”无严重失信记录，投标文件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bookmarkEnd w:id="19"/>
          <w:p w14:paraId="47A5F779">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.投标人参与投标的声明函。</w:t>
            </w:r>
          </w:p>
        </w:tc>
      </w:tr>
      <w:bookmarkEnd w:id="18"/>
      <w:tr w14:paraId="4844E7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2D8303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vAlign w:val="center"/>
          </w:tcPr>
          <w:p w14:paraId="589770E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vAlign w:val="center"/>
          </w:tcPr>
          <w:p w14:paraId="3FE7D171">
            <w:pPr>
              <w:numPr>
                <w:ilvl w:val="0"/>
                <w:numId w:val="4"/>
              </w:num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投标报价不高于最高限价；</w:t>
            </w:r>
          </w:p>
          <w:p w14:paraId="2628574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.投标文件按规定签署及盖章；</w:t>
            </w:r>
          </w:p>
          <w:p w14:paraId="4D31BB7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供货</w:t>
            </w:r>
            <w:r>
              <w:rPr>
                <w:rFonts w:hint="eastAsia" w:ascii="仿宋" w:hAnsi="仿宋" w:eastAsia="仿宋" w:cs="仿宋"/>
                <w:color w:val="auto"/>
                <w:sz w:val="28"/>
                <w:szCs w:val="28"/>
                <w:highlight w:val="none"/>
              </w:rPr>
              <w:t>期等满足招标文件要求；</w:t>
            </w:r>
          </w:p>
          <w:p w14:paraId="038765D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.不存在招标文件规定的关于投标人串通投标的情形及其他投标无效的情形。</w:t>
            </w:r>
          </w:p>
        </w:tc>
      </w:tr>
    </w:tbl>
    <w:p w14:paraId="6B657B20">
      <w:pPr>
        <w:pStyle w:val="3"/>
        <w:shd w:val="clear"/>
        <w:spacing w:line="240" w:lineRule="auto"/>
        <w:rPr>
          <w:rStyle w:val="432"/>
          <w:rFonts w:hint="eastAsia" w:ascii="仿宋" w:hAnsi="仿宋" w:eastAsia="仿宋" w:cs="仿宋"/>
          <w:b/>
          <w:bCs/>
          <w:color w:val="auto"/>
          <w:kern w:val="2"/>
          <w:sz w:val="28"/>
          <w:szCs w:val="32"/>
          <w:highlight w:val="none"/>
        </w:rPr>
      </w:pPr>
      <w:bookmarkStart w:id="20" w:name="_Toc66864042"/>
      <w:bookmarkStart w:id="21" w:name="_Toc11187"/>
      <w:r>
        <w:rPr>
          <w:rStyle w:val="432"/>
          <w:rFonts w:hint="eastAsia" w:ascii="仿宋" w:hAnsi="仿宋" w:eastAsia="仿宋" w:cs="仿宋"/>
          <w:b/>
          <w:bCs/>
          <w:color w:val="auto"/>
          <w:kern w:val="2"/>
          <w:sz w:val="28"/>
          <w:szCs w:val="32"/>
          <w:highlight w:val="none"/>
        </w:rPr>
        <w:t>一、说明</w:t>
      </w:r>
      <w:bookmarkEnd w:id="20"/>
      <w:bookmarkEnd w:id="21"/>
    </w:p>
    <w:p w14:paraId="382A525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EE66708">
      <w:pPr>
        <w:shd w:val="clear"/>
        <w:snapToGrid w:val="0"/>
        <w:spacing w:line="240" w:lineRule="auto"/>
        <w:ind w:firstLine="565" w:firstLineChars="201"/>
        <w:rPr>
          <w:rFonts w:hint="eastAsia" w:ascii="仿宋" w:hAnsi="仿宋" w:eastAsia="仿宋" w:cs="仿宋"/>
          <w:b/>
          <w:color w:val="auto"/>
          <w:sz w:val="28"/>
          <w:szCs w:val="28"/>
          <w:highlight w:val="none"/>
        </w:rPr>
      </w:pPr>
      <w:bookmarkStart w:id="22" w:name="_Hlk154667578"/>
      <w:r>
        <w:rPr>
          <w:rFonts w:hint="eastAsia" w:ascii="仿宋" w:hAnsi="仿宋" w:eastAsia="仿宋" w:cs="仿宋"/>
          <w:b/>
          <w:color w:val="auto"/>
          <w:sz w:val="28"/>
          <w:szCs w:val="28"/>
          <w:highlight w:val="none"/>
        </w:rPr>
        <w:t>1.适用范围</w:t>
      </w:r>
    </w:p>
    <w:p w14:paraId="2B62CDC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6D8310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1.2本招标文件的解释权为招标代理机构，以书面解释为准。</w:t>
      </w:r>
    </w:p>
    <w:p w14:paraId="1D5513F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3BAD65C7">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4A9C706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2.1投标人应承担所有与准备和参加报价的全部费用。不论电子投标结果如何，招标代理机构和招标人均无义务和责任承担这些费用。</w:t>
      </w:r>
    </w:p>
    <w:p w14:paraId="436568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2.2本项目若涉及招标货物，则合格的货物及相应服务应满足以下要求：</w:t>
      </w:r>
    </w:p>
    <w:p w14:paraId="045B47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6E3AF7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24B6E0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641A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EAB1F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lang w:eastAsia="zh-CN"/>
        </w:rPr>
        <w:t>家</w:t>
      </w:r>
      <w:r>
        <w:rPr>
          <w:rFonts w:hint="eastAsia" w:ascii="仿宋" w:hAnsi="仿宋" w:eastAsia="仿宋" w:cs="仿宋"/>
          <w:b/>
          <w:color w:val="auto"/>
          <w:sz w:val="28"/>
          <w:szCs w:val="28"/>
          <w:highlight w:val="none"/>
        </w:rPr>
        <w:t>的，本项目直接废标。</w:t>
      </w:r>
    </w:p>
    <w:bookmarkEnd w:id="22"/>
    <w:p w14:paraId="7F222BA9">
      <w:pPr>
        <w:pStyle w:val="3"/>
        <w:shd w:val="clear"/>
        <w:spacing w:line="240" w:lineRule="auto"/>
        <w:rPr>
          <w:rStyle w:val="432"/>
          <w:rFonts w:hint="eastAsia" w:ascii="仿宋" w:hAnsi="仿宋" w:eastAsia="仿宋" w:cs="仿宋"/>
          <w:b/>
          <w:bCs/>
          <w:color w:val="auto"/>
          <w:kern w:val="2"/>
          <w:sz w:val="28"/>
          <w:szCs w:val="32"/>
          <w:highlight w:val="none"/>
        </w:rPr>
      </w:pPr>
      <w:bookmarkStart w:id="23" w:name="_Toc15271"/>
      <w:bookmarkStart w:id="24" w:name="_Toc66864043"/>
      <w:r>
        <w:rPr>
          <w:rStyle w:val="432"/>
          <w:rFonts w:hint="eastAsia" w:ascii="仿宋" w:hAnsi="仿宋" w:eastAsia="仿宋" w:cs="仿宋"/>
          <w:b/>
          <w:bCs/>
          <w:color w:val="auto"/>
          <w:kern w:val="2"/>
          <w:sz w:val="28"/>
          <w:szCs w:val="32"/>
          <w:highlight w:val="none"/>
        </w:rPr>
        <w:t>二、招标文件</w:t>
      </w:r>
      <w:bookmarkEnd w:id="23"/>
      <w:bookmarkEnd w:id="24"/>
    </w:p>
    <w:p w14:paraId="4E9AC3F3">
      <w:pPr>
        <w:shd w:val="clear"/>
        <w:spacing w:line="240" w:lineRule="auto"/>
        <w:ind w:firstLine="565" w:firstLineChars="201"/>
        <w:rPr>
          <w:rFonts w:hint="eastAsia" w:ascii="仿宋" w:hAnsi="仿宋" w:eastAsia="仿宋" w:cs="仿宋"/>
          <w:b/>
          <w:color w:val="auto"/>
          <w:sz w:val="28"/>
          <w:szCs w:val="28"/>
          <w:highlight w:val="none"/>
        </w:rPr>
      </w:pPr>
      <w:bookmarkStart w:id="25" w:name="_Hlk154667588"/>
      <w:r>
        <w:rPr>
          <w:rFonts w:hint="eastAsia" w:ascii="仿宋" w:hAnsi="仿宋" w:eastAsia="仿宋" w:cs="仿宋"/>
          <w:b/>
          <w:color w:val="auto"/>
          <w:sz w:val="28"/>
          <w:szCs w:val="28"/>
          <w:highlight w:val="none"/>
        </w:rPr>
        <w:t>3.招标文件的构成</w:t>
      </w:r>
    </w:p>
    <w:p w14:paraId="2639832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07E569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3.1本文件（word格式）由下列文件组成：</w:t>
      </w:r>
    </w:p>
    <w:p w14:paraId="1B8DD78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93A61F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87C0C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2E08CC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72ACF7D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0CA7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4D2A3B8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1C4AE0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3.2数据文件（excel格式）由下列文件组成：</w:t>
      </w:r>
    </w:p>
    <w:p w14:paraId="2DA2A5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1AE621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54437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5A33F4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A4FD1A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1C4F98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5"/>
    <w:p w14:paraId="648F3E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39254247">
      <w:pPr>
        <w:shd w:val="clear"/>
        <w:spacing w:line="240" w:lineRule="auto"/>
        <w:ind w:firstLine="562" w:firstLineChars="201"/>
        <w:rPr>
          <w:rFonts w:hint="eastAsia" w:ascii="仿宋" w:hAnsi="仿宋" w:eastAsia="仿宋" w:cs="仿宋"/>
          <w:color w:val="auto"/>
          <w:sz w:val="28"/>
          <w:szCs w:val="28"/>
          <w:highlight w:val="none"/>
        </w:rPr>
      </w:pPr>
      <w:bookmarkStart w:id="26" w:name="_Hlk154667598"/>
      <w:r>
        <w:rPr>
          <w:rFonts w:hint="eastAsia" w:ascii="仿宋" w:hAnsi="仿宋" w:eastAsia="仿宋" w:cs="仿宋"/>
          <w:color w:val="auto"/>
          <w:sz w:val="28"/>
          <w:szCs w:val="28"/>
          <w:highlight w:val="none"/>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D2BE5F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bookmarkEnd w:id="26"/>
    <w:p w14:paraId="6E6D3B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7362C1E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18792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D33F63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5A50204">
      <w:pPr>
        <w:pStyle w:val="3"/>
        <w:shd w:val="clear"/>
        <w:spacing w:line="240" w:lineRule="auto"/>
        <w:rPr>
          <w:rStyle w:val="432"/>
          <w:rFonts w:hint="eastAsia" w:ascii="仿宋" w:hAnsi="仿宋" w:eastAsia="仿宋" w:cs="仿宋"/>
          <w:b/>
          <w:bCs/>
          <w:color w:val="auto"/>
          <w:kern w:val="2"/>
          <w:sz w:val="28"/>
          <w:szCs w:val="32"/>
          <w:highlight w:val="none"/>
        </w:rPr>
      </w:pPr>
      <w:bookmarkStart w:id="27" w:name="_Toc15517"/>
      <w:bookmarkStart w:id="28" w:name="_Toc66864044"/>
      <w:r>
        <w:rPr>
          <w:rStyle w:val="432"/>
          <w:rFonts w:hint="eastAsia" w:ascii="仿宋" w:hAnsi="仿宋" w:eastAsia="仿宋" w:cs="仿宋"/>
          <w:b/>
          <w:bCs/>
          <w:color w:val="auto"/>
          <w:kern w:val="2"/>
          <w:sz w:val="28"/>
          <w:szCs w:val="32"/>
          <w:highlight w:val="none"/>
        </w:rPr>
        <w:t>三、投标文件的编制</w:t>
      </w:r>
      <w:bookmarkEnd w:id="27"/>
      <w:bookmarkEnd w:id="28"/>
    </w:p>
    <w:p w14:paraId="42545542">
      <w:pPr>
        <w:shd w:val="clear"/>
        <w:spacing w:line="240" w:lineRule="auto"/>
        <w:ind w:firstLine="565" w:firstLineChars="201"/>
        <w:rPr>
          <w:rFonts w:hint="eastAsia" w:ascii="仿宋" w:hAnsi="仿宋" w:eastAsia="仿宋" w:cs="仿宋"/>
          <w:b/>
          <w:color w:val="auto"/>
          <w:sz w:val="28"/>
          <w:szCs w:val="28"/>
          <w:highlight w:val="none"/>
        </w:rPr>
      </w:pPr>
      <w:bookmarkStart w:id="29" w:name="_Hlk154667644"/>
      <w:r>
        <w:rPr>
          <w:rFonts w:hint="eastAsia" w:ascii="仿宋" w:hAnsi="仿宋" w:eastAsia="仿宋" w:cs="仿宋"/>
          <w:b/>
          <w:color w:val="auto"/>
          <w:sz w:val="28"/>
          <w:szCs w:val="28"/>
          <w:highlight w:val="none"/>
        </w:rPr>
        <w:t>6.投标文件编制要求</w:t>
      </w:r>
    </w:p>
    <w:p w14:paraId="6345C7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3326C0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0E69741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9EE6EE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77DD260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6.5投标人按照招标文件要求所提供的各种证明文件必须真实且合法有效,确保清晰度可辨认，评审时由于无法辨认所产生的后果，由投标人自行承担。</w:t>
      </w:r>
    </w:p>
    <w:p w14:paraId="6FD4037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49FFD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639129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5B4009A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bookmarkEnd w:id="29"/>
    <w:p w14:paraId="5D9C3D0E">
      <w:pPr>
        <w:shd w:val="clear"/>
        <w:spacing w:line="240" w:lineRule="auto"/>
        <w:ind w:firstLine="565" w:firstLineChars="201"/>
        <w:rPr>
          <w:rFonts w:hint="eastAsia" w:ascii="仿宋" w:hAnsi="仿宋" w:eastAsia="仿宋" w:cs="仿宋"/>
          <w:b/>
          <w:color w:val="auto"/>
          <w:sz w:val="28"/>
          <w:szCs w:val="28"/>
          <w:highlight w:val="none"/>
        </w:rPr>
      </w:pPr>
      <w:bookmarkStart w:id="30" w:name="_Hlk154667652"/>
      <w:r>
        <w:rPr>
          <w:rFonts w:hint="eastAsia" w:ascii="仿宋" w:hAnsi="仿宋" w:eastAsia="仿宋" w:cs="仿宋"/>
          <w:b/>
          <w:color w:val="auto"/>
          <w:sz w:val="28"/>
          <w:szCs w:val="28"/>
          <w:highlight w:val="none"/>
        </w:rPr>
        <w:t>7.数据文件编制要求</w:t>
      </w:r>
    </w:p>
    <w:p w14:paraId="1AE3CBB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3E1EB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1E2139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bookmarkEnd w:id="30"/>
    <w:p w14:paraId="3580C561">
      <w:pPr>
        <w:shd w:val="clear"/>
        <w:spacing w:line="240" w:lineRule="auto"/>
        <w:ind w:firstLine="565" w:firstLineChars="201"/>
        <w:rPr>
          <w:rFonts w:hint="eastAsia" w:ascii="仿宋" w:hAnsi="仿宋" w:eastAsia="仿宋" w:cs="仿宋"/>
          <w:b/>
          <w:color w:val="auto"/>
          <w:sz w:val="28"/>
          <w:szCs w:val="28"/>
          <w:highlight w:val="none"/>
        </w:rPr>
      </w:pPr>
      <w:bookmarkStart w:id="31" w:name="_Hlk154667662"/>
      <w:r>
        <w:rPr>
          <w:rFonts w:hint="eastAsia" w:ascii="仿宋" w:hAnsi="仿宋" w:eastAsia="仿宋" w:cs="仿宋"/>
          <w:b/>
          <w:color w:val="auto"/>
          <w:sz w:val="28"/>
          <w:szCs w:val="28"/>
          <w:highlight w:val="none"/>
        </w:rPr>
        <w:t>8.文件构成</w:t>
      </w:r>
    </w:p>
    <w:p w14:paraId="6A6BFC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投标人应按不同包段分别编制投标文件，每个包段的投标文件分两册必须包括：投标文件（pdf格式）（第一册）、数据文件（PDF格式）（第二册），以上内容缺一不可，否则为无效投标。</w:t>
      </w:r>
    </w:p>
    <w:p w14:paraId="4EC512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bookmarkEnd w:id="31"/>
    <w:p w14:paraId="72DDD941">
      <w:pPr>
        <w:shd w:val="clear"/>
        <w:spacing w:line="240" w:lineRule="auto"/>
        <w:ind w:firstLine="562" w:firstLineChars="201"/>
        <w:rPr>
          <w:rFonts w:hint="eastAsia" w:ascii="仿宋" w:hAnsi="仿宋" w:eastAsia="仿宋" w:cs="宋体"/>
          <w:color w:val="auto"/>
          <w:sz w:val="28"/>
          <w:szCs w:val="28"/>
          <w:highlight w:val="none"/>
          <w:lang w:eastAsia="zh-CN"/>
        </w:rPr>
      </w:pPr>
      <w:bookmarkStart w:id="32" w:name="_Hlk154667818"/>
      <w:r>
        <w:rPr>
          <w:rFonts w:hint="eastAsia" w:ascii="仿宋" w:hAnsi="仿宋" w:eastAsia="仿宋" w:cs="宋体"/>
          <w:color w:val="auto"/>
          <w:sz w:val="28"/>
          <w:szCs w:val="28"/>
          <w:highlight w:val="none"/>
        </w:rPr>
        <w:t>属于固定格式的须按招标公司提供的格式填写，详见第五部分 投标文件（格式）</w:t>
      </w:r>
      <w:r>
        <w:rPr>
          <w:rFonts w:hint="eastAsia" w:ascii="仿宋" w:hAnsi="仿宋" w:eastAsia="仿宋" w:cs="宋体"/>
          <w:color w:val="auto"/>
          <w:sz w:val="28"/>
          <w:szCs w:val="28"/>
          <w:highlight w:val="none"/>
          <w:lang w:eastAsia="zh-CN"/>
        </w:rPr>
        <w:t>。</w:t>
      </w:r>
    </w:p>
    <w:p w14:paraId="68401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7DAA72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7550BE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585E1D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E42AFB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bookmarkEnd w:id="32"/>
    <w:p w14:paraId="06C3966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077DDA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9.1投标人所提供的货物均以人民币报价，精确到小数点后两位。</w:t>
      </w:r>
    </w:p>
    <w:p w14:paraId="07573DC8">
      <w:pPr>
        <w:shd w:val="clear"/>
        <w:spacing w:line="240" w:lineRule="auto"/>
        <w:ind w:firstLine="562" w:firstLineChars="201"/>
        <w:rPr>
          <w:rFonts w:hint="eastAsia" w:ascii="仿宋" w:hAnsi="仿宋" w:eastAsia="仿宋" w:cs="仿宋"/>
          <w:color w:val="auto"/>
          <w:sz w:val="28"/>
          <w:szCs w:val="28"/>
          <w:highlight w:val="none"/>
        </w:rPr>
      </w:pPr>
      <w:bookmarkStart w:id="33" w:name="_Hlk154667840"/>
      <w:r>
        <w:rPr>
          <w:rFonts w:hint="eastAsia" w:ascii="仿宋" w:hAnsi="仿宋" w:eastAsia="仿宋" w:cs="仿宋"/>
          <w:color w:val="auto"/>
          <w:sz w:val="28"/>
          <w:szCs w:val="28"/>
          <w:highlight w:val="none"/>
        </w:rPr>
        <w:t>9.2投标人应按照“第四章采购项目说明”的要求以及合同条款进行报价。并按数据文件中“投标报价表（含明细）”规定的格式报出分项价格。</w:t>
      </w:r>
    </w:p>
    <w:p w14:paraId="1373EEB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3FB3BC2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075353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77A713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w:t>
      </w:r>
      <w:bookmarkEnd w:id="33"/>
      <w:r>
        <w:rPr>
          <w:rFonts w:hint="eastAsia" w:ascii="仿宋" w:hAnsi="仿宋" w:eastAsia="仿宋" w:cs="仿宋"/>
          <w:color w:val="auto"/>
          <w:sz w:val="28"/>
          <w:szCs w:val="28"/>
          <w:highlight w:val="none"/>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346C533E">
      <w:pPr>
        <w:shd w:val="clear"/>
        <w:spacing w:line="240" w:lineRule="auto"/>
        <w:ind w:firstLine="562" w:firstLineChars="201"/>
        <w:rPr>
          <w:rFonts w:hint="eastAsia" w:ascii="仿宋" w:hAnsi="仿宋" w:eastAsia="仿宋" w:cs="仿宋"/>
          <w:color w:val="auto"/>
          <w:sz w:val="28"/>
          <w:szCs w:val="28"/>
          <w:highlight w:val="none"/>
        </w:rPr>
      </w:pPr>
      <w:bookmarkStart w:id="34" w:name="_Hlk154667928"/>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3A6C87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供货、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42FBB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6D46BC5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20E5F5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（7）《投标报价表（含明细）》中合价将由单价乘以数量自动计算，无需手工录入。</w:t>
      </w:r>
    </w:p>
    <w:p w14:paraId="4F037B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403E10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（1）有底色标识的单元格须填写，有“*”的列是必输项，任何必输项为空都可能导致您的本次投标无效；</w:t>
      </w:r>
    </w:p>
    <w:p w14:paraId="27450C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78F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41506D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642F4F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5963E8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（6）该表为固定格式且有数字指纹，必须在原表上填写，填写完毕后只可保存不可另存。删除该表、增加该表、增加行列、删除行列、对固定格式的任何改动均会导致无效投标；</w:t>
      </w:r>
    </w:p>
    <w:bookmarkEnd w:id="34"/>
    <w:p w14:paraId="3A504CA2">
      <w:pPr>
        <w:shd w:val="clear"/>
        <w:spacing w:line="240" w:lineRule="auto"/>
        <w:ind w:firstLine="562" w:firstLineChars="201"/>
        <w:rPr>
          <w:rFonts w:hint="eastAsia" w:ascii="仿宋" w:hAnsi="仿宋" w:eastAsia="仿宋" w:cs="仿宋"/>
          <w:color w:val="auto"/>
          <w:sz w:val="28"/>
          <w:szCs w:val="28"/>
          <w:highlight w:val="none"/>
        </w:rPr>
      </w:pPr>
      <w:bookmarkStart w:id="35" w:name="_Hlk154667948"/>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9.6投标人的报价在合同执行过程中是固定不变的，不得以任何理由改变。所有价格折扣、优惠条件必须在报价明细表中注明，否则评审时不予认可。</w:t>
      </w:r>
    </w:p>
    <w:p w14:paraId="7A882A9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609EB70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4C2FCA7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03BFD8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191A20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431D2DE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4EB78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4D228CF4">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3927E5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11.1投标人拟将项目的非主体、非关键性工作分包的，应当在投标文件中载明分包承担主体，分包承担主体应当具备相应资质条件且不得再次分包。</w:t>
      </w:r>
    </w:p>
    <w:p w14:paraId="3615A3B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11.2投标人应当就分包项目向招标人负责，分包承担主体就分包项目承担责任。</w:t>
      </w:r>
    </w:p>
    <w:p w14:paraId="2BD52D8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74F6AF8E">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190112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CF8AA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0EFCEB3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7C489C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2E1106A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0371247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44049D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304AAE5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13085AF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30E44B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6911849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152224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14.3有下列情况之一的，投标保证金不予返还。</w:t>
      </w:r>
    </w:p>
    <w:p w14:paraId="54361B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2963B00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0DBD50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（3）除因不可抗力或招标文件认可的情形以外，中标人不与招标人签订合同的；</w:t>
      </w:r>
    </w:p>
    <w:p w14:paraId="13E419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（4）投标人与招标人、其他投标人或者招标代理机构恶意串通的；</w:t>
      </w:r>
    </w:p>
    <w:p w14:paraId="6549FEE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59D643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01032B2B">
      <w:pPr>
        <w:pStyle w:val="52"/>
        <w:shd w:val="clear" w:color="auto"/>
        <w:spacing w:before="0" w:beforeAutospacing="0" w:after="0" w:afterAutospacing="0" w:line="240" w:lineRule="auto"/>
        <w:ind w:firstLine="64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bookmarkEnd w:id="35"/>
    <w:p w14:paraId="2DAEFCD6">
      <w:pPr>
        <w:shd w:val="clear"/>
        <w:spacing w:line="240" w:lineRule="auto"/>
        <w:ind w:firstLine="565" w:firstLineChars="201"/>
        <w:rPr>
          <w:rFonts w:hint="eastAsia" w:ascii="仿宋" w:hAnsi="仿宋" w:eastAsia="仿宋" w:cs="仿宋"/>
          <w:b/>
          <w:color w:val="auto"/>
          <w:sz w:val="28"/>
          <w:szCs w:val="28"/>
          <w:highlight w:val="none"/>
        </w:rPr>
      </w:pPr>
      <w:bookmarkStart w:id="36" w:name="_Hlk154667959"/>
      <w:r>
        <w:rPr>
          <w:rFonts w:hint="eastAsia" w:ascii="仿宋" w:hAnsi="仿宋" w:eastAsia="仿宋" w:cs="仿宋"/>
          <w:b/>
          <w:color w:val="auto"/>
          <w:sz w:val="28"/>
          <w:szCs w:val="28"/>
          <w:highlight w:val="none"/>
        </w:rPr>
        <w:t>15.履约保证金的交纳与返还</w:t>
      </w:r>
    </w:p>
    <w:p w14:paraId="563DE4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该项目无需交纳履约保证金。</w:t>
      </w:r>
    </w:p>
    <w:p w14:paraId="7A49AE7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5E9F6A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5366FA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61C4D8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033E414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1D6EB71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087922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（5）可使用系统的批量盖章功能快速签章。但须逐页浏览检查并注意印章</w:t>
      </w:r>
      <w:bookmarkEnd w:id="36"/>
      <w:r>
        <w:rPr>
          <w:rFonts w:hint="eastAsia" w:ascii="仿宋" w:hAnsi="仿宋" w:eastAsia="仿宋" w:cs="仿宋"/>
          <w:color w:val="auto"/>
          <w:sz w:val="28"/>
          <w:szCs w:val="28"/>
          <w:highlight w:val="none"/>
        </w:rPr>
        <w:t>重叠及完整性。</w:t>
      </w:r>
    </w:p>
    <w:p w14:paraId="2E90AB64">
      <w:pPr>
        <w:shd w:val="clear"/>
        <w:spacing w:line="240" w:lineRule="auto"/>
        <w:ind w:firstLine="562" w:firstLineChars="201"/>
        <w:rPr>
          <w:rFonts w:hint="eastAsia" w:ascii="仿宋" w:hAnsi="仿宋" w:eastAsia="仿宋" w:cs="仿宋"/>
          <w:color w:val="auto"/>
          <w:sz w:val="28"/>
          <w:szCs w:val="28"/>
          <w:highlight w:val="none"/>
        </w:rPr>
      </w:pPr>
      <w:bookmarkStart w:id="37" w:name="_Hlk154667982"/>
      <w:r>
        <w:rPr>
          <w:rFonts w:hint="eastAsia" w:ascii="仿宋" w:hAnsi="仿宋" w:eastAsia="仿宋" w:cs="仿宋"/>
          <w:color w:val="auto"/>
          <w:sz w:val="28"/>
          <w:szCs w:val="28"/>
          <w:highlight w:val="none"/>
        </w:rPr>
        <w:t>（6）采用扫描粘贴投标人公章或扫描法定代表人人名章而不加盖单位电子公章的为无效投标。</w:t>
      </w:r>
    </w:p>
    <w:p w14:paraId="51B3EC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085E3A0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05D91F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648E0D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（3）采用扫描粘贴投标人公章或法定代表人人名章的为无效投标。</w:t>
      </w:r>
    </w:p>
    <w:p w14:paraId="42C470B9">
      <w:pPr>
        <w:pStyle w:val="3"/>
        <w:shd w:val="clear"/>
        <w:spacing w:line="240" w:lineRule="auto"/>
        <w:rPr>
          <w:rStyle w:val="432"/>
          <w:rFonts w:hint="eastAsia" w:ascii="仿宋" w:hAnsi="仿宋" w:eastAsia="仿宋" w:cs="仿宋"/>
          <w:b/>
          <w:bCs/>
          <w:color w:val="auto"/>
          <w:kern w:val="2"/>
          <w:sz w:val="28"/>
          <w:szCs w:val="32"/>
          <w:highlight w:val="none"/>
        </w:rPr>
      </w:pPr>
      <w:bookmarkStart w:id="38" w:name="_Toc66864045"/>
      <w:bookmarkStart w:id="39" w:name="_Toc7736"/>
      <w:r>
        <w:rPr>
          <w:rStyle w:val="432"/>
          <w:rFonts w:hint="eastAsia" w:ascii="仿宋" w:hAnsi="仿宋" w:eastAsia="仿宋" w:cs="仿宋"/>
          <w:b/>
          <w:bCs/>
          <w:color w:val="auto"/>
          <w:kern w:val="2"/>
          <w:sz w:val="28"/>
          <w:szCs w:val="32"/>
          <w:highlight w:val="none"/>
        </w:rPr>
        <w:t>四、投标文件的提交</w:t>
      </w:r>
      <w:bookmarkEnd w:id="38"/>
      <w:bookmarkEnd w:id="39"/>
    </w:p>
    <w:p w14:paraId="6ED7488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6EBE486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69C3F0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1F70355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43828B1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33BA3BB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4A7C89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710626AA">
      <w:pPr>
        <w:shd w:val="clear"/>
        <w:spacing w:line="24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097015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381B3A2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17B46FD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60FCAF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5638DDF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75E5AE95">
      <w:pPr>
        <w:shd w:val="clear"/>
        <w:spacing w:line="240" w:lineRule="auto"/>
        <w:ind w:firstLine="562" w:firstLineChars="201"/>
        <w:rPr>
          <w:rFonts w:hint="eastAsia" w:ascii="仿宋" w:hAnsi="仿宋" w:eastAsia="仿宋" w:cs="仿宋"/>
          <w:color w:val="auto"/>
          <w:sz w:val="28"/>
          <w:szCs w:val="28"/>
          <w:highlight w:val="none"/>
        </w:rPr>
      </w:pPr>
      <w:bookmarkStart w:id="40"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1A3DF9A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40"/>
      <w:r>
        <w:rPr>
          <w:rFonts w:hint="eastAsia" w:ascii="仿宋" w:hAnsi="仿宋" w:eastAsia="仿宋" w:cs="仿宋"/>
          <w:b/>
          <w:color w:val="auto"/>
          <w:sz w:val="28"/>
          <w:szCs w:val="28"/>
          <w:highlight w:val="none"/>
        </w:rPr>
        <w:t>现场演示/样品递交</w:t>
      </w:r>
    </w:p>
    <w:p w14:paraId="21B39C7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6B9701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3190E8D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FA74519">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36855B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5961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343090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bookmarkEnd w:id="37"/>
    <w:p w14:paraId="02B53B70">
      <w:pPr>
        <w:pStyle w:val="3"/>
        <w:shd w:val="clear"/>
        <w:spacing w:line="240" w:lineRule="auto"/>
        <w:rPr>
          <w:rFonts w:hint="eastAsia" w:ascii="仿宋" w:hAnsi="仿宋" w:eastAsia="仿宋" w:cs="仿宋"/>
          <w:b w:val="0"/>
          <w:color w:val="auto"/>
          <w:szCs w:val="28"/>
          <w:highlight w:val="none"/>
        </w:rPr>
      </w:pPr>
      <w:bookmarkStart w:id="41" w:name="_Toc10016"/>
      <w:r>
        <w:rPr>
          <w:rStyle w:val="432"/>
          <w:rFonts w:hint="eastAsia" w:ascii="仿宋" w:hAnsi="仿宋" w:eastAsia="仿宋" w:cs="仿宋"/>
          <w:b/>
          <w:bCs/>
          <w:color w:val="auto"/>
          <w:kern w:val="2"/>
          <w:sz w:val="28"/>
          <w:szCs w:val="32"/>
          <w:highlight w:val="none"/>
        </w:rPr>
        <w:t>五、开标与评审</w:t>
      </w:r>
      <w:bookmarkEnd w:id="41"/>
    </w:p>
    <w:p w14:paraId="4C61739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F97351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016B10BF">
      <w:pPr>
        <w:shd w:val="clear"/>
        <w:spacing w:line="240" w:lineRule="auto"/>
        <w:ind w:firstLine="562" w:firstLineChars="201"/>
        <w:rPr>
          <w:rFonts w:hint="eastAsia" w:ascii="仿宋" w:hAnsi="仿宋" w:eastAsia="仿宋" w:cs="仿宋"/>
          <w:color w:val="auto"/>
          <w:sz w:val="28"/>
          <w:szCs w:val="28"/>
          <w:highlight w:val="none"/>
        </w:rPr>
      </w:pPr>
      <w:bookmarkStart w:id="42" w:name="_Hlk154667997"/>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7B2F56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22.3投标人代表应在签到表格相应位置上加盖CA锁中的电子章以证明其出席，在开标时间前未完成签到的将会被视作认同开标结果。</w:t>
      </w:r>
    </w:p>
    <w:p w14:paraId="4AEBB1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22.4投标须知前附表规定了文件解密时间，投标人输入密码错误（5次输入机会）、未能按时完成解密、其《数据文件》填写、盖章不规范等导致系统无法解析的，将会被视为无效投标。</w:t>
      </w:r>
    </w:p>
    <w:p w14:paraId="307BCA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22.5开标过程应当由招标人或招标代理机构负责记录，最终形成开标一览表并由各投标人代表签字或盖章确认。</w:t>
      </w:r>
    </w:p>
    <w:p w14:paraId="4FA911D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DBDFB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22.7录音、录像：威海市公共资源交易中心负责从提交投标文件开始到确定中标结果全过程的录音、录像工作，确保声音清楚、图像清晰、内容无遗漏。</w:t>
      </w:r>
    </w:p>
    <w:p w14:paraId="0013002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22.8评审过程中，如遇特殊情况，服从威海市公共资源交易中心场地调配，并遵守相关规章制度。</w:t>
      </w:r>
    </w:p>
    <w:bookmarkEnd w:id="42"/>
    <w:p w14:paraId="57D3A5FD">
      <w:pPr>
        <w:shd w:val="clear"/>
        <w:spacing w:line="240" w:lineRule="auto"/>
        <w:ind w:firstLine="562" w:firstLineChars="201"/>
        <w:rPr>
          <w:rFonts w:hint="eastAsia" w:ascii="仿宋" w:hAnsi="仿宋" w:eastAsia="仿宋" w:cs="仿宋"/>
          <w:color w:val="auto"/>
          <w:sz w:val="28"/>
          <w:szCs w:val="28"/>
          <w:highlight w:val="none"/>
        </w:rPr>
      </w:pPr>
      <w:bookmarkStart w:id="43" w:name="_Hlk154668012"/>
      <w:r>
        <w:rPr>
          <w:rFonts w:hint="eastAsia" w:ascii="仿宋" w:hAnsi="仿宋" w:eastAsia="仿宋" w:cs="仿宋"/>
          <w:color w:val="auto"/>
          <w:sz w:val="28"/>
          <w:szCs w:val="28"/>
          <w:highlight w:val="none"/>
        </w:rPr>
        <w:t>22.9对投标文件报价出现前后不一致的，按以下规定修正：</w:t>
      </w:r>
    </w:p>
    <w:p w14:paraId="57C379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1174D23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1769B79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0CEDD6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79BB6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261206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1425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42D2A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24C194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637DF0F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1E3AF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570FF64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电子开标过程中如出现下列情况，导致系统无法正常运行，或者无法保证开标过程的公平、公正和信息安全时，经与招标人沟通后可启动应急开标程序。</w:t>
      </w:r>
    </w:p>
    <w:p w14:paraId="2F6864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2AC0F1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14D6E94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bookmarkEnd w:id="43"/>
    <w:p w14:paraId="765C3B05">
      <w:pPr>
        <w:shd w:val="clear"/>
        <w:spacing w:line="240" w:lineRule="auto"/>
        <w:ind w:firstLine="562" w:firstLineChars="201"/>
        <w:rPr>
          <w:rFonts w:hint="eastAsia" w:ascii="仿宋" w:hAnsi="仿宋" w:eastAsia="仿宋" w:cs="仿宋"/>
          <w:color w:val="auto"/>
          <w:sz w:val="28"/>
          <w:szCs w:val="28"/>
          <w:highlight w:val="none"/>
        </w:rPr>
      </w:pPr>
      <w:bookmarkStart w:id="44" w:name="_Hlk154668029"/>
      <w:r>
        <w:rPr>
          <w:rFonts w:hint="eastAsia" w:ascii="仿宋" w:hAnsi="仿宋" w:eastAsia="仿宋" w:cs="仿宋"/>
          <w:color w:val="auto"/>
          <w:sz w:val="28"/>
          <w:szCs w:val="28"/>
          <w:highlight w:val="none"/>
        </w:rPr>
        <w:t>（4）病毒发作或受到外来病毒的攻击；</w:t>
      </w:r>
    </w:p>
    <w:p w14:paraId="44CD44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444696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1986F9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553B40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05A8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96591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401F1D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22.12应急开标电子邮件提交规定</w:t>
      </w:r>
    </w:p>
    <w:p w14:paraId="0DDF0FAA">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whzhenghua@163.com</w:t>
      </w:r>
    </w:p>
    <w:p w14:paraId="759374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提交时间：以电子邮件或电话通知的时间为准；</w:t>
      </w:r>
    </w:p>
    <w:p w14:paraId="5DAD57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0C474B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邮件主题：招标编号、投标人名称；</w:t>
      </w:r>
    </w:p>
    <w:p w14:paraId="611DBF5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541E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07D6EA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DB55D9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投标人收到通知后在规定时间内通过电子邮件提交投标文件（在非应急开标期间招标代理机构不接受、不处理任何通过电子邮件提交的投标文件）；</w:t>
      </w:r>
    </w:p>
    <w:p w14:paraId="7EE774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提交截止时间到，工作人员开始下载投标文件，将投标报价形成开标报告并邮件回复各投标人；</w:t>
      </w:r>
    </w:p>
    <w:p w14:paraId="3E6E58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bookmarkEnd w:id="44"/>
    <w:p w14:paraId="36C1604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23.评标委员会的组成和评标办法</w:t>
      </w:r>
    </w:p>
    <w:p w14:paraId="64B24C2E">
      <w:pPr>
        <w:shd w:val="clear"/>
        <w:spacing w:line="240" w:lineRule="auto"/>
        <w:ind w:firstLine="562" w:firstLineChars="201"/>
        <w:rPr>
          <w:rFonts w:hint="eastAsia" w:ascii="仿宋" w:hAnsi="仿宋" w:eastAsia="仿宋" w:cs="仿宋"/>
          <w:color w:val="auto"/>
          <w:sz w:val="28"/>
          <w:szCs w:val="28"/>
          <w:highlight w:val="none"/>
        </w:rPr>
      </w:pPr>
      <w:bookmarkStart w:id="45" w:name="_Hlk154668119"/>
      <w:bookmarkStart w:id="46" w:name="_Hlk154668068"/>
      <w:r>
        <w:rPr>
          <w:rFonts w:hint="eastAsia" w:ascii="仿宋" w:hAnsi="仿宋" w:eastAsia="仿宋" w:cs="仿宋"/>
          <w:color w:val="auto"/>
          <w:sz w:val="28"/>
          <w:szCs w:val="28"/>
          <w:highlight w:val="none"/>
        </w:rPr>
        <w:t>23.1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2C6B91E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531AD1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6CDC18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9C1FA5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417C9E6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0E4EFA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137913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0F8877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031E508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（7）向招标人反映评审工作中的问题，提出意见和建议。</w:t>
      </w:r>
    </w:p>
    <w:bookmarkEnd w:id="45"/>
    <w:p w14:paraId="599E2164">
      <w:pPr>
        <w:shd w:val="clear"/>
        <w:spacing w:line="240" w:lineRule="auto"/>
        <w:ind w:firstLine="562" w:firstLineChars="201"/>
        <w:rPr>
          <w:rFonts w:hint="eastAsia" w:ascii="仿宋" w:hAnsi="仿宋" w:eastAsia="仿宋" w:cs="仿宋"/>
          <w:color w:val="auto"/>
          <w:sz w:val="28"/>
          <w:szCs w:val="28"/>
          <w:highlight w:val="none"/>
        </w:rPr>
      </w:pPr>
      <w:bookmarkStart w:id="47" w:name="_Hlk154668127"/>
      <w:r>
        <w:rPr>
          <w:rFonts w:hint="eastAsia" w:ascii="仿宋" w:hAnsi="仿宋" w:eastAsia="仿宋" w:cs="仿宋"/>
          <w:color w:val="auto"/>
          <w:sz w:val="28"/>
          <w:szCs w:val="28"/>
          <w:highlight w:val="none"/>
        </w:rPr>
        <w:t>23.4评标委员会集体职责：</w:t>
      </w:r>
    </w:p>
    <w:p w14:paraId="5AF29B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846CB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5899B5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718849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（4）必要时，向投标人解释评审结果；</w:t>
      </w:r>
    </w:p>
    <w:p w14:paraId="0B45FB8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（5）向主管部门或者有关部门报告非法干预评审工作的行为。</w:t>
      </w:r>
    </w:p>
    <w:bookmarkEnd w:id="47"/>
    <w:p w14:paraId="617EDA50">
      <w:pPr>
        <w:shd w:val="clear"/>
        <w:spacing w:line="240" w:lineRule="auto"/>
        <w:ind w:firstLine="562" w:firstLineChars="201"/>
        <w:rPr>
          <w:rFonts w:hint="eastAsia" w:ascii="仿宋" w:hAnsi="仿宋" w:eastAsia="仿宋" w:cs="仿宋"/>
          <w:color w:val="auto"/>
          <w:sz w:val="28"/>
          <w:szCs w:val="28"/>
          <w:highlight w:val="none"/>
        </w:rPr>
      </w:pPr>
      <w:bookmarkStart w:id="48" w:name="_Hlk154668139"/>
      <w:r>
        <w:rPr>
          <w:rFonts w:hint="eastAsia" w:ascii="仿宋" w:hAnsi="仿宋" w:eastAsia="仿宋" w:cs="仿宋"/>
          <w:color w:val="auto"/>
          <w:sz w:val="28"/>
          <w:szCs w:val="28"/>
          <w:highlight w:val="none"/>
        </w:rPr>
        <w:t>23.5招标代理机构或招标人的职责：</w:t>
      </w:r>
    </w:p>
    <w:p w14:paraId="1177D2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（1）核对评标专家身份和招标人代表授权书，对评标专家在招标活动中的职责履行情况予以记录，并及时将有关违法违规行为向主管部门报告；</w:t>
      </w:r>
    </w:p>
    <w:p w14:paraId="1EB78E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1D96F9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6FCE60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6821A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（5）在评审期间采取必要的通讯管理措施，保证评审活动不受外界干扰；</w:t>
      </w:r>
    </w:p>
    <w:p w14:paraId="6B5459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135AF8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（7）维护评审秩序，监督评标委员会依照招标文件规定的评标程序、方法和标准进行独立评审，及时制止和纠正评标专家的倾向性言论或者违法违规行为；</w:t>
      </w:r>
    </w:p>
    <w:p w14:paraId="1E75A9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013243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5808BB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7423BF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bookmarkEnd w:id="48"/>
    <w:p w14:paraId="39228C73">
      <w:pPr>
        <w:shd w:val="clear"/>
        <w:spacing w:line="240" w:lineRule="auto"/>
        <w:ind w:firstLine="562" w:firstLineChars="201"/>
        <w:rPr>
          <w:rFonts w:hint="eastAsia" w:ascii="仿宋" w:hAnsi="仿宋" w:eastAsia="仿宋" w:cs="仿宋"/>
          <w:color w:val="auto"/>
          <w:sz w:val="28"/>
          <w:szCs w:val="28"/>
          <w:highlight w:val="none"/>
        </w:rPr>
      </w:pPr>
      <w:bookmarkStart w:id="49" w:name="_Hlk154668158"/>
      <w:r>
        <w:rPr>
          <w:rFonts w:hint="eastAsia" w:ascii="仿宋" w:hAnsi="仿宋" w:eastAsia="仿宋" w:cs="仿宋"/>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45AF21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23.7在招标采购活动中，招标人员及相关人员与投标人有以下利害关系之一的，应当回避：</w:t>
      </w:r>
    </w:p>
    <w:p w14:paraId="1F66FF8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7B8FF09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2A2186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70CC85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（4）与投标人的法定代表人或者负责人有服务、直系血亲、三代以内旁系血亲或者近姻亲关系；</w:t>
      </w:r>
    </w:p>
    <w:p w14:paraId="3E2CDC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492A48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BD7263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23.8评标委员会成员对与自己有利害关系的评标项目应当主动提出回避。</w:t>
      </w:r>
    </w:p>
    <w:p w14:paraId="091915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23.9评标委员会将按照招标文件确定的评标原则和方法进行评标。评标委员会对投标文件的评审内容分为资格性审查、符合性审查、商务评议、技术评议和价格评议。</w:t>
      </w:r>
    </w:p>
    <w:bookmarkEnd w:id="49"/>
    <w:p w14:paraId="74AE747E">
      <w:pPr>
        <w:shd w:val="clear"/>
        <w:spacing w:line="240" w:lineRule="auto"/>
        <w:ind w:firstLine="562" w:firstLineChars="201"/>
        <w:rPr>
          <w:rFonts w:hint="eastAsia" w:ascii="仿宋" w:hAnsi="仿宋" w:eastAsia="仿宋" w:cs="仿宋"/>
          <w:color w:val="auto"/>
          <w:sz w:val="28"/>
          <w:szCs w:val="28"/>
          <w:highlight w:val="none"/>
        </w:rPr>
      </w:pPr>
      <w:bookmarkStart w:id="50" w:name="_Hlk154668166"/>
      <w:r>
        <w:rPr>
          <w:rFonts w:hint="eastAsia" w:ascii="仿宋" w:hAnsi="仿宋" w:eastAsia="仿宋" w:cs="仿宋"/>
          <w:color w:val="auto"/>
          <w:sz w:val="28"/>
          <w:szCs w:val="28"/>
          <w:highlight w:val="none"/>
        </w:rPr>
        <w:t>23.10评标委员会独立履行下列职责：</w:t>
      </w:r>
    </w:p>
    <w:p w14:paraId="00239A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656F5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38141F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35DB6A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11E3EA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66845D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046A41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699299D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bookmarkEnd w:id="46"/>
    <w:bookmarkEnd w:id="50"/>
    <w:p w14:paraId="081053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52EE999">
      <w:pPr>
        <w:shd w:val="clear"/>
        <w:spacing w:line="240" w:lineRule="auto"/>
        <w:ind w:firstLine="548" w:firstLineChars="196"/>
        <w:rPr>
          <w:rFonts w:hint="eastAsia" w:ascii="仿宋" w:hAnsi="仿宋" w:eastAsia="仿宋" w:cs="仿宋"/>
          <w:color w:val="auto"/>
          <w:highlight w:val="none"/>
        </w:rPr>
      </w:pPr>
      <w:bookmarkStart w:id="51" w:name="_Hlk154668175"/>
      <w:r>
        <w:rPr>
          <w:rFonts w:hint="eastAsia" w:ascii="仿宋" w:hAnsi="仿宋" w:eastAsia="仿宋" w:cs="仿宋"/>
          <w:color w:val="auto"/>
          <w:sz w:val="28"/>
          <w:highlight w:val="none"/>
        </w:rPr>
        <w:t>评标委员会将按照招标文件的规定对投标文件进行资格性和符合性审查，以确定投标文件的有效性</w:t>
      </w:r>
      <w:bookmarkEnd w:id="51"/>
      <w:r>
        <w:rPr>
          <w:rFonts w:hint="eastAsia" w:ascii="仿宋" w:hAnsi="仿宋" w:eastAsia="仿宋" w:cs="仿宋"/>
          <w:color w:val="auto"/>
          <w:sz w:val="28"/>
          <w:highlight w:val="none"/>
        </w:rPr>
        <w:t>。</w:t>
      </w:r>
    </w:p>
    <w:p w14:paraId="33E7C9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24.1资格性审查。在招标项目开标结束后,评标委员会对投标人的资格进行审查。合格投标人不足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的，不得评标。在资格性检查时,如有下列情况之一的，经评标委员会认定，视为非实质性响应，为无效投标：</w:t>
      </w:r>
    </w:p>
    <w:p w14:paraId="64F9208F">
      <w:pPr>
        <w:shd w:val="clear"/>
        <w:spacing w:line="240" w:lineRule="auto"/>
        <w:ind w:firstLine="548" w:firstLineChars="196"/>
        <w:rPr>
          <w:rFonts w:hint="eastAsia" w:ascii="仿宋" w:hAnsi="仿宋" w:eastAsia="仿宋" w:cs="仿宋"/>
          <w:color w:val="auto"/>
          <w:sz w:val="28"/>
          <w:highlight w:val="none"/>
        </w:rPr>
      </w:pPr>
      <w:bookmarkStart w:id="52" w:name="_Hlk154668197"/>
      <w:r>
        <w:rPr>
          <w:rFonts w:hint="eastAsia" w:ascii="仿宋" w:hAnsi="仿宋" w:eastAsia="仿宋" w:cs="仿宋"/>
          <w:color w:val="auto"/>
          <w:sz w:val="28"/>
          <w:highlight w:val="none"/>
        </w:rPr>
        <w:t>（1）投标文件不完整的；</w:t>
      </w:r>
    </w:p>
    <w:p w14:paraId="62E10893">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（2）资质、资格证明文件不完整或不符合招标文件要求或过期失效的；</w:t>
      </w:r>
    </w:p>
    <w:p w14:paraId="4CAC3F74">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（3）投标文件未按规定签署及盖章的；</w:t>
      </w:r>
    </w:p>
    <w:p w14:paraId="59AC1BDF">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（4）投标人的法定代表人或授权代表不在规定时间内答疑或澄清的；</w:t>
      </w:r>
    </w:p>
    <w:p w14:paraId="1C1D81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5A8CF0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323983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12254D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63ADF41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0133CD6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4C0D165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4BC740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402B902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5903BCA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3732DF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6D4BA8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bookmarkEnd w:id="52"/>
    <w:p w14:paraId="344F0692">
      <w:pPr>
        <w:shd w:val="clear"/>
        <w:spacing w:line="240" w:lineRule="auto"/>
        <w:ind w:firstLine="562" w:firstLineChars="201"/>
        <w:rPr>
          <w:rFonts w:hint="eastAsia" w:ascii="仿宋" w:hAnsi="仿宋" w:eastAsia="仿宋" w:cs="仿宋"/>
          <w:color w:val="auto"/>
          <w:sz w:val="28"/>
          <w:szCs w:val="28"/>
          <w:highlight w:val="none"/>
        </w:rPr>
      </w:pPr>
      <w:bookmarkStart w:id="53" w:name="_Hlk154668205"/>
      <w:r>
        <w:rPr>
          <w:rFonts w:hint="eastAsia" w:ascii="仿宋" w:hAnsi="仿宋" w:eastAsia="仿宋" w:cs="仿宋"/>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EE45AD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7BD54A3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24.3投标人有下列情形之一的，视为投标人串通投标，其投标无效：</w:t>
      </w:r>
    </w:p>
    <w:p w14:paraId="41E7A2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6D18C5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（2）不同投标人使用同一个投标人或者同一个自然人的IP地址、设备下</w:t>
      </w:r>
      <w:bookmarkEnd w:id="53"/>
      <w:bookmarkStart w:id="54" w:name="_Hlk154668217"/>
      <w:r>
        <w:rPr>
          <w:rFonts w:hint="eastAsia" w:ascii="仿宋" w:hAnsi="仿宋" w:eastAsia="仿宋" w:cs="仿宋"/>
          <w:color w:val="auto"/>
          <w:sz w:val="28"/>
          <w:szCs w:val="28"/>
          <w:highlight w:val="none"/>
        </w:rPr>
        <w:t>载招标文件或者制作、上传投标文件的；</w:t>
      </w:r>
    </w:p>
    <w:p w14:paraId="4CBDFE22">
      <w:pPr>
        <w:shd w:val="clear"/>
        <w:spacing w:line="240" w:lineRule="auto"/>
        <w:ind w:firstLine="562" w:firstLineChars="201"/>
        <w:rPr>
          <w:rFonts w:hint="eastAsia" w:ascii="仿宋" w:hAnsi="仿宋" w:eastAsia="仿宋" w:cs="仿宋"/>
          <w:color w:val="auto"/>
          <w:sz w:val="28"/>
          <w:szCs w:val="28"/>
          <w:highlight w:val="none"/>
        </w:rPr>
      </w:pPr>
      <w:bookmarkStart w:id="55" w:name="_Hlk154668229"/>
      <w:r>
        <w:rPr>
          <w:rFonts w:hint="eastAsia" w:ascii="仿宋" w:hAnsi="仿宋" w:eastAsia="仿宋" w:cs="仿宋"/>
          <w:color w:val="auto"/>
          <w:sz w:val="28"/>
          <w:szCs w:val="28"/>
          <w:highlight w:val="none"/>
        </w:rPr>
        <w:t>（3）不同投标人委托同一单位或者个人办理投标事宜；</w:t>
      </w:r>
    </w:p>
    <w:p w14:paraId="0665F5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1BED5B3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6B7504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0957CFE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5574FC0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1542B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（9）不同投标人制作的电子投标文件经系统审查存在cpu编码、硬盘编码及MAC地址三项编码均相同的。</w:t>
      </w:r>
      <w:bookmarkEnd w:id="55"/>
    </w:p>
    <w:p w14:paraId="6E993C43">
      <w:pPr>
        <w:shd w:val="clear"/>
        <w:spacing w:line="240" w:lineRule="auto"/>
        <w:ind w:firstLine="562" w:firstLineChars="201"/>
        <w:rPr>
          <w:rFonts w:hint="eastAsia" w:ascii="仿宋" w:hAnsi="仿宋" w:eastAsia="仿宋" w:cs="仿宋"/>
          <w:color w:val="auto"/>
          <w:sz w:val="28"/>
          <w:szCs w:val="28"/>
          <w:highlight w:val="none"/>
        </w:rPr>
      </w:pPr>
      <w:bookmarkStart w:id="56" w:name="_Hlk154668255"/>
      <w:bookmarkStart w:id="57" w:name="_Hlk154668244"/>
      <w:r>
        <w:rPr>
          <w:rFonts w:hint="eastAsia" w:ascii="仿宋" w:hAnsi="仿宋" w:eastAsia="仿宋" w:cs="仿宋"/>
          <w:color w:val="auto"/>
          <w:sz w:val="28"/>
          <w:szCs w:val="28"/>
          <w:highlight w:val="none"/>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6"/>
      <w:r>
        <w:rPr>
          <w:rFonts w:hint="eastAsia" w:ascii="仿宋" w:hAnsi="仿宋" w:eastAsia="仿宋" w:cs="仿宋"/>
          <w:color w:val="auto"/>
          <w:sz w:val="28"/>
          <w:szCs w:val="28"/>
          <w:highlight w:val="none"/>
        </w:rPr>
        <w:t>。</w:t>
      </w:r>
    </w:p>
    <w:p w14:paraId="7F63B2D8">
      <w:pPr>
        <w:shd w:val="clear"/>
        <w:spacing w:line="240" w:lineRule="auto"/>
        <w:ind w:firstLine="565" w:firstLineChars="201"/>
        <w:rPr>
          <w:rFonts w:hint="eastAsia" w:ascii="仿宋" w:hAnsi="仿宋" w:eastAsia="仿宋" w:cs="仿宋"/>
          <w:b/>
          <w:color w:val="auto"/>
          <w:sz w:val="28"/>
          <w:szCs w:val="28"/>
          <w:highlight w:val="none"/>
        </w:rPr>
      </w:pPr>
      <w:bookmarkStart w:id="58" w:name="_Hlk154668262"/>
      <w:r>
        <w:rPr>
          <w:rFonts w:hint="eastAsia" w:ascii="仿宋" w:hAnsi="仿宋" w:eastAsia="仿宋" w:cs="仿宋"/>
          <w:b/>
          <w:color w:val="auto"/>
          <w:sz w:val="28"/>
          <w:szCs w:val="28"/>
          <w:highlight w:val="none"/>
        </w:rPr>
        <w:t>25.投标文件的澄清</w:t>
      </w:r>
    </w:p>
    <w:bookmarkEnd w:id="54"/>
    <w:p w14:paraId="3A64860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3A9D4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8"/>
      <w:r>
        <w:rPr>
          <w:rFonts w:hint="eastAsia" w:ascii="仿宋" w:hAnsi="仿宋" w:eastAsia="仿宋" w:cs="仿宋"/>
          <w:color w:val="auto"/>
          <w:sz w:val="28"/>
          <w:szCs w:val="28"/>
          <w:highlight w:val="none"/>
        </w:rPr>
        <w:t>。</w:t>
      </w:r>
    </w:p>
    <w:p w14:paraId="3EF229B9">
      <w:pPr>
        <w:shd w:val="clear"/>
        <w:spacing w:line="240" w:lineRule="auto"/>
        <w:ind w:firstLine="565" w:firstLineChars="201"/>
        <w:rPr>
          <w:rFonts w:hint="eastAsia" w:ascii="仿宋" w:hAnsi="仿宋" w:eastAsia="仿宋" w:cs="仿宋"/>
          <w:b/>
          <w:color w:val="auto"/>
          <w:sz w:val="28"/>
          <w:szCs w:val="28"/>
          <w:highlight w:val="none"/>
        </w:rPr>
      </w:pPr>
      <w:bookmarkStart w:id="59" w:name="_Hlk154668269"/>
      <w:r>
        <w:rPr>
          <w:rFonts w:hint="eastAsia" w:ascii="仿宋" w:hAnsi="仿宋" w:eastAsia="仿宋" w:cs="仿宋"/>
          <w:b/>
          <w:color w:val="auto"/>
          <w:sz w:val="28"/>
          <w:szCs w:val="28"/>
          <w:highlight w:val="none"/>
        </w:rPr>
        <w:t>26.投标文件的评价</w:t>
      </w:r>
    </w:p>
    <w:p w14:paraId="1974050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w:t>
      </w:r>
      <w:bookmarkEnd w:id="59"/>
      <w:bookmarkStart w:id="60" w:name="_Hlk154668274"/>
      <w:r>
        <w:rPr>
          <w:rFonts w:hint="eastAsia" w:ascii="仿宋" w:hAnsi="仿宋" w:eastAsia="仿宋" w:cs="仿宋"/>
          <w:color w:val="auto"/>
          <w:sz w:val="28"/>
          <w:szCs w:val="28"/>
          <w:highlight w:val="none"/>
        </w:rPr>
        <w:t>按综合得分高低列出中标候选人排序表。若总分相同，以报价得分高的排前；若总分、报价得分都相同，则以技术方面得分高的排前</w:t>
      </w:r>
      <w:bookmarkEnd w:id="57"/>
      <w:r>
        <w:rPr>
          <w:rFonts w:hint="eastAsia" w:ascii="仿宋" w:hAnsi="仿宋" w:eastAsia="仿宋" w:cs="仿宋"/>
          <w:color w:val="auto"/>
          <w:sz w:val="28"/>
          <w:szCs w:val="28"/>
          <w:highlight w:val="none"/>
        </w:rPr>
        <w:t>。</w:t>
      </w:r>
      <w:bookmarkEnd w:id="60"/>
    </w:p>
    <w:p w14:paraId="4212BAF5">
      <w:pPr>
        <w:shd w:val="clear"/>
        <w:spacing w:line="240" w:lineRule="auto"/>
        <w:ind w:firstLine="562" w:firstLineChars="201"/>
        <w:rPr>
          <w:rFonts w:hint="eastAsia" w:ascii="仿宋" w:hAnsi="仿宋" w:eastAsia="仿宋" w:cs="仿宋"/>
          <w:color w:val="auto"/>
          <w:sz w:val="28"/>
          <w:szCs w:val="28"/>
          <w:highlight w:val="none"/>
        </w:rPr>
      </w:pPr>
      <w:bookmarkStart w:id="61" w:name="_Hlk154668281"/>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5BDBBF6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E9E2C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26.3招标代理机构工作人员负责复核、统计评标委员会成员的评审情况，发现评审意见有失公正时，提请该评标委员会成员修改评审意见，并形成书面意见备查</w:t>
      </w:r>
      <w:bookmarkEnd w:id="61"/>
      <w:r>
        <w:rPr>
          <w:rFonts w:hint="eastAsia" w:ascii="仿宋" w:hAnsi="仿宋" w:eastAsia="仿宋" w:cs="仿宋"/>
          <w:color w:val="auto"/>
          <w:sz w:val="28"/>
          <w:szCs w:val="28"/>
          <w:highlight w:val="none"/>
        </w:rPr>
        <w:t>。</w:t>
      </w:r>
    </w:p>
    <w:p w14:paraId="4538D7B3">
      <w:pPr>
        <w:shd w:val="clear"/>
        <w:spacing w:line="240" w:lineRule="auto"/>
        <w:ind w:firstLine="562" w:firstLineChars="201"/>
        <w:rPr>
          <w:rFonts w:hint="eastAsia" w:ascii="仿宋" w:hAnsi="仿宋" w:eastAsia="仿宋" w:cs="仿宋"/>
          <w:color w:val="auto"/>
          <w:sz w:val="28"/>
          <w:szCs w:val="28"/>
          <w:highlight w:val="none"/>
        </w:rPr>
      </w:pPr>
      <w:bookmarkStart w:id="62" w:name="_Hlk154668289"/>
      <w:r>
        <w:rPr>
          <w:rFonts w:hint="eastAsia" w:ascii="仿宋" w:hAnsi="仿宋" w:eastAsia="仿宋" w:cs="仿宋"/>
          <w:color w:val="auto"/>
          <w:sz w:val="28"/>
          <w:szCs w:val="28"/>
          <w:highlight w:val="none"/>
        </w:rPr>
        <w:t>26.4评审时除考虑投标人的报价之外，还将考虑以下因素：</w:t>
      </w:r>
    </w:p>
    <w:p w14:paraId="1302BE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①投标文件的响应状况（包括是否参照招标文件要求制作）；</w:t>
      </w:r>
    </w:p>
    <w:p w14:paraId="59FA4C8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②招标文件规定的其它评审因素。</w:t>
      </w:r>
    </w:p>
    <w:p w14:paraId="6B5BB0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EA041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69BBBFE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27.出现下列情形之一的，应予废标</w:t>
      </w:r>
      <w:bookmarkEnd w:id="62"/>
      <w:r>
        <w:rPr>
          <w:rFonts w:hint="eastAsia" w:ascii="仿宋" w:hAnsi="仿宋" w:eastAsia="仿宋" w:cs="仿宋"/>
          <w:b/>
          <w:color w:val="auto"/>
          <w:sz w:val="28"/>
          <w:szCs w:val="28"/>
          <w:highlight w:val="none"/>
        </w:rPr>
        <w:t>：</w:t>
      </w:r>
    </w:p>
    <w:p w14:paraId="31AF57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A1355F6">
      <w:pPr>
        <w:shd w:val="clear"/>
        <w:spacing w:line="240" w:lineRule="auto"/>
        <w:ind w:firstLine="562" w:firstLineChars="201"/>
        <w:rPr>
          <w:rFonts w:hint="eastAsia" w:ascii="仿宋" w:hAnsi="仿宋" w:eastAsia="仿宋" w:cs="仿宋"/>
          <w:color w:val="auto"/>
          <w:sz w:val="28"/>
          <w:szCs w:val="28"/>
          <w:highlight w:val="none"/>
        </w:rPr>
      </w:pPr>
      <w:bookmarkStart w:id="63" w:name="_Hlk154668298"/>
      <w:r>
        <w:rPr>
          <w:rFonts w:hint="eastAsia" w:ascii="仿宋" w:hAnsi="仿宋" w:eastAsia="仿宋" w:cs="仿宋"/>
          <w:color w:val="auto"/>
          <w:sz w:val="28"/>
          <w:szCs w:val="28"/>
          <w:highlight w:val="none"/>
        </w:rPr>
        <w:t>（2）出现影响招标公正的违法、违规行为的；</w:t>
      </w:r>
    </w:p>
    <w:p w14:paraId="04B0549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w:t>
      </w:r>
      <w:r>
        <w:rPr>
          <w:rFonts w:hint="eastAsia" w:ascii="仿宋" w:hAnsi="仿宋" w:eastAsia="仿宋" w:cs="仿宋"/>
          <w:color w:val="auto"/>
          <w:sz w:val="28"/>
          <w:szCs w:val="28"/>
          <w:highlight w:val="none"/>
          <w:lang w:val="en-US" w:eastAsia="zh-CN"/>
        </w:rPr>
        <w:t>除税单价控制价、除税总价控制价及合计控制价</w:t>
      </w:r>
      <w:r>
        <w:rPr>
          <w:rFonts w:hint="eastAsia" w:ascii="仿宋" w:hAnsi="仿宋" w:eastAsia="仿宋" w:cs="仿宋"/>
          <w:color w:val="auto"/>
          <w:sz w:val="28"/>
          <w:szCs w:val="28"/>
          <w:highlight w:val="none"/>
        </w:rPr>
        <w:t>，招标人不能支付的；</w:t>
      </w:r>
    </w:p>
    <w:p w14:paraId="5FB62F9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bookmarkEnd w:id="63"/>
      <w:r>
        <w:rPr>
          <w:rFonts w:hint="eastAsia" w:ascii="仿宋" w:hAnsi="仿宋" w:eastAsia="仿宋" w:cs="仿宋"/>
          <w:color w:val="auto"/>
          <w:sz w:val="28"/>
          <w:szCs w:val="28"/>
          <w:highlight w:val="none"/>
        </w:rPr>
        <w:t>。</w:t>
      </w:r>
    </w:p>
    <w:p w14:paraId="509E175B">
      <w:pPr>
        <w:pStyle w:val="3"/>
        <w:shd w:val="clear"/>
        <w:spacing w:line="240" w:lineRule="auto"/>
        <w:rPr>
          <w:rStyle w:val="432"/>
          <w:rFonts w:hint="eastAsia" w:ascii="仿宋" w:hAnsi="仿宋" w:eastAsia="仿宋" w:cs="仿宋"/>
          <w:b/>
          <w:bCs/>
          <w:color w:val="auto"/>
          <w:kern w:val="2"/>
          <w:sz w:val="28"/>
          <w:szCs w:val="32"/>
          <w:highlight w:val="none"/>
        </w:rPr>
      </w:pPr>
      <w:bookmarkStart w:id="64" w:name="_Toc12718"/>
      <w:bookmarkStart w:id="65" w:name="_Toc66864047"/>
      <w:r>
        <w:rPr>
          <w:rStyle w:val="432"/>
          <w:rFonts w:hint="eastAsia" w:ascii="仿宋" w:hAnsi="仿宋" w:eastAsia="仿宋" w:cs="仿宋"/>
          <w:b/>
          <w:bCs/>
          <w:color w:val="auto"/>
          <w:kern w:val="2"/>
          <w:sz w:val="28"/>
          <w:szCs w:val="32"/>
          <w:highlight w:val="none"/>
        </w:rPr>
        <w:t>六、定标</w:t>
      </w:r>
      <w:bookmarkEnd w:id="64"/>
      <w:bookmarkEnd w:id="65"/>
    </w:p>
    <w:p w14:paraId="5331A846">
      <w:pPr>
        <w:shd w:val="clear"/>
        <w:spacing w:line="240" w:lineRule="auto"/>
        <w:ind w:firstLine="565" w:firstLineChars="201"/>
        <w:rPr>
          <w:rFonts w:hint="eastAsia" w:ascii="仿宋" w:hAnsi="仿宋" w:eastAsia="仿宋" w:cs="仿宋"/>
          <w:b/>
          <w:color w:val="auto"/>
          <w:sz w:val="28"/>
          <w:szCs w:val="28"/>
          <w:highlight w:val="none"/>
        </w:rPr>
      </w:pPr>
      <w:bookmarkStart w:id="66" w:name="_Hlk154668311"/>
      <w:r>
        <w:rPr>
          <w:rFonts w:hint="eastAsia" w:ascii="仿宋" w:hAnsi="仿宋" w:eastAsia="仿宋" w:cs="仿宋"/>
          <w:b/>
          <w:color w:val="auto"/>
          <w:sz w:val="28"/>
          <w:szCs w:val="28"/>
          <w:highlight w:val="none"/>
        </w:rPr>
        <w:t>28.确定中标候选人</w:t>
      </w:r>
    </w:p>
    <w:p w14:paraId="04ECCA0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w:t>
      </w:r>
      <w:bookmarkEnd w:id="66"/>
      <w:r>
        <w:rPr>
          <w:rFonts w:hint="eastAsia" w:ascii="仿宋" w:hAnsi="仿宋" w:eastAsia="仿宋" w:cs="仿宋"/>
          <w:color w:val="auto"/>
          <w:sz w:val="28"/>
          <w:szCs w:val="28"/>
          <w:highlight w:val="none"/>
        </w:rPr>
        <w:t>投标人的评审名次进行排序，确定中标候选人，根据全体评标成员签字的原始评标记录和评标结果编写评标报告。</w:t>
      </w:r>
    </w:p>
    <w:p w14:paraId="17ECC43D">
      <w:pPr>
        <w:shd w:val="clear"/>
        <w:spacing w:line="240" w:lineRule="auto"/>
        <w:ind w:firstLine="562" w:firstLineChars="201"/>
        <w:rPr>
          <w:rFonts w:hint="eastAsia" w:ascii="仿宋" w:hAnsi="仿宋" w:eastAsia="仿宋" w:cs="仿宋"/>
          <w:color w:val="auto"/>
          <w:sz w:val="28"/>
          <w:szCs w:val="28"/>
          <w:highlight w:val="none"/>
        </w:rPr>
      </w:pPr>
      <w:bookmarkStart w:id="67" w:name="_Hlk154668326"/>
      <w:r>
        <w:rPr>
          <w:rFonts w:hint="eastAsia" w:ascii="仿宋" w:hAnsi="仿宋" w:eastAsia="仿宋" w:cs="仿宋"/>
          <w:color w:val="auto"/>
          <w:sz w:val="28"/>
          <w:szCs w:val="28"/>
          <w:highlight w:val="none"/>
        </w:rPr>
        <w:t>28.2评委会所有成员应当在评标报告上签字确认，评标报告的主要内容包括：</w:t>
      </w:r>
    </w:p>
    <w:p w14:paraId="52BF73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73A83B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1B7D54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3151666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6574B07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0AE23A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bookmarkEnd w:id="67"/>
      <w:r>
        <w:rPr>
          <w:rFonts w:hint="eastAsia" w:ascii="仿宋" w:hAnsi="仿宋" w:eastAsia="仿宋" w:cs="仿宋"/>
          <w:color w:val="auto"/>
          <w:sz w:val="28"/>
          <w:szCs w:val="28"/>
          <w:highlight w:val="none"/>
        </w:rPr>
        <w:t>。</w:t>
      </w:r>
    </w:p>
    <w:p w14:paraId="24BC93B2">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29.确定中标人</w:t>
      </w:r>
    </w:p>
    <w:p w14:paraId="107EB8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为中标人；也可以自主定标。自主定标的，招标人应当在收到评审报告后3个工作日内确定中标人，招标人逾期未确定中标人且不提出异议的，视为确定评审报告提出的排序</w:t>
      </w:r>
      <w:r>
        <w:rPr>
          <w:rFonts w:hint="eastAsia" w:ascii="仿宋" w:hAnsi="仿宋" w:eastAsia="仿宋" w:cs="仿宋"/>
          <w:color w:val="auto"/>
          <w:sz w:val="28"/>
          <w:szCs w:val="28"/>
          <w:highlight w:val="none"/>
          <w:lang w:val="en-US" w:eastAsia="zh-CN"/>
        </w:rPr>
        <w:t>第一名</w:t>
      </w:r>
      <w:r>
        <w:rPr>
          <w:rFonts w:hint="eastAsia" w:ascii="仿宋" w:hAnsi="仿宋" w:eastAsia="仿宋" w:cs="仿宋"/>
          <w:color w:val="auto"/>
          <w:sz w:val="28"/>
          <w:szCs w:val="28"/>
          <w:highlight w:val="none"/>
        </w:rPr>
        <w:t>的投标人为中标人。</w:t>
      </w:r>
    </w:p>
    <w:p w14:paraId="397A79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B0C453B">
      <w:pPr>
        <w:pStyle w:val="3"/>
        <w:shd w:val="clear"/>
        <w:spacing w:line="240" w:lineRule="auto"/>
        <w:rPr>
          <w:rStyle w:val="432"/>
          <w:rFonts w:hint="eastAsia" w:ascii="仿宋" w:hAnsi="仿宋" w:eastAsia="仿宋" w:cs="仿宋"/>
          <w:b/>
          <w:bCs/>
          <w:color w:val="auto"/>
          <w:kern w:val="2"/>
          <w:sz w:val="28"/>
          <w:szCs w:val="32"/>
          <w:highlight w:val="none"/>
        </w:rPr>
      </w:pPr>
      <w:bookmarkStart w:id="68" w:name="_Toc66864048"/>
      <w:bookmarkStart w:id="69" w:name="_Toc22244"/>
      <w:r>
        <w:rPr>
          <w:rStyle w:val="432"/>
          <w:rFonts w:hint="eastAsia" w:ascii="仿宋" w:hAnsi="仿宋" w:eastAsia="仿宋" w:cs="仿宋"/>
          <w:b/>
          <w:bCs/>
          <w:color w:val="auto"/>
          <w:kern w:val="2"/>
          <w:sz w:val="28"/>
          <w:szCs w:val="32"/>
          <w:highlight w:val="none"/>
        </w:rPr>
        <w:t>七、结果</w:t>
      </w:r>
      <w:bookmarkEnd w:id="68"/>
      <w:r>
        <w:rPr>
          <w:rStyle w:val="432"/>
          <w:rFonts w:hint="eastAsia" w:ascii="仿宋" w:hAnsi="仿宋" w:eastAsia="仿宋" w:cs="仿宋"/>
          <w:b/>
          <w:bCs/>
          <w:color w:val="auto"/>
          <w:kern w:val="2"/>
          <w:sz w:val="28"/>
          <w:szCs w:val="32"/>
          <w:highlight w:val="none"/>
        </w:rPr>
        <w:t>公示</w:t>
      </w:r>
      <w:bookmarkEnd w:id="69"/>
    </w:p>
    <w:p w14:paraId="27DE5D15">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30.结果公示</w:t>
      </w:r>
    </w:p>
    <w:p w14:paraId="05DB03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招标人应当自定标结束后在招标公告发布媒介发布中标公示。中标公示期限为3日。中标公示应当包括下列内容：</w:t>
      </w:r>
    </w:p>
    <w:p w14:paraId="7B2FB92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（1）招标人、代理机构的名称、地址和联系方式；</w:t>
      </w:r>
    </w:p>
    <w:p w14:paraId="77AB62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169F5C9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67CB4149">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31.签发中标通知书</w:t>
      </w:r>
    </w:p>
    <w:p w14:paraId="4EF6E2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中标公示结束且无尚未处理的异议后，招标人和代理机构联合向中标人发出中标通知书。</w:t>
      </w:r>
    </w:p>
    <w:p w14:paraId="68120F04">
      <w:pPr>
        <w:pStyle w:val="3"/>
        <w:shd w:val="clear"/>
        <w:spacing w:line="240" w:lineRule="auto"/>
        <w:rPr>
          <w:rStyle w:val="432"/>
          <w:rFonts w:hint="eastAsia" w:ascii="仿宋" w:hAnsi="仿宋" w:eastAsia="仿宋" w:cs="仿宋"/>
          <w:b/>
          <w:bCs/>
          <w:color w:val="auto"/>
          <w:kern w:val="2"/>
          <w:sz w:val="28"/>
          <w:szCs w:val="32"/>
          <w:highlight w:val="none"/>
        </w:rPr>
      </w:pPr>
      <w:bookmarkStart w:id="70" w:name="_Toc66864049"/>
      <w:bookmarkStart w:id="71" w:name="_Toc14994"/>
      <w:r>
        <w:rPr>
          <w:rStyle w:val="432"/>
          <w:rFonts w:hint="eastAsia" w:ascii="仿宋" w:hAnsi="仿宋" w:eastAsia="仿宋" w:cs="仿宋"/>
          <w:b/>
          <w:bCs/>
          <w:color w:val="auto"/>
          <w:kern w:val="2"/>
          <w:sz w:val="28"/>
          <w:szCs w:val="32"/>
          <w:highlight w:val="none"/>
        </w:rPr>
        <w:t>八、质疑</w:t>
      </w:r>
      <w:bookmarkEnd w:id="70"/>
      <w:bookmarkEnd w:id="71"/>
    </w:p>
    <w:p w14:paraId="78E95B6F">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32.质疑</w:t>
      </w:r>
    </w:p>
    <w:p w14:paraId="446AD7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48D72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投标人应按照下列规定进行质疑：</w:t>
      </w:r>
    </w:p>
    <w:p w14:paraId="0E06E45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32.2提出质疑的投标人应当是参与本项目招标活动的投标人。</w:t>
      </w:r>
    </w:p>
    <w:p w14:paraId="3863A3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32.3投标人应在法定质疑期内一次性提出针对同一采购程序环节的质疑。</w:t>
      </w:r>
    </w:p>
    <w:p w14:paraId="7046BA1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32.4质疑采用实名制，为了使提出的质疑事项在规定时间内得到有效答复、处理，提交的质疑函务必提供以下内容。</w:t>
      </w:r>
    </w:p>
    <w:p w14:paraId="6ACD20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1B4A3F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1ED1FC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17633A1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0055716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67FDBBE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0882827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290FD4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32.5招标人或招标代理机构正式受理后方可生效。否则，为无效质疑。</w:t>
      </w:r>
    </w:p>
    <w:p w14:paraId="59E080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32.6有下列情况之一的质疑不予受理：</w:t>
      </w:r>
    </w:p>
    <w:p w14:paraId="67289C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6607E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00A9443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92612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39B81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32.7对捏造事实，提供虚假材料或者以非法手段取得证明材料进行恶意质疑的，一经查实，将列入平台黑名单。</w:t>
      </w:r>
    </w:p>
    <w:p w14:paraId="550CE9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32.8仲裁或起诉</w:t>
      </w:r>
    </w:p>
    <w:p w14:paraId="37FEF8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投标人对答复不满意，或者招标人、招标代理机构未在规定的时间内做出书面答复的，投标人可以在答复期满后向招标人所在地仲裁机构、人民法院申请仲裁或起诉。</w:t>
      </w:r>
    </w:p>
    <w:p w14:paraId="24635280">
      <w:pPr>
        <w:pStyle w:val="3"/>
        <w:shd w:val="clear"/>
        <w:spacing w:line="240" w:lineRule="auto"/>
        <w:rPr>
          <w:rStyle w:val="432"/>
          <w:rFonts w:hint="eastAsia" w:ascii="仿宋" w:hAnsi="仿宋" w:eastAsia="仿宋" w:cs="仿宋"/>
          <w:b/>
          <w:bCs/>
          <w:color w:val="auto"/>
          <w:kern w:val="2"/>
          <w:sz w:val="28"/>
          <w:szCs w:val="32"/>
          <w:highlight w:val="none"/>
        </w:rPr>
      </w:pPr>
      <w:bookmarkStart w:id="72" w:name="_Toc66864050"/>
      <w:bookmarkStart w:id="73" w:name="_Toc28613"/>
      <w:r>
        <w:rPr>
          <w:rStyle w:val="432"/>
          <w:rFonts w:hint="eastAsia" w:ascii="仿宋" w:hAnsi="仿宋" w:eastAsia="仿宋" w:cs="仿宋"/>
          <w:b/>
          <w:bCs/>
          <w:color w:val="auto"/>
          <w:kern w:val="2"/>
          <w:sz w:val="28"/>
          <w:szCs w:val="32"/>
          <w:highlight w:val="none"/>
        </w:rPr>
        <w:t>九、签订合同</w:t>
      </w:r>
      <w:bookmarkEnd w:id="72"/>
      <w:bookmarkEnd w:id="73"/>
    </w:p>
    <w:p w14:paraId="23FCFC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中标通知书发出之日起30日内，按招标文件、中标人的投标文件签订采购合同。</w:t>
      </w:r>
    </w:p>
    <w:p w14:paraId="52C7571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1F364E8F">
      <w:pPr>
        <w:pStyle w:val="19"/>
        <w:shd w:val="clear"/>
        <w:spacing w:line="240" w:lineRule="auto"/>
        <w:rPr>
          <w:rFonts w:hint="eastAsia" w:ascii="仿宋" w:hAnsi="仿宋" w:eastAsia="仿宋" w:cs="仿宋"/>
          <w:color w:val="auto"/>
          <w:highlight w:val="none"/>
        </w:rPr>
      </w:pPr>
    </w:p>
    <w:bookmarkEnd w:id="14"/>
    <w:bookmarkEnd w:id="15"/>
    <w:bookmarkEnd w:id="16"/>
    <w:p w14:paraId="64DF36E8">
      <w:pPr>
        <w:rPr>
          <w:rFonts w:hint="eastAsia" w:ascii="仿宋" w:hAnsi="仿宋" w:eastAsia="仿宋" w:cs="仿宋"/>
          <w:color w:val="auto"/>
          <w:highlight w:val="none"/>
        </w:rPr>
      </w:pPr>
      <w:bookmarkStart w:id="74" w:name="_Toc66864053"/>
      <w:bookmarkStart w:id="75" w:name="_Toc24804"/>
      <w:bookmarkStart w:id="76" w:name="_Toc413596397"/>
      <w:bookmarkStart w:id="77" w:name="_Toc382129915"/>
      <w:bookmarkStart w:id="78" w:name="_Toc266431156"/>
      <w:r>
        <w:rPr>
          <w:rFonts w:hint="eastAsia" w:ascii="仿宋" w:hAnsi="仿宋" w:eastAsia="仿宋" w:cs="仿宋"/>
          <w:color w:val="auto"/>
          <w:highlight w:val="none"/>
        </w:rPr>
        <w:br w:type="page"/>
      </w:r>
    </w:p>
    <w:p w14:paraId="7E7CA614">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rPr>
        <w:t xml:space="preserve">第三章  </w:t>
      </w:r>
      <w:bookmarkEnd w:id="74"/>
      <w:r>
        <w:rPr>
          <w:rFonts w:hint="eastAsia" w:ascii="仿宋" w:hAnsi="仿宋" w:eastAsia="仿宋" w:cs="仿宋"/>
          <w:color w:val="auto"/>
          <w:highlight w:val="none"/>
        </w:rPr>
        <w:t>开标、评标、定标</w:t>
      </w:r>
      <w:bookmarkEnd w:id="75"/>
    </w:p>
    <w:p w14:paraId="27B391D8">
      <w:pPr>
        <w:pStyle w:val="3"/>
        <w:shd w:val="clear"/>
        <w:spacing w:line="240" w:lineRule="auto"/>
        <w:rPr>
          <w:rStyle w:val="432"/>
          <w:rFonts w:hint="eastAsia" w:ascii="仿宋" w:hAnsi="仿宋" w:eastAsia="仿宋" w:cs="仿宋"/>
          <w:b/>
          <w:bCs/>
          <w:color w:val="auto"/>
          <w:kern w:val="2"/>
          <w:sz w:val="28"/>
          <w:szCs w:val="32"/>
          <w:highlight w:val="none"/>
        </w:rPr>
      </w:pPr>
      <w:bookmarkStart w:id="79" w:name="_Toc1808"/>
      <w:r>
        <w:rPr>
          <w:rStyle w:val="432"/>
          <w:rFonts w:hint="eastAsia" w:ascii="仿宋" w:hAnsi="仿宋" w:eastAsia="仿宋" w:cs="仿宋"/>
          <w:b/>
          <w:bCs/>
          <w:color w:val="auto"/>
          <w:kern w:val="2"/>
          <w:sz w:val="28"/>
          <w:szCs w:val="32"/>
          <w:highlight w:val="none"/>
        </w:rPr>
        <w:t>一、开标</w:t>
      </w:r>
      <w:bookmarkEnd w:id="79"/>
    </w:p>
    <w:p w14:paraId="01BF59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1.招标代理机构在招标公告规定的时间和地点组织开标。投标截止时间结束后，投标人不足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4CB0FC4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2.开标前准备：投标人需提前准备已配置好环境的电脑，在规定的时间进行远程开标的各项操作。</w:t>
      </w:r>
    </w:p>
    <w:p w14:paraId="7C6F4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3.开标程序：签到-开标-解密-唱标，具体详见“第二章 投标须知”。</w:t>
      </w:r>
    </w:p>
    <w:p w14:paraId="3C309B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（1）投标人代表应在签到表格相应位置上加盖CA锁中的电子章以证明其出席，在开标时间前未完成签到的将会被视作认同开标结果。</w:t>
      </w:r>
    </w:p>
    <w:p w14:paraId="23D19C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（2）投标须知前附表规定了文件解密时间，投标人输入密码错误（5次输入机会）、未能按时完成解密、其《数据文件》填写、盖章不规范等导致系统无法解析的，将会被视为无效投标。</w:t>
      </w:r>
    </w:p>
    <w:p w14:paraId="2DDC98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2D2871F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EF5F5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4.应急开标程序：如需启动应急开标程序，应按第二章投标须知第22.11-22.13内容进行。</w:t>
      </w:r>
    </w:p>
    <w:p w14:paraId="17CC85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5.录音、录像：威海市公共资源交易中心负责从提交投标文件开始到确定中标结果全过程的录音、录像工作，确保声音清楚、图像清晰、内容无遗漏。</w:t>
      </w:r>
    </w:p>
    <w:p w14:paraId="3630B0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6.评审过程中，如遇特殊情况，服从威海市公共资源交易中心场地调配，并遵守相关规章制度。</w:t>
      </w:r>
    </w:p>
    <w:p w14:paraId="56F5B668">
      <w:pPr>
        <w:pStyle w:val="3"/>
        <w:shd w:val="clear"/>
        <w:spacing w:line="240" w:lineRule="auto"/>
        <w:rPr>
          <w:rStyle w:val="432"/>
          <w:rFonts w:hint="eastAsia" w:ascii="仿宋" w:hAnsi="仿宋" w:eastAsia="仿宋" w:cs="仿宋"/>
          <w:b/>
          <w:bCs/>
          <w:color w:val="auto"/>
          <w:kern w:val="2"/>
          <w:sz w:val="28"/>
          <w:szCs w:val="32"/>
          <w:highlight w:val="none"/>
        </w:rPr>
      </w:pPr>
      <w:bookmarkStart w:id="80" w:name="_Toc25821"/>
      <w:r>
        <w:rPr>
          <w:rStyle w:val="432"/>
          <w:rFonts w:hint="eastAsia" w:ascii="仿宋" w:hAnsi="仿宋" w:eastAsia="仿宋" w:cs="仿宋"/>
          <w:b/>
          <w:bCs/>
          <w:color w:val="auto"/>
          <w:kern w:val="2"/>
          <w:sz w:val="28"/>
          <w:szCs w:val="32"/>
          <w:highlight w:val="none"/>
        </w:rPr>
        <w:t>二、评标</w:t>
      </w:r>
      <w:bookmarkEnd w:id="80"/>
    </w:p>
    <w:p w14:paraId="773E6DD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1.评标原则</w:t>
      </w:r>
    </w:p>
    <w:p w14:paraId="0DFD41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153C34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6D859A8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（2）统一性原则：评标委员会将按照统一的评标原则和评标方法，采用统一标准进行评标。</w:t>
      </w:r>
    </w:p>
    <w:p w14:paraId="571F3A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（3）独立性原则：评标工作在评标委员会内部独立进行，不受外界任何因素的干扰和影响。</w:t>
      </w:r>
    </w:p>
    <w:p w14:paraId="43334B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（4）保密性原则：评标委员会及熟知情况的有关工作人员必须对每位评委的评标意见和投标人的商业秘密严格保密，不得外泄。</w:t>
      </w:r>
    </w:p>
    <w:p w14:paraId="3483FE0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（5）综合性原则：评标委员会将综合分析、评审投标人的各项指标，而不以单项指标的优劣评定出中标人。</w:t>
      </w:r>
    </w:p>
    <w:p w14:paraId="3F76DE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2.评标程序</w:t>
      </w:r>
    </w:p>
    <w:p w14:paraId="6C9874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w:t>
      </w:r>
      <w:r>
        <w:rPr>
          <w:rFonts w:hint="eastAsia" w:ascii="仿宋" w:hAnsi="仿宋" w:eastAsia="仿宋" w:cs="仿宋"/>
          <w:color w:val="auto"/>
          <w:sz w:val="28"/>
          <w:szCs w:val="28"/>
          <w:highlight w:val="none"/>
        </w:rPr>
        <w:t>1）核对评审专家身份、招标人代表授权书；</w:t>
      </w:r>
    </w:p>
    <w:p w14:paraId="6FAD41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5A9E1C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634C71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129B4C9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（5）开标结束后，评标委员会对投标人的投标文件进行资格性和符合性审查，以确定其是否满足招标文件的实质性要求。详见第二章《投标须知前附表》-《实质性条款一览表》中资格性和符合性审查条款。</w:t>
      </w:r>
    </w:p>
    <w:p w14:paraId="13F798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7F321CBC">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（7）澄清、说明或者补正</w:t>
      </w:r>
    </w:p>
    <w:p w14:paraId="41274F8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896E53A">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16613EF1">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（8）比较与评价</w:t>
      </w:r>
    </w:p>
    <w:p w14:paraId="2F5122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评标委员会按招标文件中规定的评标方法和评标标准对有效投标文件的商务和技术进行评分，综合比较和评价，按综合得分高低列出</w:t>
      </w:r>
      <w:r>
        <w:rPr>
          <w:rFonts w:hint="eastAsia" w:ascii="仿宋" w:hAnsi="仿宋" w:eastAsia="仿宋" w:cs="仿宋"/>
          <w:color w:val="auto"/>
          <w:sz w:val="28"/>
          <w:szCs w:val="28"/>
          <w:highlight w:val="none"/>
          <w:lang w:val="en-US" w:eastAsia="zh-CN"/>
        </w:rPr>
        <w:t>前3</w:t>
      </w:r>
      <w:r>
        <w:rPr>
          <w:rFonts w:hint="eastAsia" w:ascii="仿宋" w:hAnsi="仿宋" w:eastAsia="仿宋" w:cs="仿宋"/>
          <w:color w:val="auto"/>
          <w:sz w:val="28"/>
          <w:szCs w:val="28"/>
          <w:highlight w:val="none"/>
        </w:rPr>
        <w:t>名中标候选人排序表。若总分相同，以报价得分高的排前；若总分、报价得分都相同，则以技术方面得分高的排前。</w:t>
      </w:r>
    </w:p>
    <w:p w14:paraId="0D0472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（9）出现下列情形之一的，应予废标：</w:t>
      </w:r>
    </w:p>
    <w:p w14:paraId="73C85180">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7437879">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2341777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3）投标报价超过招标文件中规定的单项限价及合价限价，招标人不能支付的；</w:t>
      </w:r>
    </w:p>
    <w:p w14:paraId="19098D1B">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36A4B81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3.评标方法：</w:t>
      </w:r>
    </w:p>
    <w:p w14:paraId="68EDE135">
      <w:pPr>
        <w:shd w:val="clear"/>
        <w:spacing w:line="240" w:lineRule="auto"/>
        <w:ind w:firstLine="562" w:firstLineChars="201"/>
        <w:rPr>
          <w:rFonts w:hint="eastAsia"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113D818B">
      <w:pPr>
        <w:shd w:val="clear"/>
        <w:spacing w:line="52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5"/>
        <w:tblW w:w="9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464"/>
        <w:gridCol w:w="1134"/>
        <w:gridCol w:w="1023"/>
      </w:tblGrid>
      <w:tr w14:paraId="0AB0D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4BFCBD3B">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1413" w:type="dxa"/>
            <w:shd w:val="clear" w:color="auto" w:fill="D9D9D9"/>
            <w:vAlign w:val="center"/>
          </w:tcPr>
          <w:p w14:paraId="58A38B73">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464" w:type="dxa"/>
            <w:shd w:val="clear" w:color="auto" w:fill="D9D9D9"/>
            <w:vAlign w:val="center"/>
          </w:tcPr>
          <w:p w14:paraId="2AA8BFA5">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134" w:type="dxa"/>
            <w:shd w:val="clear" w:color="auto" w:fill="D9D9D9"/>
            <w:vAlign w:val="center"/>
          </w:tcPr>
          <w:p w14:paraId="0081B6CD">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023" w:type="dxa"/>
            <w:shd w:val="clear" w:color="auto" w:fill="D9D9D9"/>
            <w:vAlign w:val="center"/>
          </w:tcPr>
          <w:p w14:paraId="2F3864E1">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5C1CE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59997505">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413" w:type="dxa"/>
            <w:vAlign w:val="center"/>
          </w:tcPr>
          <w:p w14:paraId="7712BF6B">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报价</w:t>
            </w:r>
          </w:p>
        </w:tc>
        <w:tc>
          <w:tcPr>
            <w:tcW w:w="5464" w:type="dxa"/>
            <w:vAlign w:val="center"/>
          </w:tcPr>
          <w:p w14:paraId="65129AF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投标人投标报价等于评标基准价的，得满分</w:t>
            </w:r>
            <w:r>
              <w:rPr>
                <w:rFonts w:hint="eastAsia" w:ascii="仿宋" w:hAnsi="仿宋" w:eastAsia="仿宋" w:cs="仿宋"/>
                <w:color w:val="auto"/>
                <w:sz w:val="28"/>
                <w:szCs w:val="28"/>
                <w:highlight w:val="none"/>
                <w:lang w:val="en-US" w:eastAsia="zh-CN"/>
              </w:rPr>
              <w:t>40</w:t>
            </w:r>
            <w:r>
              <w:rPr>
                <w:rFonts w:hint="eastAsia" w:ascii="仿宋" w:hAnsi="仿宋" w:eastAsia="仿宋" w:cs="仿宋"/>
                <w:color w:val="auto"/>
                <w:sz w:val="28"/>
                <w:szCs w:val="28"/>
                <w:highlight w:val="none"/>
              </w:rPr>
              <w:t>分。投标报价每高于评标基准价1％扣0.5分，每低于评标基准价1％扣0.25分，最低计至0分，偏离不足1%的，按照插入法计算得分，得分精确到小数点后2位。</w:t>
            </w:r>
          </w:p>
          <w:p w14:paraId="3B4F71C5">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投标报价的偏差率计算公式：偏差率＝100％×（投标人报价-评标基准价）/评标基准价。</w:t>
            </w:r>
          </w:p>
          <w:p w14:paraId="1E693CA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评标基准价计算方法：</w:t>
            </w:r>
          </w:p>
          <w:p w14:paraId="4C7893B7">
            <w:pPr>
              <w:pStyle w:val="13"/>
              <w:shd w:val="clear"/>
              <w:spacing w:line="400" w:lineRule="exact"/>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当有效投标人≥10家,评标基准价=（所有投标人的有效报价之和-有效报价的最高值及次高值-有效报价的最低值及次低值）的算术平均值×0.95；当5家＜有效投标人＜10家,评标基准价=（所有投标人的有效报价之和-有效报价的最高值-有效报价的最低值）的算术平均值×0.95；当有效投标人数≤5家,评标基准价=所有投标人的有效报价的算术平均值×0.95。</w:t>
            </w:r>
          </w:p>
        </w:tc>
        <w:tc>
          <w:tcPr>
            <w:tcW w:w="1134" w:type="dxa"/>
            <w:vAlign w:val="center"/>
          </w:tcPr>
          <w:p w14:paraId="2C7BA441">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价格</w:t>
            </w:r>
          </w:p>
        </w:tc>
        <w:tc>
          <w:tcPr>
            <w:tcW w:w="1023" w:type="dxa"/>
            <w:vAlign w:val="center"/>
          </w:tcPr>
          <w:p w14:paraId="3C39FE56">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40</w:t>
            </w:r>
            <w:r>
              <w:rPr>
                <w:rFonts w:hint="eastAsia" w:ascii="仿宋" w:hAnsi="仿宋" w:eastAsia="仿宋" w:cs="仿宋"/>
                <w:color w:val="auto"/>
                <w:sz w:val="28"/>
                <w:szCs w:val="28"/>
                <w:highlight w:val="none"/>
              </w:rPr>
              <w:t>.00</w:t>
            </w:r>
          </w:p>
        </w:tc>
      </w:tr>
      <w:tr w14:paraId="3574F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F763312">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413" w:type="dxa"/>
            <w:vAlign w:val="center"/>
          </w:tcPr>
          <w:p w14:paraId="0B2257E8">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业绩</w:t>
            </w:r>
          </w:p>
        </w:tc>
        <w:tc>
          <w:tcPr>
            <w:tcW w:w="5464" w:type="dxa"/>
            <w:vAlign w:val="center"/>
          </w:tcPr>
          <w:p w14:paraId="0D6C9B0E">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年1月1日至今承揽的类似项目业绩，每有一项得1分，本项最高得5分。</w:t>
            </w:r>
          </w:p>
          <w:p w14:paraId="35D045F0">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需将合同扫描件附在投标文件中，合同扫描件应能体现业主名称、项目名称及项目主要内容，时间以合同签订时间为准，否则不得分。</w:t>
            </w:r>
          </w:p>
          <w:p w14:paraId="44B3307A">
            <w:pPr>
              <w:pStyle w:val="13"/>
              <w:shd w:val="clear"/>
              <w:spacing w:line="400" w:lineRule="exact"/>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类似项目是指：</w:t>
            </w:r>
            <w:r>
              <w:rPr>
                <w:rFonts w:hint="eastAsia" w:ascii="仿宋" w:hAnsi="仿宋" w:eastAsia="仿宋" w:cs="仿宋"/>
                <w:color w:val="auto"/>
                <w:sz w:val="28"/>
                <w:szCs w:val="28"/>
                <w:highlight w:val="none"/>
                <w:lang w:val="en-US" w:eastAsia="zh-CN"/>
              </w:rPr>
              <w:t>PE管</w:t>
            </w:r>
            <w:r>
              <w:rPr>
                <w:rFonts w:hint="eastAsia" w:ascii="仿宋" w:hAnsi="仿宋" w:eastAsia="仿宋" w:cs="仿宋"/>
                <w:color w:val="auto"/>
                <w:sz w:val="28"/>
                <w:szCs w:val="28"/>
                <w:highlight w:val="none"/>
                <w:lang w:eastAsia="zh-CN"/>
              </w:rPr>
              <w:t>采购</w:t>
            </w: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w:t>
            </w:r>
          </w:p>
        </w:tc>
        <w:tc>
          <w:tcPr>
            <w:tcW w:w="1134" w:type="dxa"/>
            <w:vAlign w:val="center"/>
          </w:tcPr>
          <w:p w14:paraId="476F7C3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商务</w:t>
            </w:r>
          </w:p>
        </w:tc>
        <w:tc>
          <w:tcPr>
            <w:tcW w:w="1023" w:type="dxa"/>
            <w:vAlign w:val="center"/>
          </w:tcPr>
          <w:p w14:paraId="15C8BC1C">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5.00</w:t>
            </w:r>
          </w:p>
        </w:tc>
      </w:tr>
      <w:tr w14:paraId="6111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B219A7">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p>
        </w:tc>
        <w:tc>
          <w:tcPr>
            <w:tcW w:w="1413" w:type="dxa"/>
            <w:vAlign w:val="center"/>
          </w:tcPr>
          <w:p w14:paraId="294F86AE">
            <w:pPr>
              <w:pStyle w:val="13"/>
              <w:shd w:val="clear"/>
              <w:spacing w:line="400" w:lineRule="exact"/>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产品性能</w:t>
            </w:r>
          </w:p>
        </w:tc>
        <w:tc>
          <w:tcPr>
            <w:tcW w:w="5464" w:type="dxa"/>
            <w:vAlign w:val="center"/>
          </w:tcPr>
          <w:p w14:paraId="062A5D34">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由评委根据各投标单位所报的技术参数进行综合打分：</w:t>
            </w:r>
          </w:p>
          <w:p w14:paraId="61B53A2B">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16分-25分】：投标单位所投产品市场认知度和品牌声誉度高、专业优势强、厂家资信好；外观坚实，质量性能优越、环保性高，产品故障率低、后期易于维护,提供的备品备件齐全，产品性能及主要技术参数能完全满足招标文件的要求；</w:t>
            </w:r>
          </w:p>
          <w:p w14:paraId="167844D8">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【8分-16分</w:t>
            </w:r>
            <w:r>
              <w:rPr>
                <w:rFonts w:hint="eastAsia" w:ascii="仿宋" w:hAnsi="仿宋" w:eastAsia="仿宋" w:cs="仿宋"/>
                <w:color w:val="000000" w:themeColor="text1"/>
                <w:sz w:val="28"/>
                <w:szCs w:val="28"/>
                <w:highlight w:val="none"/>
              </w:rPr>
              <w:t>（含）</w:t>
            </w:r>
            <w:r>
              <w:rPr>
                <w:rFonts w:hint="eastAsia" w:ascii="仿宋" w:hAnsi="仿宋" w:eastAsia="仿宋" w:cs="仿宋"/>
                <w:color w:val="auto"/>
                <w:sz w:val="28"/>
                <w:szCs w:val="28"/>
                <w:highlight w:val="none"/>
                <w:lang w:val="en-US" w:eastAsia="zh-CN"/>
              </w:rPr>
              <w:t>】：投标单位所投产品市场认知度和品牌声誉度比较好、专业优势较强、厂家资信较好；做工比较精美，质量性能比较优越、环保性比较高，产品故障率比较低、后期比较易于维护,提供的备品备件比较齐全，产品性能及主要技术参数能满足招标文件的要求；</w:t>
            </w:r>
          </w:p>
          <w:p w14:paraId="52BF8F54">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【0分-8分</w:t>
            </w:r>
            <w:r>
              <w:rPr>
                <w:rFonts w:hint="eastAsia" w:ascii="仿宋" w:hAnsi="仿宋" w:eastAsia="仿宋" w:cs="仿宋"/>
                <w:color w:val="000000" w:themeColor="text1"/>
                <w:sz w:val="28"/>
                <w:szCs w:val="28"/>
                <w:highlight w:val="none"/>
              </w:rPr>
              <w:t>（含）</w:t>
            </w:r>
            <w:r>
              <w:rPr>
                <w:rFonts w:hint="eastAsia" w:ascii="仿宋" w:hAnsi="仿宋" w:eastAsia="仿宋" w:cs="仿宋"/>
                <w:color w:val="auto"/>
                <w:sz w:val="28"/>
                <w:szCs w:val="28"/>
                <w:highlight w:val="none"/>
                <w:lang w:val="en-US" w:eastAsia="zh-CN"/>
              </w:rPr>
              <w:t>】：投标单位所投产品的市场认知度和品牌声誉度一般、专业优势一般、厂家资信一般；产品做工、质量性能、产品故障率、后期维护,提供的备品备件等存在瑕疵，产品性能及主要技术参数仅能基本满足招标文件的要求。</w:t>
            </w:r>
          </w:p>
        </w:tc>
        <w:tc>
          <w:tcPr>
            <w:tcW w:w="1134" w:type="dxa"/>
            <w:vAlign w:val="center"/>
          </w:tcPr>
          <w:p w14:paraId="24402FD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50833A8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25</w:t>
            </w:r>
            <w:r>
              <w:rPr>
                <w:rFonts w:hint="eastAsia" w:ascii="仿宋" w:hAnsi="仿宋" w:eastAsia="仿宋" w:cs="仿宋"/>
                <w:color w:val="auto"/>
                <w:sz w:val="28"/>
                <w:szCs w:val="28"/>
                <w:highlight w:val="none"/>
              </w:rPr>
              <w:t>.00</w:t>
            </w:r>
          </w:p>
        </w:tc>
      </w:tr>
      <w:tr w14:paraId="3F2C2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0C7FFC4">
            <w:pPr>
              <w:pStyle w:val="13"/>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p>
        </w:tc>
        <w:tc>
          <w:tcPr>
            <w:tcW w:w="1413" w:type="dxa"/>
            <w:vAlign w:val="center"/>
          </w:tcPr>
          <w:p w14:paraId="57CBD16E">
            <w:pPr>
              <w:pStyle w:val="13"/>
              <w:shd w:val="clear"/>
              <w:spacing w:line="400" w:lineRule="exact"/>
              <w:ind w:left="0" w:leftChars="0" w:firstLine="0" w:firstLineChars="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质量保证方案</w:t>
            </w:r>
          </w:p>
        </w:tc>
        <w:tc>
          <w:tcPr>
            <w:tcW w:w="5464" w:type="dxa"/>
            <w:vAlign w:val="center"/>
          </w:tcPr>
          <w:p w14:paraId="4AEE3DD8">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由评委根据各投标单位所报的质量保证方案进行综合打分：</w:t>
            </w:r>
          </w:p>
          <w:p w14:paraId="442D18C5">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【10分-15分】：质量保证体系完善，有切实可行的质量保证措施和内部控制措施，方案内容完整详实、科学合理、针对性强，可行性强，完全能够保证产品质量；</w:t>
            </w:r>
          </w:p>
          <w:p w14:paraId="45D2BEBD">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【5分-10分</w:t>
            </w:r>
            <w:r>
              <w:rPr>
                <w:rFonts w:hint="eastAsia" w:ascii="仿宋" w:hAnsi="仿宋" w:eastAsia="仿宋" w:cs="仿宋"/>
                <w:color w:val="000000" w:themeColor="text1"/>
                <w:sz w:val="28"/>
                <w:szCs w:val="28"/>
                <w:highlight w:val="none"/>
              </w:rPr>
              <w:t>（含）</w:t>
            </w:r>
            <w:r>
              <w:rPr>
                <w:rFonts w:hint="eastAsia" w:ascii="仿宋" w:hAnsi="仿宋" w:eastAsia="仿宋" w:cs="仿宋"/>
                <w:color w:val="auto"/>
                <w:sz w:val="28"/>
                <w:szCs w:val="28"/>
                <w:highlight w:val="none"/>
                <w:lang w:val="en-US" w:eastAsia="zh-CN"/>
              </w:rPr>
              <w:t>】：质量保证体系较为完善，质量保证措施和内部控制措施比较可行，方案内容比较完整详实、科学合理、针对性比较强，产品质量比较有保证；</w:t>
            </w:r>
          </w:p>
          <w:p w14:paraId="223154BB">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【0分-5分</w:t>
            </w:r>
            <w:r>
              <w:rPr>
                <w:rFonts w:hint="eastAsia" w:ascii="仿宋" w:hAnsi="仿宋" w:eastAsia="仿宋" w:cs="仿宋"/>
                <w:color w:val="000000" w:themeColor="text1"/>
                <w:sz w:val="28"/>
                <w:szCs w:val="28"/>
                <w:highlight w:val="none"/>
              </w:rPr>
              <w:t>（含）</w:t>
            </w:r>
            <w:r>
              <w:rPr>
                <w:rFonts w:hint="eastAsia" w:ascii="仿宋" w:hAnsi="仿宋" w:eastAsia="仿宋" w:cs="仿宋"/>
                <w:color w:val="auto"/>
                <w:sz w:val="28"/>
                <w:szCs w:val="28"/>
                <w:highlight w:val="none"/>
                <w:lang w:val="en-US" w:eastAsia="zh-CN"/>
              </w:rPr>
              <w:t>】：质量保证体系、质量保证措施、内部控制措施一般，方案内容表述不太完整且存在瑕疵。</w:t>
            </w:r>
          </w:p>
        </w:tc>
        <w:tc>
          <w:tcPr>
            <w:tcW w:w="1134" w:type="dxa"/>
            <w:vAlign w:val="center"/>
          </w:tcPr>
          <w:p w14:paraId="4839877C">
            <w:pPr>
              <w:pStyle w:val="13"/>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w:t>
            </w:r>
          </w:p>
        </w:tc>
        <w:tc>
          <w:tcPr>
            <w:tcW w:w="1023" w:type="dxa"/>
            <w:vAlign w:val="center"/>
          </w:tcPr>
          <w:p w14:paraId="3E38422D">
            <w:pPr>
              <w:pStyle w:val="13"/>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15.00</w:t>
            </w:r>
          </w:p>
        </w:tc>
      </w:tr>
      <w:tr w14:paraId="1C3C6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350697">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p>
        </w:tc>
        <w:tc>
          <w:tcPr>
            <w:tcW w:w="1413" w:type="dxa"/>
            <w:vAlign w:val="center"/>
          </w:tcPr>
          <w:p w14:paraId="749099B6">
            <w:pPr>
              <w:pStyle w:val="13"/>
              <w:shd w:val="clear"/>
              <w:spacing w:line="400" w:lineRule="exact"/>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售后</w:t>
            </w:r>
            <w:r>
              <w:rPr>
                <w:rFonts w:hint="eastAsia" w:ascii="仿宋" w:hAnsi="仿宋" w:eastAsia="仿宋" w:cs="仿宋"/>
                <w:color w:val="auto"/>
                <w:sz w:val="28"/>
                <w:szCs w:val="28"/>
                <w:highlight w:val="none"/>
              </w:rPr>
              <w:t>服务承诺</w:t>
            </w:r>
          </w:p>
        </w:tc>
        <w:tc>
          <w:tcPr>
            <w:tcW w:w="5464" w:type="dxa"/>
            <w:vAlign w:val="center"/>
          </w:tcPr>
          <w:p w14:paraId="57E0A193">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由评委根据各投标单位所报的售后服务方案进行综合打分：</w:t>
            </w:r>
          </w:p>
          <w:p w14:paraId="6134AD75">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【10分-15分】：投标单位提报的售后服务方案内容全面、措施完善，故障、技术支持响应时间快，拟派售后服务技术人员数量多，经验丰富，有突出的售后服务优势。</w:t>
            </w:r>
          </w:p>
          <w:p w14:paraId="4831B57E">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【5分-10分</w:t>
            </w:r>
            <w:r>
              <w:rPr>
                <w:rFonts w:hint="eastAsia" w:ascii="仿宋" w:hAnsi="仿宋" w:eastAsia="仿宋" w:cs="仿宋"/>
                <w:color w:val="000000" w:themeColor="text1"/>
                <w:sz w:val="28"/>
                <w:szCs w:val="28"/>
                <w:highlight w:val="none"/>
              </w:rPr>
              <w:t>（含）</w:t>
            </w:r>
            <w:r>
              <w:rPr>
                <w:rFonts w:hint="eastAsia" w:ascii="仿宋" w:hAnsi="仿宋" w:eastAsia="仿宋" w:cs="仿宋"/>
                <w:color w:val="auto"/>
                <w:sz w:val="28"/>
                <w:szCs w:val="28"/>
                <w:highlight w:val="none"/>
                <w:lang w:val="en-US" w:eastAsia="zh-CN"/>
              </w:rPr>
              <w:t>】：投标单位提报的售后服务方案内容比较详细、措施比较完善，故障、技术支持响应时间比较快，能够比较好的满足项目要求。</w:t>
            </w:r>
          </w:p>
          <w:p w14:paraId="3015F580">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【0分-5分</w:t>
            </w:r>
            <w:r>
              <w:rPr>
                <w:rFonts w:hint="eastAsia" w:ascii="仿宋" w:hAnsi="仿宋" w:eastAsia="仿宋" w:cs="仿宋"/>
                <w:color w:val="000000" w:themeColor="text1"/>
                <w:sz w:val="28"/>
                <w:szCs w:val="28"/>
                <w:highlight w:val="none"/>
              </w:rPr>
              <w:t>（含）</w:t>
            </w:r>
            <w:r>
              <w:rPr>
                <w:rFonts w:hint="eastAsia" w:ascii="仿宋" w:hAnsi="仿宋" w:eastAsia="仿宋" w:cs="仿宋"/>
                <w:color w:val="auto"/>
                <w:sz w:val="28"/>
                <w:szCs w:val="28"/>
                <w:highlight w:val="none"/>
                <w:lang w:val="en-US" w:eastAsia="zh-CN"/>
              </w:rPr>
              <w:t>】：投标单位提报的售后服务方案内容仅能基本满足项目要求。</w:t>
            </w:r>
          </w:p>
        </w:tc>
        <w:tc>
          <w:tcPr>
            <w:tcW w:w="1134" w:type="dxa"/>
            <w:vAlign w:val="center"/>
          </w:tcPr>
          <w:p w14:paraId="629DDBAA">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13A1D621">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.00</w:t>
            </w:r>
          </w:p>
        </w:tc>
      </w:tr>
    </w:tbl>
    <w:p w14:paraId="5572CA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60D805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②计算得分时，四舍五入保留至小数点后二位。</w:t>
      </w:r>
    </w:p>
    <w:p w14:paraId="545801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③汇总各评委打分进行算术平均，计算出各投标人的综合得分。</w:t>
      </w:r>
    </w:p>
    <w:p w14:paraId="4CE4F03C">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1" w:name="_Toc25525"/>
      <w:r>
        <w:rPr>
          <w:rStyle w:val="432"/>
          <w:rFonts w:hint="eastAsia" w:ascii="仿宋" w:hAnsi="仿宋" w:eastAsia="仿宋" w:cs="仿宋"/>
          <w:b/>
          <w:bCs/>
          <w:color w:val="auto"/>
          <w:kern w:val="2"/>
          <w:sz w:val="28"/>
          <w:szCs w:val="32"/>
          <w:highlight w:val="none"/>
        </w:rPr>
        <w:t>三、编写评标报告</w:t>
      </w:r>
      <w:bookmarkEnd w:id="81"/>
    </w:p>
    <w:p w14:paraId="1F803BB2">
      <w:pPr>
        <w:shd w:val="clear"/>
        <w:spacing w:line="240" w:lineRule="auto"/>
        <w:ind w:firstLine="560" w:firstLineChars="200"/>
        <w:rPr>
          <w:rFonts w:hint="eastAsia"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hint="eastAsia"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467BC267">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2" w:name="_Toc17123"/>
      <w:r>
        <w:rPr>
          <w:rStyle w:val="432"/>
          <w:rFonts w:hint="eastAsia" w:ascii="仿宋" w:hAnsi="仿宋" w:eastAsia="仿宋" w:cs="仿宋"/>
          <w:b/>
          <w:bCs/>
          <w:color w:val="auto"/>
          <w:kern w:val="2"/>
          <w:sz w:val="28"/>
          <w:szCs w:val="32"/>
          <w:highlight w:val="none"/>
        </w:rPr>
        <w:t>四、定标</w:t>
      </w:r>
      <w:bookmarkEnd w:id="82"/>
    </w:p>
    <w:p w14:paraId="6F034565">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1.评标委员会根据招标文件载明的评标细则进行综合评审，并按评审后得分由高到低顺序排列，确定排序前</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名的为中标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w:t>
      </w:r>
      <w:r>
        <w:rPr>
          <w:rFonts w:hint="eastAsia" w:ascii="仿宋" w:hAnsi="仿宋" w:eastAsia="仿宋" w:cs="仿宋"/>
          <w:color w:val="auto"/>
          <w:sz w:val="28"/>
          <w:szCs w:val="28"/>
          <w:highlight w:val="none"/>
          <w:lang w:eastAsia="zh-CN"/>
        </w:rPr>
        <w:t>。</w:t>
      </w:r>
    </w:p>
    <w:p w14:paraId="7AB4A90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2.评标结束后，公示无异议确定排名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的中标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人为中标人。如发现中标人存在与招标文件、投标文件不符或弄虚作假等其它违法行为、经查实中标人存在被限制其投标的不良行为等情况，经招标人同意，取消中标人资格，由排名次之的</w:t>
      </w:r>
      <w:r>
        <w:rPr>
          <w:rFonts w:hint="eastAsia" w:ascii="仿宋" w:hAnsi="仿宋" w:eastAsia="仿宋" w:cs="仿宋"/>
          <w:color w:val="auto"/>
          <w:sz w:val="28"/>
          <w:szCs w:val="28"/>
          <w:highlight w:val="none"/>
          <w:lang w:val="en-US" w:eastAsia="zh-CN"/>
        </w:rPr>
        <w:t>候选人</w:t>
      </w:r>
      <w:r>
        <w:rPr>
          <w:rFonts w:hint="eastAsia" w:ascii="仿宋" w:hAnsi="仿宋" w:eastAsia="仿宋" w:cs="仿宋"/>
          <w:color w:val="auto"/>
          <w:sz w:val="28"/>
          <w:szCs w:val="28"/>
          <w:highlight w:val="none"/>
        </w:rPr>
        <w:t>中标，依次类推或重新招标。</w:t>
      </w:r>
    </w:p>
    <w:p w14:paraId="656A1EAD">
      <w:pPr>
        <w:keepNext w:val="0"/>
        <w:keepLines w:val="0"/>
        <w:pageBreakBefore w:val="0"/>
        <w:widowControl w:val="0"/>
        <w:shd w:val="clear"/>
        <w:kinsoku/>
        <w:wordWrap w:val="0"/>
        <w:overflowPunct/>
        <w:topLinePunct w:val="0"/>
        <w:autoSpaceDE/>
        <w:autoSpaceDN/>
        <w:bidi w:val="0"/>
        <w:adjustRightInd/>
        <w:snapToGrid/>
        <w:spacing w:line="240" w:lineRule="auto"/>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3.评标结果将在</w:t>
      </w:r>
      <w:r>
        <w:rPr>
          <w:rFonts w:hint="eastAsia" w:ascii="仿宋" w:hAnsi="仿宋" w:eastAsia="仿宋" w:cs="仿宋"/>
          <w:color w:val="auto"/>
          <w:spacing w:val="8"/>
          <w:kern w:val="0"/>
          <w:sz w:val="28"/>
          <w:szCs w:val="28"/>
          <w:highlight w:val="none"/>
        </w:rPr>
        <w:t>中国招标投标公共服务平台（www.cebpubservice.com）、山东省公共资源交易网（https://ggzyjy.shandong.gov.cn/）、威海市公共资源交易网（http://ggzyjy.weihai.cn/）</w:t>
      </w:r>
      <w:r>
        <w:rPr>
          <w:rFonts w:hint="eastAsia" w:ascii="仿宋" w:hAnsi="仿宋" w:eastAsia="仿宋" w:cs="仿宋"/>
          <w:color w:val="auto"/>
          <w:sz w:val="28"/>
          <w:szCs w:val="28"/>
          <w:highlight w:val="none"/>
        </w:rPr>
        <w:t>予以公示。</w:t>
      </w:r>
    </w:p>
    <w:p w14:paraId="738FA7FF">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3" w:name="_Toc25834"/>
      <w:r>
        <w:rPr>
          <w:rStyle w:val="432"/>
          <w:rFonts w:hint="eastAsia" w:ascii="仿宋" w:hAnsi="仿宋" w:eastAsia="仿宋" w:cs="仿宋"/>
          <w:b/>
          <w:bCs/>
          <w:color w:val="auto"/>
          <w:kern w:val="2"/>
          <w:sz w:val="28"/>
          <w:szCs w:val="32"/>
          <w:highlight w:val="none"/>
        </w:rPr>
        <w:t>五、结果公示</w:t>
      </w:r>
      <w:bookmarkEnd w:id="83"/>
    </w:p>
    <w:p w14:paraId="5926EEAC">
      <w:pPr>
        <w:shd w:val="clear"/>
        <w:spacing w:line="240" w:lineRule="auto"/>
        <w:ind w:firstLine="482"/>
        <w:rPr>
          <w:rFonts w:hint="eastAsia" w:ascii="仿宋" w:hAnsi="仿宋" w:eastAsia="仿宋" w:cs="仿宋"/>
          <w:color w:val="auto"/>
          <w:highlight w:val="none"/>
        </w:rPr>
      </w:pPr>
      <w:r>
        <w:rPr>
          <w:rFonts w:hint="eastAsia" w:ascii="仿宋" w:hAnsi="仿宋" w:eastAsia="仿宋" w:cs="仿宋"/>
          <w:color w:val="auto"/>
          <w:sz w:val="28"/>
          <w:highlight w:val="none"/>
        </w:rPr>
        <w:t>招标人应当自定标结束后在招标公告发布媒介发布中标公示。中标公示期限为3日。</w:t>
      </w:r>
    </w:p>
    <w:p w14:paraId="652BF0E5">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4" w:name="_Toc2064"/>
      <w:r>
        <w:rPr>
          <w:rStyle w:val="432"/>
          <w:rFonts w:hint="eastAsia" w:ascii="仿宋" w:hAnsi="仿宋" w:eastAsia="仿宋" w:cs="仿宋"/>
          <w:b/>
          <w:bCs/>
          <w:color w:val="auto"/>
          <w:kern w:val="2"/>
          <w:sz w:val="28"/>
          <w:szCs w:val="32"/>
          <w:highlight w:val="none"/>
        </w:rPr>
        <w:t>六、签发中标通知书</w:t>
      </w:r>
      <w:bookmarkEnd w:id="84"/>
    </w:p>
    <w:p w14:paraId="5964153A">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中标公示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4EDF9A">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5" w:name="_Toc27419"/>
      <w:r>
        <w:rPr>
          <w:rStyle w:val="432"/>
          <w:rFonts w:hint="eastAsia" w:ascii="仿宋" w:hAnsi="仿宋" w:eastAsia="仿宋" w:cs="仿宋"/>
          <w:b/>
          <w:bCs/>
          <w:color w:val="auto"/>
          <w:kern w:val="2"/>
          <w:sz w:val="28"/>
          <w:szCs w:val="32"/>
          <w:highlight w:val="none"/>
        </w:rPr>
        <w:t>七、签订合同</w:t>
      </w:r>
      <w:bookmarkEnd w:id="85"/>
    </w:p>
    <w:p w14:paraId="5A5AD83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1.中标合同原则以第六章合同（范本）为基础，并根据响应、答疑情况进行修改补充，自签订之日起生效。</w:t>
      </w:r>
    </w:p>
    <w:p w14:paraId="288D081D">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2.中标人在规定的期限内无正当理由拒绝签订合同，招标人可以按照评审报告推荐的中标候选人名单排序，确定下一候选人为中标人，也可以重新开展招标活动。</w:t>
      </w:r>
    </w:p>
    <w:p w14:paraId="1B97CA0F">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3.中标合同，按照监督部门的要求，通过威海市国有企业阳光采购电子化服务平台进行签订。</w:t>
      </w:r>
    </w:p>
    <w:p w14:paraId="52C18303">
      <w:pPr>
        <w:widowControl/>
        <w:shd w:val="clear"/>
        <w:jc w:val="left"/>
        <w:rPr>
          <w:rFonts w:hint="eastAsia" w:ascii="仿宋" w:hAnsi="仿宋" w:eastAsia="仿宋" w:cs="仿宋"/>
          <w:b/>
          <w:bCs/>
          <w:caps/>
          <w:color w:val="auto"/>
          <w:sz w:val="28"/>
          <w:szCs w:val="28"/>
          <w:highlight w:val="none"/>
        </w:rPr>
      </w:pPr>
      <w:r>
        <w:rPr>
          <w:rFonts w:hint="eastAsia" w:ascii="仿宋" w:hAnsi="仿宋" w:eastAsia="仿宋" w:cs="仿宋"/>
          <w:color w:val="auto"/>
          <w:highlight w:val="none"/>
        </w:rPr>
        <w:br w:type="page"/>
      </w:r>
    </w:p>
    <w:bookmarkEnd w:id="76"/>
    <w:bookmarkEnd w:id="77"/>
    <w:bookmarkEnd w:id="78"/>
    <w:p w14:paraId="37E9AEFA">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6" w:name="_Toc25592"/>
      <w:bookmarkStart w:id="87" w:name="_Toc66864054"/>
      <w:r>
        <w:rPr>
          <w:rFonts w:hint="eastAsia" w:ascii="仿宋" w:hAnsi="仿宋" w:eastAsia="仿宋" w:cs="仿宋"/>
          <w:color w:val="auto"/>
          <w:highlight w:val="none"/>
        </w:rPr>
        <w:t>第四章  采购项目说明</w:t>
      </w:r>
      <w:bookmarkEnd w:id="86"/>
    </w:p>
    <w:bookmarkEnd w:id="87"/>
    <w:p w14:paraId="6483BEAE">
      <w:pPr>
        <w:shd w:val="clear"/>
        <w:spacing w:line="240" w:lineRule="auto"/>
        <w:ind w:firstLine="482"/>
        <w:rPr>
          <w:rFonts w:hint="eastAsia" w:ascii="仿宋" w:hAnsi="仿宋" w:eastAsia="仿宋" w:cs="仿宋"/>
          <w:color w:val="auto"/>
          <w:sz w:val="28"/>
          <w:highlight w:val="none"/>
          <w:lang w:eastAsia="zh-CN"/>
        </w:rPr>
      </w:pPr>
      <w:bookmarkStart w:id="88" w:name="_Hlk525721599"/>
      <w:r>
        <w:rPr>
          <w:rFonts w:hint="eastAsia" w:ascii="仿宋" w:hAnsi="仿宋" w:eastAsia="仿宋" w:cs="仿宋"/>
          <w:b/>
          <w:bCs/>
          <w:color w:val="auto"/>
          <w:sz w:val="28"/>
          <w:highlight w:val="none"/>
        </w:rPr>
        <w:t>一、项目名称：</w:t>
      </w:r>
      <w:r>
        <w:rPr>
          <w:rFonts w:hint="eastAsia" w:ascii="仿宋" w:hAnsi="仿宋" w:eastAsia="仿宋" w:cs="仿宋"/>
          <w:color w:val="auto"/>
          <w:sz w:val="28"/>
          <w:highlight w:val="none"/>
          <w:lang w:eastAsia="zh-CN"/>
        </w:rPr>
        <w:t>成大路（北虎口西红石山隧道内）供水主管道改造工程——PE管、管件采购</w:t>
      </w:r>
    </w:p>
    <w:p w14:paraId="1ABCBA26">
      <w:pPr>
        <w:shd w:val="clear"/>
        <w:spacing w:line="240" w:lineRule="auto"/>
        <w:ind w:firstLine="482"/>
        <w:rPr>
          <w:rFonts w:hint="eastAsia" w:ascii="仿宋" w:hAnsi="仿宋" w:eastAsia="仿宋" w:cs="仿宋"/>
          <w:b/>
          <w:bCs/>
          <w:color w:val="auto"/>
          <w:sz w:val="28"/>
          <w:highlight w:val="none"/>
          <w:lang w:eastAsia="zh-CN"/>
        </w:rPr>
      </w:pPr>
      <w:r>
        <w:rPr>
          <w:rFonts w:hint="eastAsia" w:ascii="仿宋" w:hAnsi="仿宋" w:eastAsia="仿宋" w:cs="仿宋"/>
          <w:b/>
          <w:bCs/>
          <w:color w:val="auto"/>
          <w:sz w:val="28"/>
          <w:highlight w:val="none"/>
        </w:rPr>
        <w:t>二、</w:t>
      </w:r>
      <w:r>
        <w:rPr>
          <w:rFonts w:hint="eastAsia" w:ascii="仿宋" w:hAnsi="仿宋" w:eastAsia="仿宋" w:cs="仿宋"/>
          <w:b/>
          <w:bCs/>
          <w:color w:val="auto"/>
          <w:sz w:val="28"/>
          <w:highlight w:val="none"/>
          <w:lang w:val="en-US" w:eastAsia="zh-CN"/>
        </w:rPr>
        <w:t>基本情况</w:t>
      </w:r>
      <w:r>
        <w:rPr>
          <w:rFonts w:hint="eastAsia" w:ascii="仿宋" w:hAnsi="仿宋" w:eastAsia="仿宋" w:cs="仿宋"/>
          <w:b/>
          <w:bCs/>
          <w:color w:val="auto"/>
          <w:sz w:val="28"/>
          <w:highlight w:val="none"/>
          <w:lang w:eastAsia="zh-CN"/>
        </w:rPr>
        <w:t>：</w:t>
      </w:r>
    </w:p>
    <w:p w14:paraId="5068B1A5">
      <w:pPr>
        <w:shd w:val="clear"/>
        <w:spacing w:line="240" w:lineRule="auto"/>
        <w:ind w:firstLine="560" w:firstLineChars="200"/>
        <w:rPr>
          <w:rFonts w:hint="default"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1.最高限价：902378.65元（除税）。</w:t>
      </w:r>
    </w:p>
    <w:p w14:paraId="5B68B786">
      <w:pPr>
        <w:shd w:val="clear"/>
        <w:spacing w:line="240" w:lineRule="auto"/>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2.供货期：合同签订后，自接到甲方通知之日起 30 日内，乙方应完成产品交付、提供焊机、配合施工、并验收合格（甲方单位另有要求除外）。</w:t>
      </w:r>
    </w:p>
    <w:p w14:paraId="39633183">
      <w:pPr>
        <w:shd w:val="clear"/>
        <w:spacing w:line="240" w:lineRule="auto"/>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3.保修期：自完成验收合格之日起不少于 24 个月。</w:t>
      </w:r>
    </w:p>
    <w:p w14:paraId="4B713458">
      <w:pPr>
        <w:shd w:val="clear"/>
        <w:spacing w:line="240" w:lineRule="auto"/>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4.质量标准：达到国家验收规范合格标准。</w:t>
      </w:r>
    </w:p>
    <w:p w14:paraId="5028E390">
      <w:pPr>
        <w:shd w:val="clear"/>
        <w:spacing w:line="240" w:lineRule="auto"/>
        <w:ind w:firstLine="482"/>
        <w:rPr>
          <w:rFonts w:hint="eastAsia" w:ascii="仿宋" w:hAnsi="仿宋" w:eastAsia="仿宋" w:cs="仿宋"/>
          <w:b/>
          <w:bCs/>
          <w:color w:val="auto"/>
          <w:sz w:val="28"/>
          <w:highlight w:val="none"/>
        </w:rPr>
      </w:pPr>
      <w:r>
        <w:rPr>
          <w:rFonts w:hint="eastAsia" w:ascii="仿宋" w:hAnsi="仿宋" w:eastAsia="仿宋" w:cs="仿宋"/>
          <w:b/>
          <w:bCs/>
          <w:color w:val="auto"/>
          <w:sz w:val="28"/>
          <w:highlight w:val="none"/>
          <w:lang w:val="en-US" w:eastAsia="zh-CN"/>
        </w:rPr>
        <w:t>三</w:t>
      </w:r>
      <w:r>
        <w:rPr>
          <w:rFonts w:hint="eastAsia" w:ascii="仿宋" w:hAnsi="仿宋" w:eastAsia="仿宋" w:cs="仿宋"/>
          <w:b/>
          <w:bCs/>
          <w:color w:val="auto"/>
          <w:sz w:val="28"/>
          <w:highlight w:val="none"/>
        </w:rPr>
        <w:t>、技术要求：</w:t>
      </w:r>
    </w:p>
    <w:p w14:paraId="59255599">
      <w:pPr>
        <w:shd w:val="clear"/>
        <w:spacing w:line="240" w:lineRule="auto"/>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1、满足图纸设计要求，达到工艺运行条件。（此项为主要依据）</w:t>
      </w:r>
    </w:p>
    <w:p w14:paraId="5534079A">
      <w:pPr>
        <w:shd w:val="clear"/>
        <w:spacing w:line="240" w:lineRule="auto"/>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2、材料、设备供货参数严格按照设计文件规定内容执行。</w:t>
      </w:r>
    </w:p>
    <w:p w14:paraId="295C0DE5">
      <w:pPr>
        <w:shd w:val="clear"/>
        <w:spacing w:line="240" w:lineRule="auto"/>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3、达到国家验收规范合格标准。</w:t>
      </w:r>
    </w:p>
    <w:p w14:paraId="6DD8AB8A">
      <w:pPr>
        <w:shd w:val="clear"/>
        <w:spacing w:line="240" w:lineRule="auto"/>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4、产品规格、尺寸、数量及主要技术要求等见附表：主要材料清单。（附表内容与图纸不符应以图纸为准，并在投标时以答疑的形式联系招标方）；</w:t>
      </w:r>
    </w:p>
    <w:p w14:paraId="51A31042">
      <w:pPr>
        <w:shd w:val="clear"/>
        <w:spacing w:line="240" w:lineRule="auto"/>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 xml:space="preserve">5、负责提供详细的De630PE管优化设计方案，方案经建设单位和设计单位同意后方可实施。负责提供样品，样品及制作费用由供应单位承担。     </w:t>
      </w:r>
    </w:p>
    <w:p w14:paraId="07239F15">
      <w:pPr>
        <w:shd w:val="clear"/>
        <w:spacing w:line="240" w:lineRule="auto"/>
        <w:ind w:firstLine="560" w:firstLineChars="200"/>
        <w:rPr>
          <w:rFonts w:hint="default"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6、供货和进场时间需严格按照招标方的要求。货物进场随车提供De630PE管及辅材的合格证、出厂检测报告，负责提供复检材料（见证取样），保证提供的资料要有时效性和真实性。通过设备开箱验收合格后，方可进行配合施工。开箱验收内容包括但不限于主要材料清单的全部规格、参数及品牌。</w:t>
      </w:r>
    </w:p>
    <w:p w14:paraId="44B7D964">
      <w:pPr>
        <w:shd w:val="clear"/>
        <w:spacing w:line="240" w:lineRule="auto"/>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7、负责提供De630PE管等配合施工所需的辅材，并按要求设置。</w:t>
      </w:r>
    </w:p>
    <w:p w14:paraId="2223586E">
      <w:pPr>
        <w:shd w:val="clear"/>
        <w:spacing w:line="240" w:lineRule="auto"/>
        <w:ind w:firstLine="560" w:firstLineChars="200"/>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8、根据工程需要和建设单位的要求，工程质量（含材料）检测的费用由投标方承担。</w:t>
      </w:r>
    </w:p>
    <w:p w14:paraId="5B9558E6">
      <w:pPr>
        <w:shd w:val="clear"/>
        <w:spacing w:line="240" w:lineRule="auto"/>
        <w:ind w:firstLine="560" w:firstLineChars="200"/>
        <w:rPr>
          <w:rFonts w:hint="default" w:ascii="仿宋" w:hAnsi="仿宋" w:eastAsia="仿宋" w:cs="仿宋"/>
          <w:color w:val="auto"/>
          <w:sz w:val="28"/>
          <w:highlight w:val="none"/>
          <w:lang w:val="en-US" w:eastAsia="zh-CN"/>
        </w:rPr>
      </w:pPr>
    </w:p>
    <w:p w14:paraId="52F4583A">
      <w:pPr>
        <w:shd w:val="clear"/>
        <w:spacing w:line="240" w:lineRule="auto"/>
        <w:ind w:firstLine="482"/>
        <w:rPr>
          <w:rFonts w:hint="eastAsia" w:ascii="仿宋" w:hAnsi="仿宋" w:eastAsia="仿宋" w:cs="仿宋"/>
          <w:b/>
          <w:bCs/>
          <w:strike w:val="0"/>
          <w:dstrike w:val="0"/>
          <w:color w:val="auto"/>
          <w:sz w:val="28"/>
          <w:highlight w:val="none"/>
          <w:lang w:eastAsia="zh-CN"/>
        </w:rPr>
      </w:pPr>
      <w:r>
        <w:rPr>
          <w:rFonts w:hint="eastAsia" w:ascii="仿宋" w:hAnsi="仿宋" w:eastAsia="仿宋" w:cs="仿宋"/>
          <w:b/>
          <w:bCs/>
          <w:strike w:val="0"/>
          <w:dstrike w:val="0"/>
          <w:color w:val="auto"/>
          <w:sz w:val="28"/>
          <w:highlight w:val="none"/>
          <w:lang w:val="en-US" w:eastAsia="zh-CN"/>
        </w:rPr>
        <w:t>四</w:t>
      </w:r>
      <w:r>
        <w:rPr>
          <w:rFonts w:hint="eastAsia" w:ascii="仿宋" w:hAnsi="仿宋" w:eastAsia="仿宋" w:cs="仿宋"/>
          <w:b/>
          <w:bCs/>
          <w:strike w:val="0"/>
          <w:dstrike w:val="0"/>
          <w:color w:val="auto"/>
          <w:sz w:val="28"/>
          <w:highlight w:val="none"/>
          <w:lang w:eastAsia="zh-CN"/>
        </w:rPr>
        <w:t>、其他要求：</w:t>
      </w:r>
    </w:p>
    <w:p w14:paraId="4AAF85AB">
      <w:pPr>
        <w:shd w:val="clear"/>
        <w:spacing w:line="240" w:lineRule="auto"/>
        <w:ind w:firstLine="482"/>
        <w:rPr>
          <w:rFonts w:hint="eastAsia" w:ascii="仿宋" w:hAnsi="仿宋" w:eastAsia="仿宋" w:cs="仿宋"/>
          <w:strike w:val="0"/>
          <w:dstrike w:val="0"/>
          <w:color w:val="auto"/>
          <w:sz w:val="28"/>
          <w:highlight w:val="none"/>
          <w:lang w:val="en-US" w:eastAsia="zh-CN"/>
        </w:rPr>
      </w:pPr>
      <w:r>
        <w:rPr>
          <w:rFonts w:hint="eastAsia" w:ascii="仿宋" w:hAnsi="仿宋" w:eastAsia="仿宋" w:cs="仿宋"/>
          <w:strike w:val="0"/>
          <w:dstrike w:val="0"/>
          <w:color w:val="auto"/>
          <w:sz w:val="28"/>
          <w:highlight w:val="none"/>
          <w:lang w:val="en-US" w:eastAsia="zh-CN"/>
        </w:rPr>
        <w:t>1、负责提供入场配合施工人员的详细信息、保险凭证、劳动合同等资料，投标方为本项目所有配合施工人员和现场管理人员购买商业保险（雇主责任险及工伤保险）。</w:t>
      </w:r>
    </w:p>
    <w:p w14:paraId="2DCD01AD">
      <w:pPr>
        <w:shd w:val="clear"/>
        <w:spacing w:line="240" w:lineRule="auto"/>
        <w:ind w:firstLine="482"/>
        <w:rPr>
          <w:rFonts w:hint="eastAsia" w:ascii="仿宋" w:hAnsi="仿宋" w:eastAsia="仿宋" w:cs="仿宋"/>
          <w:strike w:val="0"/>
          <w:dstrike w:val="0"/>
          <w:color w:val="auto"/>
          <w:sz w:val="28"/>
          <w:highlight w:val="none"/>
          <w:lang w:eastAsia="zh-CN"/>
        </w:rPr>
      </w:pPr>
      <w:r>
        <w:rPr>
          <w:rFonts w:hint="eastAsia" w:ascii="仿宋" w:hAnsi="仿宋" w:eastAsia="仿宋" w:cs="仿宋"/>
          <w:strike w:val="0"/>
          <w:dstrike w:val="0"/>
          <w:color w:val="auto"/>
          <w:sz w:val="28"/>
          <w:highlight w:val="none"/>
          <w:lang w:val="en-US" w:eastAsia="zh-CN"/>
        </w:rPr>
        <w:t>2、指派一名现场负责人，对工程的安全、质量、进度、文明施工等全面负责。施工期间不得擅自离场。按照招标人的要求，配合招标方验收、调试、试运行、交底培训等工作。</w:t>
      </w:r>
    </w:p>
    <w:p w14:paraId="445708FA">
      <w:pPr>
        <w:shd w:val="clear"/>
        <w:spacing w:line="240" w:lineRule="auto"/>
        <w:ind w:firstLine="482"/>
        <w:rPr>
          <w:rFonts w:hint="eastAsia" w:ascii="仿宋" w:hAnsi="仿宋" w:eastAsia="仿宋" w:cs="仿宋"/>
          <w:b/>
          <w:bCs/>
          <w:strike w:val="0"/>
          <w:dstrike w:val="0"/>
          <w:color w:val="auto"/>
          <w:sz w:val="28"/>
          <w:highlight w:val="none"/>
          <w:lang w:eastAsia="zh-CN"/>
        </w:rPr>
      </w:pPr>
      <w:r>
        <w:rPr>
          <w:rFonts w:hint="eastAsia" w:ascii="仿宋" w:hAnsi="仿宋" w:eastAsia="仿宋" w:cs="仿宋"/>
          <w:b/>
          <w:bCs/>
          <w:strike w:val="0"/>
          <w:dstrike w:val="0"/>
          <w:color w:val="auto"/>
          <w:sz w:val="28"/>
          <w:highlight w:val="none"/>
          <w:lang w:val="en-US" w:eastAsia="zh-CN"/>
        </w:rPr>
        <w:t>五、</w:t>
      </w:r>
      <w:r>
        <w:rPr>
          <w:rFonts w:hint="eastAsia" w:ascii="仿宋" w:hAnsi="仿宋" w:eastAsia="仿宋" w:cs="仿宋"/>
          <w:b/>
          <w:bCs/>
          <w:strike w:val="0"/>
          <w:dstrike w:val="0"/>
          <w:color w:val="auto"/>
          <w:sz w:val="28"/>
          <w:highlight w:val="none"/>
          <w:lang w:eastAsia="zh-CN"/>
        </w:rPr>
        <w:t>投标单位在投标报价时，应综合考虑以下费用：</w:t>
      </w:r>
    </w:p>
    <w:p w14:paraId="50771221">
      <w:pPr>
        <w:shd w:val="clear"/>
        <w:spacing w:line="240" w:lineRule="auto"/>
        <w:ind w:firstLine="482"/>
        <w:rPr>
          <w:rFonts w:hint="eastAsia" w:ascii="仿宋" w:hAnsi="仿宋" w:eastAsia="仿宋" w:cs="仿宋"/>
          <w:strike w:val="0"/>
          <w:dstrike w:val="0"/>
          <w:color w:val="auto"/>
          <w:sz w:val="28"/>
          <w:highlight w:val="none"/>
          <w:lang w:val="en-US" w:eastAsia="zh-CN"/>
        </w:rPr>
      </w:pPr>
      <w:r>
        <w:rPr>
          <w:rFonts w:hint="eastAsia" w:ascii="仿宋" w:hAnsi="仿宋" w:eastAsia="仿宋" w:cs="仿宋"/>
          <w:strike w:val="0"/>
          <w:dstrike w:val="0"/>
          <w:color w:val="auto"/>
          <w:sz w:val="28"/>
          <w:highlight w:val="none"/>
          <w:lang w:val="en-US" w:eastAsia="zh-CN"/>
        </w:rPr>
        <w:t>1、工程量清单中的工作内容和项目特征描述，均为分部分项清单项目的主要内容。若有未列全的其他内容由投标单位按照招标文件、设计图纸、规范等资料要求综合考虑；设计及规范等资料未明确的由投标单位根据现场考察，相关资料综合考虑；或于答疑前书面提出，在答疑时统一解决。</w:t>
      </w:r>
    </w:p>
    <w:p w14:paraId="347D5F4A">
      <w:pPr>
        <w:shd w:val="clear"/>
        <w:spacing w:line="240" w:lineRule="auto"/>
        <w:ind w:firstLine="482"/>
        <w:rPr>
          <w:rFonts w:hint="eastAsia" w:ascii="仿宋" w:hAnsi="仿宋" w:eastAsia="仿宋" w:cs="仿宋"/>
          <w:strike w:val="0"/>
          <w:dstrike w:val="0"/>
          <w:color w:val="auto"/>
          <w:sz w:val="28"/>
          <w:highlight w:val="none"/>
          <w:lang w:val="en-US" w:eastAsia="zh-CN"/>
        </w:rPr>
      </w:pPr>
      <w:r>
        <w:rPr>
          <w:rFonts w:hint="eastAsia" w:ascii="仿宋" w:hAnsi="仿宋" w:eastAsia="仿宋" w:cs="仿宋"/>
          <w:strike w:val="0"/>
          <w:dstrike w:val="0"/>
          <w:color w:val="auto"/>
          <w:sz w:val="28"/>
          <w:highlight w:val="none"/>
          <w:lang w:val="en-US" w:eastAsia="zh-CN"/>
        </w:rPr>
        <w:t>2、招标图纸设计不完善或节点遗漏或清单描述不详尽等情况，各投标方应结合经验及规范二次深化设计并充分考虑该部分费用。各投标方应具备成熟合格供应商能力，报价时应充分考虑各种因素，以满足甲方对工程的使用要求。所有分部分项工程量清单均以完成该清单项目的所有内容为准考虑到综合报价中，结算时除对综合单价不予调整外，对其增加工程数量部分也不予调整（其中清单工程量标注按实结算部分除外），对清单及图纸中未施工的部分予以相应的扣除。甲方另有变更除外。</w:t>
      </w:r>
    </w:p>
    <w:p w14:paraId="521BC43A">
      <w:pPr>
        <w:shd w:val="clear"/>
        <w:spacing w:line="240" w:lineRule="auto"/>
        <w:ind w:firstLine="482"/>
        <w:rPr>
          <w:rFonts w:hint="eastAsia" w:ascii="仿宋" w:hAnsi="仿宋" w:eastAsia="仿宋" w:cs="仿宋"/>
          <w:strike w:val="0"/>
          <w:dstrike w:val="0"/>
          <w:color w:val="auto"/>
          <w:sz w:val="28"/>
          <w:highlight w:val="none"/>
          <w:lang w:val="en-US" w:eastAsia="zh-CN"/>
        </w:rPr>
      </w:pPr>
      <w:r>
        <w:rPr>
          <w:rFonts w:hint="eastAsia" w:ascii="仿宋" w:hAnsi="仿宋" w:eastAsia="仿宋" w:cs="仿宋"/>
          <w:strike w:val="0"/>
          <w:dstrike w:val="0"/>
          <w:color w:val="auto"/>
          <w:sz w:val="28"/>
          <w:highlight w:val="none"/>
          <w:lang w:val="en-US" w:eastAsia="zh-CN"/>
        </w:rPr>
        <w:t>3、建设过程中发生的诸如市场物价浮动和政策性调价等一切因素，材料单价均不做调整 ，招标文件另有规定的除外。</w:t>
      </w:r>
    </w:p>
    <w:p w14:paraId="6FF92850">
      <w:pPr>
        <w:shd w:val="clear"/>
        <w:spacing w:line="240" w:lineRule="auto"/>
        <w:ind w:firstLine="482"/>
        <w:rPr>
          <w:rFonts w:hint="eastAsia" w:ascii="仿宋" w:hAnsi="仿宋" w:eastAsia="仿宋" w:cs="仿宋"/>
          <w:strike w:val="0"/>
          <w:dstrike w:val="0"/>
          <w:color w:val="auto"/>
          <w:sz w:val="28"/>
          <w:highlight w:val="none"/>
          <w:lang w:val="en-US" w:eastAsia="zh-CN"/>
        </w:rPr>
      </w:pPr>
      <w:r>
        <w:rPr>
          <w:rFonts w:hint="eastAsia" w:ascii="仿宋" w:hAnsi="仿宋" w:eastAsia="仿宋" w:cs="仿宋"/>
          <w:strike w:val="0"/>
          <w:dstrike w:val="0"/>
          <w:color w:val="auto"/>
          <w:sz w:val="28"/>
          <w:highlight w:val="none"/>
          <w:lang w:val="en-US" w:eastAsia="zh-CN"/>
        </w:rPr>
        <w:t>4、本工程的主要材料，建设单位都有提出更换的权力，因建设单位提出材料变更导致材料产生差价建设单位给予找补差价，但差价不再参与取费，只计取规费与税金。</w:t>
      </w:r>
    </w:p>
    <w:p w14:paraId="7AB6182A">
      <w:pPr>
        <w:shd w:val="clear"/>
        <w:spacing w:line="240" w:lineRule="auto"/>
        <w:ind w:firstLine="482"/>
        <w:rPr>
          <w:rFonts w:hint="eastAsia" w:ascii="仿宋" w:hAnsi="仿宋" w:eastAsia="仿宋" w:cs="仿宋"/>
          <w:strike w:val="0"/>
          <w:dstrike w:val="0"/>
          <w:color w:val="auto"/>
          <w:sz w:val="28"/>
          <w:highlight w:val="none"/>
          <w:lang w:val="en-US" w:eastAsia="zh-CN"/>
        </w:rPr>
      </w:pPr>
      <w:r>
        <w:rPr>
          <w:rFonts w:hint="eastAsia" w:ascii="仿宋" w:hAnsi="仿宋" w:eastAsia="仿宋" w:cs="仿宋"/>
          <w:strike w:val="0"/>
          <w:dstrike w:val="0"/>
          <w:color w:val="auto"/>
          <w:sz w:val="28"/>
          <w:highlight w:val="none"/>
          <w:lang w:val="en-US" w:eastAsia="zh-CN"/>
        </w:rPr>
        <w:t>5、投标单位应根据现场实际情况，自己考虑临时设施的搭设位置，但必须符合规定。无论场内、场外，结算时不再增加此部分费用。</w:t>
      </w:r>
    </w:p>
    <w:p w14:paraId="0FA15EC1">
      <w:pPr>
        <w:shd w:val="clear"/>
        <w:spacing w:line="240" w:lineRule="auto"/>
        <w:ind w:firstLine="482"/>
        <w:rPr>
          <w:rFonts w:hint="eastAsia" w:ascii="仿宋" w:hAnsi="仿宋" w:eastAsia="仿宋" w:cs="仿宋"/>
          <w:strike w:val="0"/>
          <w:dstrike w:val="0"/>
          <w:color w:val="auto"/>
          <w:sz w:val="28"/>
          <w:highlight w:val="none"/>
          <w:lang w:val="en-US" w:eastAsia="zh-CN"/>
        </w:rPr>
      </w:pPr>
    </w:p>
    <w:p w14:paraId="2CC5532A">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b/>
          <w:bCs/>
          <w:color w:val="auto"/>
          <w:sz w:val="28"/>
          <w:highlight w:val="none"/>
          <w:lang w:val="en-US" w:eastAsia="zh-CN"/>
        </w:rPr>
        <w:t>六、主要材料清单</w:t>
      </w:r>
    </w:p>
    <w:tbl>
      <w:tblPr>
        <w:tblStyle w:val="55"/>
        <w:tblW w:w="9465"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2729"/>
        <w:gridCol w:w="3034"/>
        <w:gridCol w:w="947"/>
        <w:gridCol w:w="1974"/>
      </w:tblGrid>
      <w:tr w14:paraId="5066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781" w:type="dxa"/>
            <w:tcBorders>
              <w:top w:val="single" w:color="auto" w:sz="4" w:space="0"/>
              <w:left w:val="single" w:color="auto" w:sz="4" w:space="0"/>
              <w:bottom w:val="single" w:color="auto" w:sz="4" w:space="0"/>
              <w:right w:val="single" w:color="auto" w:sz="4" w:space="0"/>
            </w:tcBorders>
            <w:vAlign w:val="center"/>
          </w:tcPr>
          <w:p w14:paraId="0C3C088E">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序号</w:t>
            </w:r>
          </w:p>
        </w:tc>
        <w:tc>
          <w:tcPr>
            <w:tcW w:w="2729" w:type="dxa"/>
            <w:tcBorders>
              <w:top w:val="single" w:color="auto" w:sz="4" w:space="0"/>
              <w:left w:val="single" w:color="auto" w:sz="4" w:space="0"/>
              <w:bottom w:val="single" w:color="auto" w:sz="4" w:space="0"/>
              <w:right w:val="single" w:color="auto" w:sz="4" w:space="0"/>
            </w:tcBorders>
            <w:vAlign w:val="center"/>
          </w:tcPr>
          <w:p w14:paraId="16C6A27A">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产品名称</w:t>
            </w:r>
          </w:p>
        </w:tc>
        <w:tc>
          <w:tcPr>
            <w:tcW w:w="3034" w:type="dxa"/>
            <w:tcBorders>
              <w:top w:val="single" w:color="auto" w:sz="4" w:space="0"/>
              <w:left w:val="single" w:color="auto" w:sz="4" w:space="0"/>
              <w:bottom w:val="single" w:color="auto" w:sz="4" w:space="0"/>
              <w:right w:val="single" w:color="auto" w:sz="4" w:space="0"/>
            </w:tcBorders>
            <w:vAlign w:val="center"/>
          </w:tcPr>
          <w:p w14:paraId="592280F8">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规格型号</w:t>
            </w:r>
          </w:p>
        </w:tc>
        <w:tc>
          <w:tcPr>
            <w:tcW w:w="947" w:type="dxa"/>
            <w:tcBorders>
              <w:top w:val="single" w:color="auto" w:sz="4" w:space="0"/>
              <w:left w:val="single" w:color="auto" w:sz="4" w:space="0"/>
              <w:bottom w:val="single" w:color="auto" w:sz="4" w:space="0"/>
              <w:right w:val="single" w:color="auto" w:sz="4" w:space="0"/>
            </w:tcBorders>
            <w:vAlign w:val="center"/>
          </w:tcPr>
          <w:p w14:paraId="2CD50CDC">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单位</w:t>
            </w:r>
          </w:p>
        </w:tc>
        <w:tc>
          <w:tcPr>
            <w:tcW w:w="1974" w:type="dxa"/>
            <w:tcBorders>
              <w:top w:val="single" w:color="auto" w:sz="4" w:space="0"/>
              <w:left w:val="single" w:color="auto" w:sz="4" w:space="0"/>
              <w:bottom w:val="single" w:color="auto" w:sz="4" w:space="0"/>
              <w:right w:val="single" w:color="auto" w:sz="4" w:space="0"/>
            </w:tcBorders>
            <w:vAlign w:val="center"/>
          </w:tcPr>
          <w:p w14:paraId="1B6AAC9B">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数量</w:t>
            </w:r>
          </w:p>
        </w:tc>
      </w:tr>
      <w:tr w14:paraId="1FA3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781" w:type="dxa"/>
            <w:tcBorders>
              <w:top w:val="single" w:color="auto" w:sz="4" w:space="0"/>
              <w:left w:val="single" w:color="auto" w:sz="4" w:space="0"/>
              <w:bottom w:val="single" w:color="auto" w:sz="4" w:space="0"/>
              <w:right w:val="single" w:color="auto" w:sz="4" w:space="0"/>
            </w:tcBorders>
            <w:vAlign w:val="center"/>
          </w:tcPr>
          <w:p w14:paraId="6E4103BB">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1</w:t>
            </w:r>
          </w:p>
        </w:tc>
        <w:tc>
          <w:tcPr>
            <w:tcW w:w="2729" w:type="dxa"/>
            <w:tcBorders>
              <w:top w:val="single" w:color="auto" w:sz="4" w:space="0"/>
              <w:left w:val="single" w:color="auto" w:sz="4" w:space="0"/>
              <w:bottom w:val="single" w:color="auto" w:sz="4" w:space="0"/>
              <w:right w:val="single" w:color="auto" w:sz="4" w:space="0"/>
            </w:tcBorders>
            <w:vAlign w:val="center"/>
          </w:tcPr>
          <w:p w14:paraId="238D6EB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PE管</w:t>
            </w:r>
          </w:p>
          <w:p w14:paraId="441B2E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De630(1.0Mpa)</w:t>
            </w:r>
          </w:p>
        </w:tc>
        <w:tc>
          <w:tcPr>
            <w:tcW w:w="3034" w:type="dxa"/>
            <w:tcBorders>
              <w:top w:val="single" w:color="auto" w:sz="4" w:space="0"/>
              <w:left w:val="single" w:color="auto" w:sz="4" w:space="0"/>
              <w:bottom w:val="single" w:color="auto" w:sz="4" w:space="0"/>
              <w:right w:val="single" w:color="auto" w:sz="4" w:space="0"/>
            </w:tcBorders>
            <w:vAlign w:val="center"/>
          </w:tcPr>
          <w:p w14:paraId="02B7F2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eastAsia="zh-CN"/>
              </w:rPr>
            </w:pPr>
            <w:r>
              <w:rPr>
                <w:rFonts w:hint="eastAsia" w:ascii="仿宋" w:hAnsi="仿宋" w:eastAsia="仿宋" w:cs="宋体"/>
                <w:sz w:val="21"/>
                <w:szCs w:val="21"/>
                <w:highlight w:val="none"/>
                <w:lang w:eastAsia="zh-CN"/>
              </w:rPr>
              <w:t>PE管</w:t>
            </w:r>
          </w:p>
          <w:p w14:paraId="32D7A60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eastAsia="zh-CN"/>
              </w:rPr>
            </w:pPr>
            <w:r>
              <w:rPr>
                <w:rFonts w:hint="eastAsia" w:ascii="仿宋" w:hAnsi="仿宋" w:eastAsia="仿宋" w:cs="宋体"/>
                <w:sz w:val="21"/>
                <w:szCs w:val="21"/>
                <w:highlight w:val="none"/>
                <w:lang w:eastAsia="zh-CN"/>
              </w:rPr>
              <w:t>规格：De630，1.0Mpa</w:t>
            </w:r>
          </w:p>
        </w:tc>
        <w:tc>
          <w:tcPr>
            <w:tcW w:w="947" w:type="dxa"/>
            <w:tcBorders>
              <w:top w:val="single" w:color="auto" w:sz="4" w:space="0"/>
              <w:left w:val="single" w:color="auto" w:sz="4" w:space="0"/>
              <w:bottom w:val="single" w:color="auto" w:sz="4" w:space="0"/>
              <w:right w:val="single" w:color="auto" w:sz="4" w:space="0"/>
            </w:tcBorders>
            <w:vAlign w:val="center"/>
          </w:tcPr>
          <w:p w14:paraId="318EBE15">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m</w:t>
            </w:r>
          </w:p>
        </w:tc>
        <w:tc>
          <w:tcPr>
            <w:tcW w:w="1974" w:type="dxa"/>
            <w:tcBorders>
              <w:top w:val="single" w:color="auto" w:sz="4" w:space="0"/>
              <w:left w:val="single" w:color="auto" w:sz="4" w:space="0"/>
              <w:bottom w:val="single" w:color="auto" w:sz="4" w:space="0"/>
              <w:right w:val="single" w:color="auto" w:sz="4" w:space="0"/>
            </w:tcBorders>
            <w:vAlign w:val="center"/>
          </w:tcPr>
          <w:p w14:paraId="7F467E30">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1043.42</w:t>
            </w:r>
          </w:p>
        </w:tc>
      </w:tr>
      <w:tr w14:paraId="1110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tcBorders>
              <w:top w:val="single" w:color="auto" w:sz="4" w:space="0"/>
              <w:left w:val="single" w:color="auto" w:sz="4" w:space="0"/>
              <w:bottom w:val="single" w:color="auto" w:sz="4" w:space="0"/>
              <w:right w:val="single" w:color="auto" w:sz="4" w:space="0"/>
            </w:tcBorders>
            <w:vAlign w:val="center"/>
          </w:tcPr>
          <w:p w14:paraId="673C112C">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2</w:t>
            </w:r>
          </w:p>
        </w:tc>
        <w:tc>
          <w:tcPr>
            <w:tcW w:w="2729" w:type="dxa"/>
            <w:tcBorders>
              <w:top w:val="single" w:color="auto" w:sz="4" w:space="0"/>
              <w:left w:val="single" w:color="auto" w:sz="4" w:space="0"/>
              <w:bottom w:val="single" w:color="auto" w:sz="4" w:space="0"/>
              <w:right w:val="single" w:color="auto" w:sz="4" w:space="0"/>
            </w:tcBorders>
            <w:vAlign w:val="center"/>
          </w:tcPr>
          <w:p w14:paraId="7EFD20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PE弯头De630*22.5(1.0Mpa)</w:t>
            </w:r>
          </w:p>
        </w:tc>
        <w:tc>
          <w:tcPr>
            <w:tcW w:w="3034" w:type="dxa"/>
            <w:tcBorders>
              <w:top w:val="single" w:color="auto" w:sz="4" w:space="0"/>
              <w:left w:val="single" w:color="auto" w:sz="4" w:space="0"/>
              <w:bottom w:val="single" w:color="auto" w:sz="4" w:space="0"/>
              <w:right w:val="single" w:color="auto" w:sz="4" w:space="0"/>
            </w:tcBorders>
            <w:vAlign w:val="center"/>
          </w:tcPr>
          <w:p w14:paraId="3F0EEB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PE弯头</w:t>
            </w:r>
          </w:p>
          <w:p w14:paraId="1454105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规格：De630*22.5°，1.0Mpa</w:t>
            </w:r>
          </w:p>
        </w:tc>
        <w:tc>
          <w:tcPr>
            <w:tcW w:w="947" w:type="dxa"/>
            <w:tcBorders>
              <w:top w:val="single" w:color="auto" w:sz="4" w:space="0"/>
              <w:left w:val="single" w:color="auto" w:sz="4" w:space="0"/>
              <w:bottom w:val="single" w:color="auto" w:sz="4" w:space="0"/>
              <w:right w:val="single" w:color="auto" w:sz="4" w:space="0"/>
            </w:tcBorders>
            <w:vAlign w:val="center"/>
          </w:tcPr>
          <w:p w14:paraId="1EF6B701">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1974" w:type="dxa"/>
            <w:tcBorders>
              <w:top w:val="single" w:color="auto" w:sz="4" w:space="0"/>
              <w:left w:val="single" w:color="auto" w:sz="4" w:space="0"/>
              <w:bottom w:val="single" w:color="auto" w:sz="4" w:space="0"/>
              <w:right w:val="single" w:color="auto" w:sz="4" w:space="0"/>
            </w:tcBorders>
            <w:vAlign w:val="center"/>
          </w:tcPr>
          <w:p w14:paraId="24E2B258">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2</w:t>
            </w:r>
          </w:p>
        </w:tc>
      </w:tr>
      <w:tr w14:paraId="1224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tcBorders>
              <w:top w:val="single" w:color="auto" w:sz="4" w:space="0"/>
              <w:left w:val="single" w:color="auto" w:sz="4" w:space="0"/>
              <w:bottom w:val="single" w:color="auto" w:sz="4" w:space="0"/>
              <w:right w:val="single" w:color="auto" w:sz="4" w:space="0"/>
            </w:tcBorders>
            <w:vAlign w:val="center"/>
          </w:tcPr>
          <w:p w14:paraId="3F18ED43">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3</w:t>
            </w:r>
          </w:p>
        </w:tc>
        <w:tc>
          <w:tcPr>
            <w:tcW w:w="2729" w:type="dxa"/>
            <w:tcBorders>
              <w:top w:val="single" w:color="auto" w:sz="4" w:space="0"/>
              <w:left w:val="single" w:color="auto" w:sz="4" w:space="0"/>
              <w:bottom w:val="single" w:color="auto" w:sz="4" w:space="0"/>
              <w:right w:val="single" w:color="auto" w:sz="4" w:space="0"/>
            </w:tcBorders>
            <w:vAlign w:val="center"/>
          </w:tcPr>
          <w:p w14:paraId="26575C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PE三通</w:t>
            </w:r>
          </w:p>
          <w:p w14:paraId="059031C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De630*110 (1.0Mpa)</w:t>
            </w:r>
          </w:p>
        </w:tc>
        <w:tc>
          <w:tcPr>
            <w:tcW w:w="3034" w:type="dxa"/>
            <w:tcBorders>
              <w:top w:val="single" w:color="auto" w:sz="4" w:space="0"/>
              <w:left w:val="single" w:color="auto" w:sz="4" w:space="0"/>
              <w:bottom w:val="single" w:color="auto" w:sz="4" w:space="0"/>
              <w:right w:val="single" w:color="auto" w:sz="4" w:space="0"/>
            </w:tcBorders>
            <w:vAlign w:val="center"/>
          </w:tcPr>
          <w:p w14:paraId="5A773A0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PE三通</w:t>
            </w:r>
          </w:p>
          <w:p w14:paraId="1D1574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规格：De630*110，1.0Mpa</w:t>
            </w:r>
          </w:p>
        </w:tc>
        <w:tc>
          <w:tcPr>
            <w:tcW w:w="947" w:type="dxa"/>
            <w:tcBorders>
              <w:top w:val="single" w:color="auto" w:sz="4" w:space="0"/>
              <w:left w:val="single" w:color="auto" w:sz="4" w:space="0"/>
              <w:bottom w:val="single" w:color="auto" w:sz="4" w:space="0"/>
              <w:right w:val="single" w:color="auto" w:sz="4" w:space="0"/>
            </w:tcBorders>
            <w:vAlign w:val="center"/>
          </w:tcPr>
          <w:p w14:paraId="2AACFE4D">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1974" w:type="dxa"/>
            <w:tcBorders>
              <w:top w:val="single" w:color="auto" w:sz="4" w:space="0"/>
              <w:left w:val="single" w:color="auto" w:sz="4" w:space="0"/>
              <w:bottom w:val="single" w:color="auto" w:sz="4" w:space="0"/>
              <w:right w:val="single" w:color="auto" w:sz="4" w:space="0"/>
            </w:tcBorders>
            <w:vAlign w:val="center"/>
          </w:tcPr>
          <w:p w14:paraId="36C7E890">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2</w:t>
            </w:r>
          </w:p>
        </w:tc>
      </w:tr>
      <w:tr w14:paraId="7D590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tcBorders>
              <w:top w:val="single" w:color="auto" w:sz="4" w:space="0"/>
              <w:left w:val="single" w:color="auto" w:sz="4" w:space="0"/>
              <w:bottom w:val="single" w:color="auto" w:sz="4" w:space="0"/>
              <w:right w:val="single" w:color="auto" w:sz="4" w:space="0"/>
            </w:tcBorders>
            <w:vAlign w:val="center"/>
          </w:tcPr>
          <w:p w14:paraId="7C8EFA51">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4</w:t>
            </w:r>
          </w:p>
        </w:tc>
        <w:tc>
          <w:tcPr>
            <w:tcW w:w="2729" w:type="dxa"/>
            <w:tcBorders>
              <w:top w:val="single" w:color="auto" w:sz="4" w:space="0"/>
              <w:left w:val="single" w:color="auto" w:sz="4" w:space="0"/>
              <w:bottom w:val="single" w:color="auto" w:sz="4" w:space="0"/>
              <w:right w:val="single" w:color="auto" w:sz="4" w:space="0"/>
            </w:tcBorders>
            <w:vAlign w:val="center"/>
          </w:tcPr>
          <w:p w14:paraId="49EF4A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PE法兰</w:t>
            </w:r>
          </w:p>
          <w:p w14:paraId="79B84B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De630，PN10，带法兰套</w:t>
            </w:r>
          </w:p>
        </w:tc>
        <w:tc>
          <w:tcPr>
            <w:tcW w:w="3034" w:type="dxa"/>
            <w:tcBorders>
              <w:top w:val="single" w:color="auto" w:sz="4" w:space="0"/>
              <w:left w:val="single" w:color="auto" w:sz="4" w:space="0"/>
              <w:bottom w:val="single" w:color="auto" w:sz="4" w:space="0"/>
              <w:right w:val="single" w:color="auto" w:sz="4" w:space="0"/>
            </w:tcBorders>
            <w:vAlign w:val="center"/>
          </w:tcPr>
          <w:p w14:paraId="7FCB2B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PE法兰</w:t>
            </w:r>
          </w:p>
          <w:p w14:paraId="4524DBD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De630，PN10，带法兰套</w:t>
            </w:r>
          </w:p>
        </w:tc>
        <w:tc>
          <w:tcPr>
            <w:tcW w:w="947" w:type="dxa"/>
            <w:tcBorders>
              <w:top w:val="single" w:color="auto" w:sz="4" w:space="0"/>
              <w:left w:val="single" w:color="auto" w:sz="4" w:space="0"/>
              <w:bottom w:val="single" w:color="auto" w:sz="4" w:space="0"/>
              <w:right w:val="single" w:color="auto" w:sz="4" w:space="0"/>
            </w:tcBorders>
            <w:vAlign w:val="center"/>
          </w:tcPr>
          <w:p w14:paraId="617F7430">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1974" w:type="dxa"/>
            <w:tcBorders>
              <w:top w:val="single" w:color="auto" w:sz="4" w:space="0"/>
              <w:left w:val="single" w:color="auto" w:sz="4" w:space="0"/>
              <w:bottom w:val="single" w:color="auto" w:sz="4" w:space="0"/>
              <w:right w:val="single" w:color="auto" w:sz="4" w:space="0"/>
            </w:tcBorders>
            <w:vAlign w:val="center"/>
          </w:tcPr>
          <w:p w14:paraId="154F8ABA">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4</w:t>
            </w:r>
          </w:p>
        </w:tc>
      </w:tr>
      <w:tr w14:paraId="1C102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tcBorders>
              <w:top w:val="single" w:color="auto" w:sz="4" w:space="0"/>
              <w:left w:val="single" w:color="auto" w:sz="4" w:space="0"/>
              <w:bottom w:val="single" w:color="auto" w:sz="4" w:space="0"/>
              <w:right w:val="single" w:color="auto" w:sz="4" w:space="0"/>
            </w:tcBorders>
            <w:vAlign w:val="center"/>
          </w:tcPr>
          <w:p w14:paraId="64BC8A77">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5</w:t>
            </w:r>
          </w:p>
        </w:tc>
        <w:tc>
          <w:tcPr>
            <w:tcW w:w="2729" w:type="dxa"/>
            <w:tcBorders>
              <w:top w:val="single" w:color="auto" w:sz="4" w:space="0"/>
              <w:left w:val="single" w:color="auto" w:sz="4" w:space="0"/>
              <w:bottom w:val="single" w:color="auto" w:sz="4" w:space="0"/>
              <w:right w:val="single" w:color="auto" w:sz="4" w:space="0"/>
            </w:tcBorders>
            <w:vAlign w:val="center"/>
          </w:tcPr>
          <w:p w14:paraId="2E90E1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PE法兰</w:t>
            </w:r>
          </w:p>
          <w:p w14:paraId="2BBF6C6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De110，PN10，带法兰套</w:t>
            </w:r>
          </w:p>
        </w:tc>
        <w:tc>
          <w:tcPr>
            <w:tcW w:w="3034" w:type="dxa"/>
            <w:tcBorders>
              <w:top w:val="single" w:color="auto" w:sz="4" w:space="0"/>
              <w:left w:val="single" w:color="auto" w:sz="4" w:space="0"/>
              <w:bottom w:val="single" w:color="auto" w:sz="4" w:space="0"/>
              <w:right w:val="single" w:color="auto" w:sz="4" w:space="0"/>
            </w:tcBorders>
            <w:vAlign w:val="center"/>
          </w:tcPr>
          <w:p w14:paraId="42F024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PE法兰</w:t>
            </w:r>
          </w:p>
          <w:p w14:paraId="15EAF18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宋体"/>
                <w:sz w:val="21"/>
                <w:szCs w:val="21"/>
                <w:highlight w:val="none"/>
                <w:lang w:val="en-US" w:eastAsia="zh-CN"/>
              </w:rPr>
            </w:pPr>
            <w:r>
              <w:rPr>
                <w:rFonts w:hint="eastAsia" w:ascii="仿宋" w:hAnsi="仿宋" w:eastAsia="仿宋" w:cs="宋体"/>
                <w:sz w:val="21"/>
                <w:szCs w:val="21"/>
                <w:highlight w:val="none"/>
                <w:lang w:val="en-US" w:eastAsia="zh-CN"/>
              </w:rPr>
              <w:t>De110，PN10，带法兰套</w:t>
            </w:r>
          </w:p>
        </w:tc>
        <w:tc>
          <w:tcPr>
            <w:tcW w:w="947" w:type="dxa"/>
            <w:tcBorders>
              <w:top w:val="single" w:color="auto" w:sz="4" w:space="0"/>
              <w:left w:val="single" w:color="auto" w:sz="4" w:space="0"/>
              <w:bottom w:val="single" w:color="auto" w:sz="4" w:space="0"/>
              <w:right w:val="single" w:color="auto" w:sz="4" w:space="0"/>
            </w:tcBorders>
            <w:vAlign w:val="center"/>
          </w:tcPr>
          <w:p w14:paraId="0DD09C7D">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1974" w:type="dxa"/>
            <w:tcBorders>
              <w:top w:val="single" w:color="auto" w:sz="4" w:space="0"/>
              <w:left w:val="single" w:color="auto" w:sz="4" w:space="0"/>
              <w:bottom w:val="single" w:color="auto" w:sz="4" w:space="0"/>
              <w:right w:val="single" w:color="auto" w:sz="4" w:space="0"/>
            </w:tcBorders>
            <w:vAlign w:val="center"/>
          </w:tcPr>
          <w:p w14:paraId="3F139A7F">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2</w:t>
            </w:r>
          </w:p>
        </w:tc>
      </w:tr>
    </w:tbl>
    <w:p w14:paraId="2D684739">
      <w:pPr>
        <w:shd w:val="clear"/>
        <w:spacing w:line="240" w:lineRule="auto"/>
        <w:ind w:firstLine="482"/>
        <w:rPr>
          <w:rFonts w:hint="eastAsia" w:ascii="仿宋" w:hAnsi="仿宋" w:eastAsia="仿宋" w:cs="仿宋"/>
          <w:color w:val="auto"/>
          <w:sz w:val="28"/>
          <w:highlight w:val="none"/>
          <w:lang w:eastAsia="zh-CN"/>
        </w:rPr>
      </w:pPr>
    </w:p>
    <w:p w14:paraId="6B01E330">
      <w:pPr>
        <w:shd w:val="clear"/>
        <w:spacing w:line="240" w:lineRule="auto"/>
        <w:ind w:firstLine="482"/>
        <w:rPr>
          <w:rFonts w:hint="default"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七：样品要求:</w:t>
      </w:r>
    </w:p>
    <w:p w14:paraId="2A3898F4">
      <w:pPr>
        <w:keepNext w:val="0"/>
        <w:keepLines w:val="0"/>
        <w:widowControl/>
        <w:suppressLineNumbers w:val="0"/>
        <w:ind w:firstLine="560" w:firstLineChars="200"/>
        <w:jc w:val="left"/>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中标人在中标公告发布后3个工作日内需提供以下样品，并将样品送至招标人指定地点。</w:t>
      </w:r>
    </w:p>
    <w:tbl>
      <w:tblPr>
        <w:tblStyle w:val="55"/>
        <w:tblW w:w="9262"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28"/>
        <w:gridCol w:w="3152"/>
        <w:gridCol w:w="1676"/>
        <w:gridCol w:w="1906"/>
      </w:tblGrid>
      <w:tr w14:paraId="136D6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00" w:hRule="atLeast"/>
        </w:trPr>
        <w:tc>
          <w:tcPr>
            <w:tcW w:w="2528" w:type="dxa"/>
            <w:tcBorders>
              <w:top w:val="single" w:color="auto" w:sz="4" w:space="0"/>
              <w:left w:val="single" w:color="auto" w:sz="4" w:space="0"/>
              <w:bottom w:val="single" w:color="000000" w:sz="4" w:space="0"/>
              <w:right w:val="single" w:color="000000" w:sz="4" w:space="0"/>
            </w:tcBorders>
            <w:shd w:val="clear" w:color="auto" w:fill="auto"/>
            <w:vAlign w:val="center"/>
          </w:tcPr>
          <w:p w14:paraId="1B9BB505">
            <w:pPr>
              <w:keepNext w:val="0"/>
              <w:keepLines w:val="0"/>
              <w:widowControl/>
              <w:suppressLineNumbers w:val="0"/>
              <w:ind w:firstLine="560" w:firstLineChars="200"/>
              <w:jc w:val="left"/>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材料名称</w:t>
            </w:r>
          </w:p>
        </w:tc>
        <w:tc>
          <w:tcPr>
            <w:tcW w:w="3152" w:type="dxa"/>
            <w:tcBorders>
              <w:top w:val="single" w:color="auto" w:sz="4" w:space="0"/>
              <w:left w:val="single" w:color="000000" w:sz="4" w:space="0"/>
              <w:bottom w:val="single" w:color="000000" w:sz="4" w:space="0"/>
              <w:right w:val="single" w:color="000000" w:sz="4" w:space="0"/>
            </w:tcBorders>
            <w:shd w:val="clear" w:color="auto" w:fill="auto"/>
            <w:vAlign w:val="center"/>
          </w:tcPr>
          <w:p w14:paraId="4188A076">
            <w:pPr>
              <w:keepNext w:val="0"/>
              <w:keepLines w:val="0"/>
              <w:widowControl/>
              <w:suppressLineNumbers w:val="0"/>
              <w:ind w:firstLine="560" w:firstLineChars="200"/>
              <w:jc w:val="left"/>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规格型号</w:t>
            </w:r>
          </w:p>
        </w:tc>
        <w:tc>
          <w:tcPr>
            <w:tcW w:w="1676" w:type="dxa"/>
            <w:tcBorders>
              <w:top w:val="single" w:color="auto" w:sz="4" w:space="0"/>
              <w:left w:val="single" w:color="000000" w:sz="4" w:space="0"/>
              <w:bottom w:val="single" w:color="000000" w:sz="4" w:space="0"/>
              <w:right w:val="single" w:color="000000" w:sz="4" w:space="0"/>
            </w:tcBorders>
            <w:shd w:val="clear" w:color="auto" w:fill="auto"/>
            <w:vAlign w:val="center"/>
          </w:tcPr>
          <w:p w14:paraId="0E3571C1">
            <w:pPr>
              <w:keepNext w:val="0"/>
              <w:keepLines w:val="0"/>
              <w:widowControl/>
              <w:suppressLineNumbers w:val="0"/>
              <w:ind w:firstLine="560" w:firstLineChars="200"/>
              <w:jc w:val="left"/>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长度</w:t>
            </w:r>
          </w:p>
        </w:tc>
        <w:tc>
          <w:tcPr>
            <w:tcW w:w="1906" w:type="dxa"/>
            <w:tcBorders>
              <w:top w:val="single" w:color="auto" w:sz="4" w:space="0"/>
              <w:left w:val="single" w:color="000000" w:sz="4" w:space="0"/>
              <w:bottom w:val="single" w:color="000000" w:sz="4" w:space="0"/>
              <w:right w:val="single" w:color="auto" w:sz="4" w:space="0"/>
            </w:tcBorders>
            <w:shd w:val="clear" w:color="auto" w:fill="auto"/>
            <w:vAlign w:val="center"/>
          </w:tcPr>
          <w:p w14:paraId="5DC17A77">
            <w:pPr>
              <w:keepNext w:val="0"/>
              <w:keepLines w:val="0"/>
              <w:widowControl/>
              <w:suppressLineNumbers w:val="0"/>
              <w:ind w:firstLine="560" w:firstLineChars="200"/>
              <w:jc w:val="left"/>
              <w:textAlignment w:val="center"/>
              <w:rPr>
                <w:rFonts w:hint="default"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单位</w:t>
            </w:r>
          </w:p>
        </w:tc>
      </w:tr>
      <w:tr w14:paraId="10EE9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2528" w:type="dxa"/>
            <w:tcBorders>
              <w:top w:val="single" w:color="000000" w:sz="4" w:space="0"/>
              <w:left w:val="single" w:color="auto" w:sz="4" w:space="0"/>
              <w:bottom w:val="single" w:color="000000" w:sz="4" w:space="0"/>
              <w:right w:val="single" w:color="000000" w:sz="4" w:space="0"/>
            </w:tcBorders>
            <w:shd w:val="clear" w:color="auto" w:fill="auto"/>
            <w:vAlign w:val="center"/>
          </w:tcPr>
          <w:p w14:paraId="08D4480E">
            <w:pPr>
              <w:keepNext w:val="0"/>
              <w:keepLines w:val="0"/>
              <w:widowControl/>
              <w:suppressLineNumbers w:val="0"/>
              <w:ind w:firstLine="560" w:firstLineChars="200"/>
              <w:jc w:val="left"/>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PE管</w:t>
            </w:r>
          </w:p>
        </w:tc>
        <w:tc>
          <w:tcPr>
            <w:tcW w:w="3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23BA1">
            <w:pPr>
              <w:keepNext w:val="0"/>
              <w:keepLines w:val="0"/>
              <w:widowControl/>
              <w:suppressLineNumbers w:val="0"/>
              <w:ind w:firstLine="560" w:firstLineChars="200"/>
              <w:jc w:val="left"/>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De630(1.0Mpa)</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5F21F">
            <w:pPr>
              <w:keepNext w:val="0"/>
              <w:keepLines w:val="0"/>
              <w:widowControl/>
              <w:suppressLineNumbers w:val="0"/>
              <w:ind w:firstLine="560" w:firstLineChars="200"/>
              <w:jc w:val="left"/>
              <w:textAlignment w:val="center"/>
              <w:rPr>
                <w:rFonts w:hint="default"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50</w:t>
            </w:r>
          </w:p>
        </w:tc>
        <w:tc>
          <w:tcPr>
            <w:tcW w:w="1906" w:type="dxa"/>
            <w:tcBorders>
              <w:top w:val="single" w:color="000000" w:sz="4" w:space="0"/>
              <w:left w:val="single" w:color="000000" w:sz="4" w:space="0"/>
              <w:bottom w:val="single" w:color="000000" w:sz="4" w:space="0"/>
              <w:right w:val="single" w:color="auto" w:sz="4" w:space="0"/>
            </w:tcBorders>
            <w:shd w:val="clear" w:color="auto" w:fill="auto"/>
            <w:vAlign w:val="center"/>
          </w:tcPr>
          <w:p w14:paraId="3751DDE6">
            <w:pPr>
              <w:keepNext w:val="0"/>
              <w:keepLines w:val="0"/>
              <w:widowControl/>
              <w:suppressLineNumbers w:val="0"/>
              <w:ind w:firstLine="560" w:firstLineChars="200"/>
              <w:jc w:val="left"/>
              <w:textAlignment w:val="center"/>
              <w:rPr>
                <w:rFonts w:hint="default"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CM</w:t>
            </w:r>
          </w:p>
        </w:tc>
      </w:tr>
    </w:tbl>
    <w:p w14:paraId="2620FD54">
      <w:pPr>
        <w:shd w:val="clear"/>
        <w:spacing w:line="240" w:lineRule="auto"/>
        <w:ind w:firstLine="482"/>
        <w:rPr>
          <w:rFonts w:hint="default" w:ascii="仿宋" w:hAnsi="仿宋" w:eastAsia="仿宋" w:cs="仿宋"/>
          <w:b/>
          <w:bCs/>
          <w:color w:val="auto"/>
          <w:sz w:val="28"/>
          <w:highlight w:val="none"/>
          <w:lang w:val="en-US" w:eastAsia="zh-CN"/>
        </w:rPr>
        <w:sectPr>
          <w:headerReference r:id="rId8" w:type="default"/>
          <w:footerReference r:id="rId9" w:type="default"/>
          <w:pgSz w:w="11906" w:h="16838"/>
          <w:pgMar w:top="1417" w:right="1134" w:bottom="1134" w:left="1417" w:header="851" w:footer="624" w:gutter="0"/>
          <w:pgNumType w:fmt="decimal"/>
          <w:cols w:space="720" w:num="1"/>
          <w:rtlGutter w:val="0"/>
          <w:docGrid w:type="lines" w:linePitch="520" w:charSpace="0"/>
        </w:sectPr>
      </w:pPr>
    </w:p>
    <w:p w14:paraId="57BCE821">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9" w:name="_Toc15637"/>
      <w:r>
        <w:rPr>
          <w:rFonts w:hint="eastAsia" w:ascii="仿宋" w:hAnsi="仿宋" w:eastAsia="仿宋" w:cs="仿宋"/>
          <w:color w:val="auto"/>
          <w:highlight w:val="none"/>
        </w:rPr>
        <w:t>第五章  投标文件格式</w:t>
      </w:r>
      <w:bookmarkEnd w:id="89"/>
    </w:p>
    <w:p w14:paraId="5CE627E7">
      <w:pPr>
        <w:shd w:val="clear"/>
        <w:jc w:val="center"/>
        <w:rPr>
          <w:rFonts w:hint="eastAsia"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6E51D93E">
      <w:pPr>
        <w:shd w:val="clear"/>
        <w:jc w:val="center"/>
        <w:rPr>
          <w:rFonts w:hint="eastAsia" w:ascii="仿宋" w:hAnsi="仿宋" w:eastAsia="仿宋" w:cs="仿宋"/>
          <w:color w:val="auto"/>
          <w:sz w:val="72"/>
          <w:highlight w:val="none"/>
        </w:rPr>
      </w:pPr>
    </w:p>
    <w:p w14:paraId="3BF341D9">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1E08F712">
      <w:pPr>
        <w:shd w:val="clear"/>
        <w:jc w:val="center"/>
        <w:rPr>
          <w:rFonts w:hint="eastAsia" w:ascii="仿宋" w:hAnsi="仿宋" w:eastAsia="仿宋" w:cs="仿宋"/>
          <w:color w:val="auto"/>
          <w:sz w:val="72"/>
          <w:highlight w:val="none"/>
        </w:rPr>
      </w:pPr>
    </w:p>
    <w:p w14:paraId="3A5A27F3">
      <w:pPr>
        <w:shd w:val="clear"/>
        <w:jc w:val="center"/>
        <w:rPr>
          <w:rFonts w:hint="eastAsia" w:ascii="仿宋" w:hAnsi="仿宋" w:eastAsia="仿宋" w:cs="仿宋"/>
          <w:color w:val="auto"/>
          <w:sz w:val="72"/>
          <w:highlight w:val="none"/>
        </w:rPr>
      </w:pPr>
    </w:p>
    <w:p w14:paraId="694D2698">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735ABBFF">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招标编号：</w:t>
      </w:r>
    </w:p>
    <w:p w14:paraId="1AEA4775">
      <w:pPr>
        <w:shd w:val="clear"/>
        <w:jc w:val="left"/>
        <w:rPr>
          <w:rFonts w:hint="eastAsia" w:ascii="仿宋" w:hAnsi="仿宋" w:eastAsia="仿宋" w:cs="仿宋"/>
          <w:color w:val="auto"/>
          <w:sz w:val="44"/>
          <w:highlight w:val="none"/>
        </w:rPr>
      </w:pPr>
    </w:p>
    <w:p w14:paraId="487D194C">
      <w:pPr>
        <w:shd w:val="clear"/>
        <w:jc w:val="left"/>
        <w:rPr>
          <w:rFonts w:hint="eastAsia" w:ascii="仿宋" w:hAnsi="仿宋" w:eastAsia="仿宋" w:cs="仿宋"/>
          <w:color w:val="auto"/>
          <w:sz w:val="36"/>
          <w:highlight w:val="none"/>
        </w:rPr>
      </w:pPr>
    </w:p>
    <w:p w14:paraId="03CD50F2">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66ABDC63">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042FE5AD">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p>
    <w:p w14:paraId="3D66A3B6">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714C8105">
      <w:pPr>
        <w:shd w:val="clear"/>
        <w:tabs>
          <w:tab w:val="left" w:pos="580"/>
        </w:tabs>
        <w:ind w:firstLine="1800" w:firstLineChars="500"/>
        <w:rPr>
          <w:rFonts w:hint="eastAsia" w:ascii="仿宋" w:hAnsi="仿宋" w:eastAsia="仿宋" w:cs="仿宋"/>
          <w:color w:val="auto"/>
          <w:kern w:val="0"/>
          <w:sz w:val="36"/>
          <w:szCs w:val="36"/>
          <w:highlight w:val="none"/>
        </w:rPr>
      </w:pPr>
    </w:p>
    <w:p w14:paraId="747763B3">
      <w:pPr>
        <w:pStyle w:val="19"/>
        <w:shd w:val="clear"/>
        <w:rPr>
          <w:rFonts w:hint="eastAsia" w:ascii="仿宋" w:hAnsi="仿宋" w:eastAsia="仿宋" w:cs="仿宋"/>
          <w:color w:val="auto"/>
          <w:highlight w:val="none"/>
        </w:rPr>
      </w:pPr>
    </w:p>
    <w:p w14:paraId="02FF05CB">
      <w:pPr>
        <w:pStyle w:val="33"/>
        <w:shd w:val="clear"/>
        <w:ind w:left="5250"/>
        <w:rPr>
          <w:rFonts w:hint="eastAsia" w:ascii="仿宋" w:hAnsi="仿宋" w:eastAsia="仿宋" w:cs="仿宋"/>
          <w:color w:val="auto"/>
          <w:highlight w:val="none"/>
        </w:rPr>
      </w:pPr>
    </w:p>
    <w:p w14:paraId="3B639BA0">
      <w:pPr>
        <w:pStyle w:val="19"/>
        <w:shd w:val="clear"/>
        <w:rPr>
          <w:rFonts w:hint="eastAsia" w:ascii="仿宋" w:hAnsi="仿宋" w:eastAsia="仿宋" w:cs="仿宋"/>
          <w:color w:val="auto"/>
          <w:highlight w:val="none"/>
        </w:rPr>
      </w:pPr>
    </w:p>
    <w:p w14:paraId="45B71C42">
      <w:pPr>
        <w:shd w:val="clear"/>
        <w:rPr>
          <w:rFonts w:hint="eastAsia" w:ascii="仿宋" w:hAnsi="仿宋" w:eastAsia="仿宋" w:cs="仿宋"/>
          <w:color w:val="auto"/>
          <w:highlight w:val="none"/>
        </w:rPr>
      </w:pPr>
    </w:p>
    <w:p w14:paraId="30D2A1FB">
      <w:pPr>
        <w:pStyle w:val="19"/>
        <w:shd w:val="clear"/>
        <w:rPr>
          <w:rFonts w:hint="eastAsia" w:ascii="仿宋" w:hAnsi="仿宋" w:eastAsia="仿宋" w:cs="仿宋"/>
          <w:color w:val="auto"/>
          <w:highlight w:val="none"/>
        </w:rPr>
      </w:pPr>
    </w:p>
    <w:p w14:paraId="70FEC4BD">
      <w:pPr>
        <w:shd w:val="clear"/>
        <w:jc w:val="cente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7FDB25A2">
      <w:pPr>
        <w:shd w:val="clea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w:t>
      </w:r>
      <w:r>
        <w:rPr>
          <w:rFonts w:hint="eastAsia" w:ascii="仿宋" w:hAnsi="仿宋" w:eastAsia="仿宋" w:cs="仿宋"/>
          <w:b/>
          <w:bCs/>
          <w:color w:val="auto"/>
          <w:sz w:val="30"/>
          <w:szCs w:val="30"/>
          <w:highlight w:val="none"/>
          <w:lang w:val="en-US" w:eastAsia="zh-CN"/>
        </w:rPr>
        <w:t>索引</w:t>
      </w:r>
      <w:r>
        <w:rPr>
          <w:rFonts w:hint="eastAsia" w:ascii="仿宋" w:hAnsi="仿宋" w:eastAsia="仿宋" w:cs="仿宋"/>
          <w:b/>
          <w:bCs/>
          <w:color w:val="auto"/>
          <w:sz w:val="30"/>
          <w:szCs w:val="30"/>
          <w:highlight w:val="none"/>
        </w:rPr>
        <w:t>编制）</w:t>
      </w:r>
    </w:p>
    <w:p w14:paraId="2B96B4FC">
      <w:pPr>
        <w:pStyle w:val="19"/>
        <w:shd w:val="clear"/>
        <w:rPr>
          <w:rFonts w:hint="eastAsia" w:ascii="仿宋" w:hAnsi="仿宋" w:eastAsia="仿宋" w:cs="仿宋"/>
          <w:color w:val="auto"/>
          <w:highlight w:val="none"/>
        </w:rPr>
      </w:pPr>
    </w:p>
    <w:p w14:paraId="5BA66DE9">
      <w:pPr>
        <w:pStyle w:val="33"/>
        <w:shd w:val="clear"/>
        <w:ind w:left="5250"/>
        <w:rPr>
          <w:rFonts w:hint="eastAsia" w:ascii="仿宋" w:hAnsi="仿宋" w:eastAsia="仿宋" w:cs="仿宋"/>
          <w:color w:val="auto"/>
          <w:highlight w:val="none"/>
        </w:rPr>
      </w:pPr>
    </w:p>
    <w:p w14:paraId="2571D28C">
      <w:pPr>
        <w:shd w:val="clear"/>
        <w:rPr>
          <w:rFonts w:hint="eastAsia" w:ascii="仿宋" w:hAnsi="仿宋" w:eastAsia="仿宋" w:cs="仿宋"/>
          <w:color w:val="auto"/>
          <w:highlight w:val="none"/>
        </w:rPr>
      </w:pPr>
    </w:p>
    <w:p w14:paraId="5F3DCDCE">
      <w:pPr>
        <w:pStyle w:val="51"/>
        <w:shd w:val="clear"/>
        <w:rPr>
          <w:rFonts w:hint="eastAsia" w:ascii="仿宋" w:hAnsi="仿宋" w:eastAsia="仿宋" w:cs="仿宋"/>
          <w:color w:val="auto"/>
          <w:highlight w:val="none"/>
          <w:lang w:eastAsia="zh-CN"/>
        </w:rPr>
      </w:pPr>
    </w:p>
    <w:p w14:paraId="21D8EDB0">
      <w:pPr>
        <w:pStyle w:val="51"/>
        <w:shd w:val="clear"/>
        <w:rPr>
          <w:rFonts w:hint="eastAsia" w:ascii="仿宋" w:hAnsi="仿宋" w:eastAsia="仿宋" w:cs="仿宋"/>
          <w:color w:val="auto"/>
          <w:highlight w:val="none"/>
          <w:lang w:eastAsia="zh-CN"/>
        </w:rPr>
      </w:pPr>
    </w:p>
    <w:p w14:paraId="38AA9D39">
      <w:pPr>
        <w:pStyle w:val="51"/>
        <w:shd w:val="clear"/>
        <w:rPr>
          <w:rFonts w:hint="eastAsia" w:ascii="仿宋" w:hAnsi="仿宋" w:eastAsia="仿宋" w:cs="仿宋"/>
          <w:color w:val="auto"/>
          <w:highlight w:val="none"/>
          <w:lang w:eastAsia="zh-CN"/>
        </w:rPr>
      </w:pPr>
    </w:p>
    <w:p w14:paraId="5C4707EF">
      <w:pPr>
        <w:pStyle w:val="51"/>
        <w:shd w:val="clear"/>
        <w:rPr>
          <w:rFonts w:hint="eastAsia" w:ascii="仿宋" w:hAnsi="仿宋" w:eastAsia="仿宋" w:cs="仿宋"/>
          <w:color w:val="auto"/>
          <w:highlight w:val="none"/>
          <w:lang w:eastAsia="zh-CN"/>
        </w:rPr>
      </w:pPr>
    </w:p>
    <w:p w14:paraId="2EB68BFD">
      <w:pPr>
        <w:pStyle w:val="51"/>
        <w:shd w:val="clear"/>
        <w:rPr>
          <w:rFonts w:hint="eastAsia" w:ascii="仿宋" w:hAnsi="仿宋" w:eastAsia="仿宋" w:cs="仿宋"/>
          <w:color w:val="auto"/>
          <w:highlight w:val="none"/>
          <w:lang w:eastAsia="zh-CN"/>
        </w:rPr>
      </w:pPr>
    </w:p>
    <w:p w14:paraId="6678750E">
      <w:pPr>
        <w:pStyle w:val="51"/>
        <w:shd w:val="clear"/>
        <w:rPr>
          <w:rFonts w:hint="eastAsia" w:ascii="仿宋" w:hAnsi="仿宋" w:eastAsia="仿宋" w:cs="仿宋"/>
          <w:color w:val="auto"/>
          <w:highlight w:val="none"/>
          <w:lang w:eastAsia="zh-CN"/>
        </w:rPr>
      </w:pPr>
    </w:p>
    <w:p w14:paraId="7E18B4FE">
      <w:pPr>
        <w:pStyle w:val="51"/>
        <w:shd w:val="clear"/>
        <w:rPr>
          <w:rFonts w:hint="eastAsia" w:ascii="仿宋" w:hAnsi="仿宋" w:eastAsia="仿宋" w:cs="仿宋"/>
          <w:color w:val="auto"/>
          <w:highlight w:val="none"/>
          <w:lang w:eastAsia="zh-CN"/>
        </w:rPr>
      </w:pPr>
    </w:p>
    <w:p w14:paraId="252821C6">
      <w:pPr>
        <w:pStyle w:val="51"/>
        <w:shd w:val="clear"/>
        <w:rPr>
          <w:rFonts w:hint="eastAsia" w:ascii="仿宋" w:hAnsi="仿宋" w:eastAsia="仿宋" w:cs="仿宋"/>
          <w:color w:val="auto"/>
          <w:highlight w:val="none"/>
          <w:lang w:eastAsia="zh-CN"/>
        </w:rPr>
      </w:pPr>
    </w:p>
    <w:p w14:paraId="225B1041">
      <w:pPr>
        <w:pStyle w:val="51"/>
        <w:shd w:val="clear"/>
        <w:rPr>
          <w:rFonts w:hint="eastAsia" w:ascii="仿宋" w:hAnsi="仿宋" w:eastAsia="仿宋" w:cs="仿宋"/>
          <w:color w:val="auto"/>
          <w:highlight w:val="none"/>
          <w:lang w:eastAsia="zh-CN"/>
        </w:rPr>
      </w:pPr>
    </w:p>
    <w:p w14:paraId="74CFE2FD">
      <w:pPr>
        <w:pStyle w:val="51"/>
        <w:shd w:val="clear"/>
        <w:rPr>
          <w:rFonts w:hint="eastAsia" w:ascii="仿宋" w:hAnsi="仿宋" w:eastAsia="仿宋" w:cs="仿宋"/>
          <w:color w:val="auto"/>
          <w:highlight w:val="none"/>
          <w:lang w:eastAsia="zh-CN"/>
        </w:rPr>
      </w:pPr>
    </w:p>
    <w:p w14:paraId="3D5330DB">
      <w:pPr>
        <w:pStyle w:val="51"/>
        <w:shd w:val="clear"/>
        <w:rPr>
          <w:rFonts w:hint="eastAsia" w:ascii="仿宋" w:hAnsi="仿宋" w:eastAsia="仿宋" w:cs="仿宋"/>
          <w:color w:val="auto"/>
          <w:highlight w:val="none"/>
          <w:lang w:eastAsia="zh-CN"/>
        </w:rPr>
      </w:pPr>
    </w:p>
    <w:p w14:paraId="224C01A5">
      <w:pPr>
        <w:pStyle w:val="51"/>
        <w:shd w:val="clear"/>
        <w:rPr>
          <w:rFonts w:hint="eastAsia" w:ascii="仿宋" w:hAnsi="仿宋" w:eastAsia="仿宋" w:cs="仿宋"/>
          <w:color w:val="auto"/>
          <w:highlight w:val="none"/>
          <w:lang w:eastAsia="zh-CN"/>
        </w:rPr>
      </w:pPr>
    </w:p>
    <w:p w14:paraId="24BC3C43">
      <w:pPr>
        <w:pStyle w:val="51"/>
        <w:shd w:val="clear"/>
        <w:rPr>
          <w:rFonts w:hint="eastAsia" w:ascii="仿宋" w:hAnsi="仿宋" w:eastAsia="仿宋" w:cs="仿宋"/>
          <w:color w:val="auto"/>
          <w:highlight w:val="none"/>
          <w:lang w:eastAsia="zh-CN"/>
        </w:rPr>
      </w:pPr>
    </w:p>
    <w:p w14:paraId="5DA1BA3A">
      <w:pPr>
        <w:pStyle w:val="51"/>
        <w:shd w:val="clear"/>
        <w:rPr>
          <w:rFonts w:hint="eastAsia" w:ascii="仿宋" w:hAnsi="仿宋" w:eastAsia="仿宋" w:cs="仿宋"/>
          <w:color w:val="auto"/>
          <w:highlight w:val="none"/>
          <w:lang w:eastAsia="zh-CN"/>
        </w:rPr>
      </w:pPr>
    </w:p>
    <w:p w14:paraId="2D3A86D4">
      <w:pPr>
        <w:pStyle w:val="51"/>
        <w:shd w:val="clear"/>
        <w:rPr>
          <w:rFonts w:hint="eastAsia" w:ascii="仿宋" w:hAnsi="仿宋" w:eastAsia="仿宋" w:cs="仿宋"/>
          <w:color w:val="auto"/>
          <w:highlight w:val="none"/>
          <w:lang w:eastAsia="zh-CN"/>
        </w:rPr>
      </w:pPr>
    </w:p>
    <w:p w14:paraId="05107506">
      <w:pPr>
        <w:pStyle w:val="51"/>
        <w:shd w:val="clear"/>
        <w:rPr>
          <w:rFonts w:hint="eastAsia" w:ascii="仿宋" w:hAnsi="仿宋" w:eastAsia="仿宋" w:cs="仿宋"/>
          <w:color w:val="auto"/>
          <w:highlight w:val="none"/>
          <w:lang w:eastAsia="zh-CN"/>
        </w:rPr>
      </w:pPr>
    </w:p>
    <w:p w14:paraId="49184F4C">
      <w:pPr>
        <w:pStyle w:val="51"/>
        <w:shd w:val="clear"/>
        <w:rPr>
          <w:rFonts w:hint="eastAsia" w:ascii="仿宋" w:hAnsi="仿宋" w:eastAsia="仿宋" w:cs="仿宋"/>
          <w:color w:val="auto"/>
          <w:highlight w:val="none"/>
          <w:lang w:eastAsia="zh-CN"/>
        </w:rPr>
      </w:pPr>
    </w:p>
    <w:p w14:paraId="3A5BDD8E">
      <w:pPr>
        <w:rPr>
          <w:rFonts w:hint="eastAsia" w:ascii="仿宋" w:hAnsi="仿宋" w:eastAsia="仿宋" w:cs="仿宋"/>
          <w:bCs/>
          <w:color w:val="auto"/>
          <w:sz w:val="36"/>
          <w:szCs w:val="24"/>
          <w:highlight w:val="none"/>
        </w:rPr>
      </w:pPr>
      <w:bookmarkStart w:id="90" w:name="_Toc524682807"/>
      <w:r>
        <w:rPr>
          <w:rFonts w:hint="eastAsia" w:ascii="仿宋" w:hAnsi="仿宋" w:eastAsia="仿宋" w:cs="仿宋"/>
          <w:bCs/>
          <w:color w:val="auto"/>
          <w:sz w:val="36"/>
          <w:szCs w:val="24"/>
          <w:highlight w:val="none"/>
        </w:rPr>
        <w:br w:type="page"/>
      </w:r>
    </w:p>
    <w:p w14:paraId="0327C766">
      <w:pPr>
        <w:keepNext w:val="0"/>
        <w:keepLines w:val="0"/>
        <w:pageBreakBefore w:val="0"/>
        <w:widowControl w:val="0"/>
        <w:shd w:val="clear"/>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bCs/>
          <w:color w:val="auto"/>
          <w:sz w:val="36"/>
          <w:szCs w:val="24"/>
          <w:highlight w:val="none"/>
        </w:rPr>
      </w:pPr>
      <w:r>
        <w:rPr>
          <w:rFonts w:hint="eastAsia" w:ascii="仿宋" w:hAnsi="仿宋" w:eastAsia="仿宋" w:cs="仿宋"/>
          <w:bCs/>
          <w:color w:val="auto"/>
          <w:sz w:val="36"/>
          <w:szCs w:val="24"/>
          <w:highlight w:val="none"/>
        </w:rPr>
        <w:t>投标承诺函</w:t>
      </w:r>
      <w:bookmarkEnd w:id="90"/>
    </w:p>
    <w:p w14:paraId="049B5515">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威海正华工程咨询有限公司</w:t>
      </w:r>
      <w:r>
        <w:rPr>
          <w:rFonts w:hint="eastAsia" w:ascii="仿宋" w:hAnsi="仿宋" w:eastAsia="仿宋" w:cs="仿宋"/>
          <w:color w:val="auto"/>
          <w:kern w:val="0"/>
          <w:sz w:val="28"/>
          <w:szCs w:val="28"/>
          <w:highlight w:val="none"/>
        </w:rPr>
        <w:t>：</w:t>
      </w:r>
    </w:p>
    <w:p w14:paraId="2940E4C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u w:val="single"/>
          <w:lang w:eastAsia="zh-CN"/>
        </w:rPr>
        <w:t>WHSW-JPS2026-005</w:t>
      </w:r>
      <w:r>
        <w:rPr>
          <w:rFonts w:hint="eastAsia" w:ascii="仿宋" w:hAnsi="仿宋" w:eastAsia="仿宋" w:cs="仿宋"/>
          <w:color w:val="auto"/>
          <w:kern w:val="0"/>
          <w:sz w:val="28"/>
          <w:szCs w:val="28"/>
          <w:highlight w:val="none"/>
        </w:rPr>
        <w:t>的招标文件的要求，经详细研究决定参加投标。</w:t>
      </w:r>
    </w:p>
    <w:p w14:paraId="21AF1286">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1.我方接受本招标文件中关于电子招投标的各项规定，遵守《中华人民共和国电子签名法》关于电子签名的各项规定。我方愿意按照招标文件的规定和要求提供货物及服务，报价详见《投标（报价）一览表》。</w:t>
      </w:r>
    </w:p>
    <w:p w14:paraId="413CB26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145A8A6E">
      <w:pPr>
        <w:shd w:val="clear"/>
        <w:spacing w:line="240" w:lineRule="auto"/>
        <w:ind w:firstLine="560" w:firstLineChars="200"/>
        <w:rPr>
          <w:rFonts w:hint="eastAsia"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051903E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4.如果我方中标：</w:t>
      </w:r>
    </w:p>
    <w:p w14:paraId="485B93D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1556564A">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183EE68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3160AA5D">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5.我方在此声明，所提交的投标文件及有关资料内容完整、真实和准确，如有弄虚作假，一旦中标将取消中标资格。</w:t>
      </w:r>
    </w:p>
    <w:p w14:paraId="61D035C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6.所有有关本投标的函电，请按下列地址联系：</w:t>
      </w:r>
    </w:p>
    <w:p w14:paraId="64DBA74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0996108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0746444C">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30E7D02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4DE6310F">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149A2CA5">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51781AA9">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3DD3352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5130199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报价日期：××年××月××日</w:t>
      </w:r>
    </w:p>
    <w:p w14:paraId="32C529DD">
      <w:pPr>
        <w:shd w:val="clear"/>
        <w:spacing w:line="360" w:lineRule="auto"/>
        <w:ind w:firstLine="640"/>
        <w:rPr>
          <w:rFonts w:hint="eastAsia" w:ascii="仿宋" w:hAnsi="仿宋" w:eastAsia="仿宋" w:cs="仿宋"/>
          <w:color w:val="auto"/>
          <w:kern w:val="0"/>
          <w:sz w:val="28"/>
          <w:szCs w:val="28"/>
          <w:highlight w:val="none"/>
        </w:rPr>
      </w:pPr>
    </w:p>
    <w:p w14:paraId="4A095036">
      <w:pPr>
        <w:shd w:val="clear"/>
        <w:spacing w:line="480" w:lineRule="exact"/>
        <w:ind w:firstLine="600" w:firstLineChars="200"/>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br w:type="page"/>
      </w:r>
      <w:bookmarkStart w:id="91" w:name="_Toc523388132"/>
    </w:p>
    <w:p w14:paraId="5D584B98">
      <w:pPr>
        <w:pStyle w:val="31"/>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投标（报价）一览表</w:t>
      </w:r>
    </w:p>
    <w:p w14:paraId="2FE9019C">
      <w:pPr>
        <w:pStyle w:val="31"/>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WHSW-JPS2026-005</w:t>
      </w:r>
    </w:p>
    <w:p w14:paraId="4C1593BA">
      <w:pPr>
        <w:pStyle w:val="31"/>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成大路（北虎口西红石山隧道内）供水主管道改造工程——PE管、管件采购</w:t>
      </w:r>
    </w:p>
    <w:tbl>
      <w:tblPr>
        <w:tblStyle w:val="55"/>
        <w:tblW w:w="9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2"/>
        <w:gridCol w:w="2414"/>
        <w:gridCol w:w="2312"/>
        <w:gridCol w:w="2474"/>
      </w:tblGrid>
      <w:tr w14:paraId="34DD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2582" w:type="dxa"/>
            <w:vAlign w:val="center"/>
          </w:tcPr>
          <w:p w14:paraId="1E2CEEFC">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项目名称</w:t>
            </w:r>
          </w:p>
        </w:tc>
        <w:tc>
          <w:tcPr>
            <w:tcW w:w="2414" w:type="dxa"/>
            <w:vAlign w:val="center"/>
          </w:tcPr>
          <w:p w14:paraId="25B7AFD0">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总报价（除税）</w:t>
            </w:r>
          </w:p>
        </w:tc>
        <w:tc>
          <w:tcPr>
            <w:tcW w:w="2312" w:type="dxa"/>
            <w:vAlign w:val="center"/>
          </w:tcPr>
          <w:p w14:paraId="4A3BF4A3">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保修期</w:t>
            </w:r>
          </w:p>
        </w:tc>
        <w:tc>
          <w:tcPr>
            <w:tcW w:w="2474" w:type="dxa"/>
            <w:vAlign w:val="center"/>
          </w:tcPr>
          <w:p w14:paraId="3E2852C5">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供货期</w:t>
            </w:r>
          </w:p>
        </w:tc>
      </w:tr>
      <w:tr w14:paraId="4638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2" w:hRule="atLeast"/>
          <w:jc w:val="center"/>
        </w:trPr>
        <w:tc>
          <w:tcPr>
            <w:tcW w:w="2582" w:type="dxa"/>
            <w:vAlign w:val="center"/>
          </w:tcPr>
          <w:p w14:paraId="26D3E8F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成大路（北虎口西红石山隧道内）供水主管道改造工程——PE管、管件采购</w:t>
            </w:r>
          </w:p>
        </w:tc>
        <w:tc>
          <w:tcPr>
            <w:tcW w:w="2414" w:type="dxa"/>
            <w:vAlign w:val="center"/>
          </w:tcPr>
          <w:p w14:paraId="68704AD9">
            <w:pPr>
              <w:keepNext w:val="0"/>
              <w:keepLines w:val="0"/>
              <w:pageBreakBefore w:val="0"/>
              <w:widowControl/>
              <w:shd w:val="clear"/>
              <w:kinsoku/>
              <w:wordWrap/>
              <w:overflowPunct/>
              <w:topLinePunct w:val="0"/>
              <w:autoSpaceDE/>
              <w:autoSpaceDN/>
              <w:bidi w:val="0"/>
              <w:adjustRightInd/>
              <w:snapToGrid w:val="0"/>
              <w:spacing w:line="24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大写：</w:t>
            </w:r>
          </w:p>
          <w:p w14:paraId="6C2DFFD3">
            <w:pPr>
              <w:keepNext w:val="0"/>
              <w:keepLines w:val="0"/>
              <w:pageBreakBefore w:val="0"/>
              <w:widowControl/>
              <w:shd w:val="clear"/>
              <w:kinsoku/>
              <w:wordWrap/>
              <w:overflowPunct/>
              <w:topLinePunct w:val="0"/>
              <w:autoSpaceDE/>
              <w:autoSpaceDN/>
              <w:bidi w:val="0"/>
              <w:adjustRightInd/>
              <w:snapToGrid w:val="0"/>
              <w:spacing w:line="240" w:lineRule="auto"/>
              <w:jc w:val="left"/>
              <w:textAlignment w:val="auto"/>
              <w:rPr>
                <w:rFonts w:hint="eastAsia" w:ascii="仿宋" w:hAnsi="仿宋" w:eastAsia="仿宋" w:cs="仿宋"/>
                <w:color w:val="auto"/>
                <w:sz w:val="24"/>
                <w:szCs w:val="24"/>
                <w:highlight w:val="none"/>
                <w:lang w:val="en-US" w:eastAsia="zh-CN"/>
              </w:rPr>
            </w:pPr>
          </w:p>
          <w:p w14:paraId="3CECD6D5">
            <w:pPr>
              <w:keepNext w:val="0"/>
              <w:keepLines w:val="0"/>
              <w:pageBreakBefore w:val="0"/>
              <w:widowControl/>
              <w:shd w:val="clear"/>
              <w:kinsoku/>
              <w:wordWrap/>
              <w:overflowPunct/>
              <w:topLinePunct w:val="0"/>
              <w:autoSpaceDE/>
              <w:autoSpaceDN/>
              <w:bidi w:val="0"/>
              <w:adjustRightInd/>
              <w:snapToGrid w:val="0"/>
              <w:spacing w:line="240" w:lineRule="auto"/>
              <w:jc w:val="left"/>
              <w:textAlignment w:val="auto"/>
              <w:rPr>
                <w:rFonts w:hint="eastAsia" w:ascii="仿宋" w:hAnsi="仿宋" w:eastAsia="仿宋" w:cs="仿宋"/>
                <w:bCs/>
                <w:color w:val="auto"/>
                <w:spacing w:val="8"/>
                <w:kern w:val="0"/>
                <w:sz w:val="24"/>
                <w:szCs w:val="24"/>
                <w:highlight w:val="none"/>
                <w:lang w:val="en-US" w:eastAsia="zh-CN"/>
              </w:rPr>
            </w:pPr>
            <w:r>
              <w:rPr>
                <w:rFonts w:hint="eastAsia" w:ascii="仿宋" w:hAnsi="仿宋" w:eastAsia="仿宋" w:cs="仿宋"/>
                <w:color w:val="auto"/>
                <w:sz w:val="24"/>
                <w:szCs w:val="24"/>
                <w:highlight w:val="none"/>
                <w:lang w:val="en-US" w:eastAsia="zh-CN"/>
              </w:rPr>
              <w:t>小写：</w:t>
            </w:r>
          </w:p>
        </w:tc>
        <w:tc>
          <w:tcPr>
            <w:tcW w:w="2312" w:type="dxa"/>
            <w:vAlign w:val="center"/>
          </w:tcPr>
          <w:p w14:paraId="34F3CD03">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自完成验收合格之日起</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个月</w:t>
            </w:r>
          </w:p>
        </w:tc>
        <w:tc>
          <w:tcPr>
            <w:tcW w:w="2474" w:type="dxa"/>
            <w:vAlign w:val="center"/>
          </w:tcPr>
          <w:p w14:paraId="20E794E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合同签订后，自接到甲方通知之日起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日内，乙方应完成产品交付、提供焊机、</w:t>
            </w:r>
            <w:r>
              <w:rPr>
                <w:rFonts w:hint="eastAsia" w:ascii="仿宋" w:hAnsi="仿宋" w:eastAsia="仿宋" w:cs="仿宋"/>
                <w:color w:val="auto"/>
                <w:sz w:val="24"/>
                <w:szCs w:val="24"/>
                <w:highlight w:val="none"/>
                <w:lang w:val="en-US" w:eastAsia="zh-CN"/>
              </w:rPr>
              <w:t>配合施工</w:t>
            </w:r>
            <w:r>
              <w:rPr>
                <w:rFonts w:hint="eastAsia" w:ascii="仿宋" w:hAnsi="仿宋" w:eastAsia="仿宋" w:cs="仿宋"/>
                <w:color w:val="auto"/>
                <w:sz w:val="24"/>
                <w:szCs w:val="24"/>
                <w:highlight w:val="none"/>
                <w:lang w:eastAsia="zh-CN"/>
              </w:rPr>
              <w:t>、并验收合格</w:t>
            </w:r>
          </w:p>
        </w:tc>
      </w:tr>
      <w:tr w14:paraId="7F73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2582" w:type="dxa"/>
            <w:vAlign w:val="center"/>
          </w:tcPr>
          <w:p w14:paraId="5522C91B">
            <w:pPr>
              <w:shd w:val="clear"/>
              <w:spacing w:line="4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对招标文件的认同程度</w:t>
            </w:r>
          </w:p>
        </w:tc>
        <w:tc>
          <w:tcPr>
            <w:tcW w:w="7200" w:type="dxa"/>
            <w:gridSpan w:val="3"/>
            <w:vAlign w:val="center"/>
          </w:tcPr>
          <w:p w14:paraId="6C1ED6A5">
            <w:pPr>
              <w:shd w:val="clear"/>
              <w:jc w:val="center"/>
              <w:rPr>
                <w:rFonts w:hint="eastAsia" w:ascii="仿宋" w:hAnsi="仿宋" w:eastAsia="仿宋" w:cs="仿宋"/>
                <w:color w:val="auto"/>
                <w:sz w:val="24"/>
                <w:szCs w:val="24"/>
                <w:highlight w:val="none"/>
                <w:lang w:val="en-US" w:eastAsia="zh-CN"/>
              </w:rPr>
            </w:pPr>
          </w:p>
        </w:tc>
      </w:tr>
      <w:tr w14:paraId="4170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2582" w:type="dxa"/>
            <w:vAlign w:val="center"/>
          </w:tcPr>
          <w:p w14:paraId="5231F503">
            <w:pPr>
              <w:shd w:val="clear"/>
              <w:spacing w:line="44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报价声明</w:t>
            </w:r>
          </w:p>
        </w:tc>
        <w:tc>
          <w:tcPr>
            <w:tcW w:w="7200" w:type="dxa"/>
            <w:gridSpan w:val="3"/>
            <w:vAlign w:val="center"/>
          </w:tcPr>
          <w:p w14:paraId="58F890F1">
            <w:pPr>
              <w:widowControl/>
              <w:shd w:val="clear"/>
              <w:wordWrap w:val="0"/>
              <w:jc w:val="both"/>
              <w:rPr>
                <w:rFonts w:hint="eastAsia" w:ascii="仿宋" w:hAnsi="仿宋" w:eastAsia="仿宋" w:cs="仿宋"/>
                <w:color w:val="auto"/>
                <w:sz w:val="24"/>
                <w:szCs w:val="24"/>
                <w:highlight w:val="none"/>
              </w:rPr>
            </w:pPr>
          </w:p>
        </w:tc>
      </w:tr>
    </w:tbl>
    <w:p w14:paraId="12990689">
      <w:pPr>
        <w:shd w:val="clear"/>
        <w:spacing w:line="440" w:lineRule="exact"/>
        <w:ind w:left="980" w:right="-309" w:rightChars="-147" w:hanging="980" w:hangingChars="350"/>
        <w:rPr>
          <w:rFonts w:hint="eastAsia" w:ascii="仿宋" w:hAnsi="仿宋" w:eastAsia="仿宋" w:cs="仿宋"/>
          <w:color w:val="auto"/>
          <w:sz w:val="28"/>
          <w:szCs w:val="28"/>
          <w:highlight w:val="none"/>
        </w:rPr>
      </w:pPr>
    </w:p>
    <w:p w14:paraId="26E6B132">
      <w:pPr>
        <w:shd w:val="clear"/>
        <w:spacing w:line="52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7844E2D">
      <w:pPr>
        <w:shd w:val="clear"/>
        <w:spacing w:line="520" w:lineRule="exac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3771D148">
      <w:pPr>
        <w:shd w:val="clear"/>
        <w:spacing w:line="480" w:lineRule="exact"/>
        <w:rPr>
          <w:rFonts w:hint="eastAsia" w:ascii="仿宋" w:hAnsi="仿宋" w:eastAsia="仿宋" w:cs="仿宋"/>
          <w:color w:val="auto"/>
          <w:sz w:val="44"/>
          <w:szCs w:val="44"/>
          <w:highlight w:val="none"/>
        </w:rPr>
      </w:pPr>
      <w:bookmarkStart w:id="92" w:name="_Toc130651407"/>
      <w:bookmarkStart w:id="93" w:name="_Toc66864055"/>
    </w:p>
    <w:p w14:paraId="0E1A04CF">
      <w:pPr>
        <w:pStyle w:val="19"/>
        <w:shd w:val="clear"/>
        <w:rPr>
          <w:rFonts w:hint="eastAsia" w:ascii="仿宋" w:hAnsi="仿宋" w:eastAsia="仿宋" w:cs="仿宋"/>
          <w:color w:val="auto"/>
          <w:highlight w:val="none"/>
        </w:rPr>
      </w:pPr>
    </w:p>
    <w:p w14:paraId="0038E329">
      <w:pPr>
        <w:pStyle w:val="19"/>
        <w:shd w:val="clear"/>
        <w:rPr>
          <w:rFonts w:hint="eastAsia" w:ascii="仿宋" w:hAnsi="仿宋" w:eastAsia="仿宋" w:cs="仿宋"/>
          <w:color w:val="auto"/>
          <w:highlight w:val="none"/>
        </w:rPr>
        <w:sectPr>
          <w:headerReference r:id="rId11" w:type="first"/>
          <w:headerReference r:id="rId10" w:type="even"/>
          <w:pgSz w:w="11906" w:h="16838"/>
          <w:pgMar w:top="1440" w:right="1083" w:bottom="1440" w:left="1083" w:header="851" w:footer="992" w:gutter="0"/>
          <w:pgNumType w:fmt="decimal"/>
          <w:cols w:space="720" w:num="1"/>
          <w:docGrid w:type="lines" w:linePitch="314" w:charSpace="0"/>
        </w:sectPr>
      </w:pPr>
    </w:p>
    <w:p w14:paraId="71BE5139">
      <w:pPr>
        <w:pStyle w:val="20"/>
        <w:jc w:val="center"/>
        <w:rPr>
          <w:rFonts w:hint="eastAsia"/>
          <w:highlight w:val="none"/>
        </w:rPr>
      </w:pPr>
      <w:r>
        <w:rPr>
          <w:rFonts w:hint="eastAsia" w:ascii="仿宋" w:hAnsi="仿宋" w:eastAsia="仿宋" w:cs="仿宋"/>
          <w:b/>
          <w:color w:val="auto"/>
          <w:sz w:val="36"/>
          <w:highlight w:val="none"/>
        </w:rPr>
        <w:t>报价明细表</w:t>
      </w:r>
    </w:p>
    <w:tbl>
      <w:tblPr>
        <w:tblStyle w:val="55"/>
        <w:tblW w:w="14520" w:type="dxa"/>
        <w:tblInd w:w="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2222"/>
        <w:gridCol w:w="2752"/>
        <w:gridCol w:w="1060"/>
        <w:gridCol w:w="999"/>
        <w:gridCol w:w="1500"/>
        <w:gridCol w:w="1485"/>
        <w:gridCol w:w="660"/>
        <w:gridCol w:w="1108"/>
        <w:gridCol w:w="1157"/>
        <w:gridCol w:w="885"/>
      </w:tblGrid>
      <w:tr w14:paraId="41353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692" w:type="dxa"/>
            <w:tcBorders>
              <w:top w:val="single" w:color="auto" w:sz="4" w:space="0"/>
              <w:left w:val="single" w:color="auto" w:sz="4" w:space="0"/>
              <w:bottom w:val="single" w:color="auto" w:sz="4" w:space="0"/>
              <w:right w:val="single" w:color="auto" w:sz="4" w:space="0"/>
            </w:tcBorders>
            <w:vAlign w:val="center"/>
          </w:tcPr>
          <w:p w14:paraId="47904E2A">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序号</w:t>
            </w:r>
          </w:p>
        </w:tc>
        <w:tc>
          <w:tcPr>
            <w:tcW w:w="2222" w:type="dxa"/>
            <w:tcBorders>
              <w:top w:val="single" w:color="auto" w:sz="4" w:space="0"/>
              <w:left w:val="single" w:color="auto" w:sz="4" w:space="0"/>
              <w:bottom w:val="single" w:color="auto" w:sz="4" w:space="0"/>
              <w:right w:val="single" w:color="auto" w:sz="4" w:space="0"/>
            </w:tcBorders>
            <w:vAlign w:val="center"/>
          </w:tcPr>
          <w:p w14:paraId="76FF370A">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产品名称</w:t>
            </w:r>
          </w:p>
        </w:tc>
        <w:tc>
          <w:tcPr>
            <w:tcW w:w="2752" w:type="dxa"/>
            <w:tcBorders>
              <w:top w:val="single" w:color="auto" w:sz="4" w:space="0"/>
              <w:left w:val="single" w:color="auto" w:sz="4" w:space="0"/>
              <w:bottom w:val="single" w:color="auto" w:sz="4" w:space="0"/>
              <w:right w:val="single" w:color="auto" w:sz="4" w:space="0"/>
            </w:tcBorders>
            <w:vAlign w:val="center"/>
          </w:tcPr>
          <w:p w14:paraId="534FFE19">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规格型号</w:t>
            </w:r>
          </w:p>
        </w:tc>
        <w:tc>
          <w:tcPr>
            <w:tcW w:w="1060" w:type="dxa"/>
            <w:tcBorders>
              <w:top w:val="single" w:color="auto" w:sz="4" w:space="0"/>
              <w:left w:val="single" w:color="auto" w:sz="4" w:space="0"/>
              <w:bottom w:val="single" w:color="auto" w:sz="4" w:space="0"/>
              <w:right w:val="single" w:color="auto" w:sz="4" w:space="0"/>
            </w:tcBorders>
            <w:vAlign w:val="center"/>
          </w:tcPr>
          <w:p w14:paraId="33CD19CE">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单位</w:t>
            </w:r>
          </w:p>
        </w:tc>
        <w:tc>
          <w:tcPr>
            <w:tcW w:w="999" w:type="dxa"/>
            <w:tcBorders>
              <w:top w:val="single" w:color="auto" w:sz="4" w:space="0"/>
              <w:left w:val="single" w:color="auto" w:sz="4" w:space="0"/>
              <w:bottom w:val="single" w:color="auto" w:sz="4" w:space="0"/>
              <w:right w:val="single" w:color="auto" w:sz="4" w:space="0"/>
            </w:tcBorders>
            <w:vAlign w:val="center"/>
          </w:tcPr>
          <w:p w14:paraId="6BCFC4C1">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数量</w:t>
            </w:r>
          </w:p>
        </w:tc>
        <w:tc>
          <w:tcPr>
            <w:tcW w:w="1500" w:type="dxa"/>
            <w:tcBorders>
              <w:top w:val="single" w:color="auto" w:sz="4" w:space="0"/>
              <w:left w:val="single" w:color="auto" w:sz="4" w:space="0"/>
              <w:bottom w:val="single" w:color="auto" w:sz="4" w:space="0"/>
              <w:right w:val="single" w:color="auto" w:sz="4" w:space="0"/>
            </w:tcBorders>
            <w:vAlign w:val="center"/>
          </w:tcPr>
          <w:p w14:paraId="2B3C78DB">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除税单价（元）</w:t>
            </w:r>
          </w:p>
        </w:tc>
        <w:tc>
          <w:tcPr>
            <w:tcW w:w="1485" w:type="dxa"/>
            <w:tcBorders>
              <w:top w:val="single" w:color="auto" w:sz="4" w:space="0"/>
              <w:left w:val="single" w:color="auto" w:sz="4" w:space="0"/>
              <w:bottom w:val="single" w:color="auto" w:sz="4" w:space="0"/>
              <w:right w:val="single" w:color="auto" w:sz="4" w:space="0"/>
            </w:tcBorders>
            <w:vAlign w:val="center"/>
          </w:tcPr>
          <w:p w14:paraId="6EF92EA1">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除税总价（元）</w:t>
            </w:r>
          </w:p>
        </w:tc>
        <w:tc>
          <w:tcPr>
            <w:tcW w:w="660" w:type="dxa"/>
            <w:tcBorders>
              <w:top w:val="single" w:color="auto" w:sz="4" w:space="0"/>
              <w:left w:val="single" w:color="auto" w:sz="4" w:space="0"/>
              <w:bottom w:val="single" w:color="auto" w:sz="4" w:space="0"/>
              <w:right w:val="single" w:color="auto" w:sz="4" w:space="0"/>
            </w:tcBorders>
            <w:vAlign w:val="center"/>
          </w:tcPr>
          <w:p w14:paraId="63CFEB3D">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税率（%）</w:t>
            </w:r>
          </w:p>
        </w:tc>
        <w:tc>
          <w:tcPr>
            <w:tcW w:w="1108" w:type="dxa"/>
            <w:tcBorders>
              <w:top w:val="single" w:color="auto" w:sz="4" w:space="0"/>
              <w:left w:val="single" w:color="auto" w:sz="4" w:space="0"/>
              <w:bottom w:val="single" w:color="auto" w:sz="4" w:space="0"/>
              <w:right w:val="single" w:color="auto" w:sz="4" w:space="0"/>
            </w:tcBorders>
            <w:vAlign w:val="center"/>
          </w:tcPr>
          <w:p w14:paraId="05F4B729">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含税单价（元）</w:t>
            </w:r>
          </w:p>
        </w:tc>
        <w:tc>
          <w:tcPr>
            <w:tcW w:w="1157" w:type="dxa"/>
            <w:tcBorders>
              <w:top w:val="single" w:color="auto" w:sz="4" w:space="0"/>
              <w:left w:val="single" w:color="auto" w:sz="4" w:space="0"/>
              <w:bottom w:val="single" w:color="auto" w:sz="4" w:space="0"/>
              <w:right w:val="single" w:color="auto" w:sz="4" w:space="0"/>
            </w:tcBorders>
            <w:vAlign w:val="center"/>
          </w:tcPr>
          <w:p w14:paraId="02E0DC1F">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含税总价（元）</w:t>
            </w:r>
          </w:p>
        </w:tc>
        <w:tc>
          <w:tcPr>
            <w:tcW w:w="885" w:type="dxa"/>
            <w:tcBorders>
              <w:top w:val="single" w:color="auto" w:sz="4" w:space="0"/>
              <w:left w:val="single" w:color="auto" w:sz="4" w:space="0"/>
              <w:bottom w:val="single" w:color="auto" w:sz="4" w:space="0"/>
              <w:right w:val="single" w:color="auto" w:sz="4" w:space="0"/>
            </w:tcBorders>
            <w:vAlign w:val="center"/>
          </w:tcPr>
          <w:p w14:paraId="52F89474">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备注</w:t>
            </w:r>
          </w:p>
        </w:tc>
      </w:tr>
      <w:tr w14:paraId="1AB2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692" w:type="dxa"/>
            <w:tcBorders>
              <w:top w:val="single" w:color="auto" w:sz="4" w:space="0"/>
              <w:left w:val="single" w:color="auto" w:sz="4" w:space="0"/>
              <w:bottom w:val="single" w:color="auto" w:sz="4" w:space="0"/>
              <w:right w:val="single" w:color="auto" w:sz="4" w:space="0"/>
            </w:tcBorders>
            <w:vAlign w:val="center"/>
          </w:tcPr>
          <w:p w14:paraId="70F78D9C">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1</w:t>
            </w:r>
          </w:p>
        </w:tc>
        <w:tc>
          <w:tcPr>
            <w:tcW w:w="2222" w:type="dxa"/>
            <w:tcBorders>
              <w:top w:val="single" w:color="auto" w:sz="4" w:space="0"/>
              <w:left w:val="single" w:color="auto" w:sz="4" w:space="0"/>
              <w:bottom w:val="single" w:color="auto" w:sz="4" w:space="0"/>
              <w:right w:val="single" w:color="auto" w:sz="4" w:space="0"/>
            </w:tcBorders>
            <w:vAlign w:val="center"/>
          </w:tcPr>
          <w:p w14:paraId="3E47531D">
            <w:pPr>
              <w:spacing w:line="240" w:lineRule="auto"/>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PE管De630(1.0Mpa)</w:t>
            </w:r>
          </w:p>
        </w:tc>
        <w:tc>
          <w:tcPr>
            <w:tcW w:w="2752" w:type="dxa"/>
            <w:tcBorders>
              <w:top w:val="single" w:color="auto" w:sz="4" w:space="0"/>
              <w:left w:val="single" w:color="auto" w:sz="4" w:space="0"/>
              <w:bottom w:val="single" w:color="auto" w:sz="4" w:space="0"/>
              <w:right w:val="single" w:color="auto" w:sz="4" w:space="0"/>
            </w:tcBorders>
            <w:vAlign w:val="center"/>
          </w:tcPr>
          <w:p w14:paraId="01CC807B">
            <w:pPr>
              <w:spacing w:line="240" w:lineRule="auto"/>
              <w:jc w:val="center"/>
              <w:rPr>
                <w:rFonts w:hint="eastAsia" w:ascii="仿宋" w:hAnsi="仿宋" w:eastAsia="仿宋" w:cs="宋体"/>
                <w:szCs w:val="21"/>
                <w:highlight w:val="none"/>
                <w:lang w:eastAsia="zh-CN"/>
              </w:rPr>
            </w:pPr>
            <w:r>
              <w:rPr>
                <w:rFonts w:hint="eastAsia" w:ascii="仿宋" w:hAnsi="仿宋" w:eastAsia="仿宋" w:cs="宋体"/>
                <w:szCs w:val="21"/>
                <w:highlight w:val="none"/>
                <w:lang w:eastAsia="zh-CN"/>
              </w:rPr>
              <w:t>PE管</w:t>
            </w:r>
          </w:p>
          <w:p w14:paraId="1A448315">
            <w:pPr>
              <w:spacing w:line="240" w:lineRule="auto"/>
              <w:jc w:val="center"/>
              <w:rPr>
                <w:rFonts w:hint="eastAsia" w:ascii="仿宋" w:hAnsi="仿宋" w:eastAsia="仿宋" w:cs="宋体"/>
                <w:szCs w:val="21"/>
                <w:highlight w:val="none"/>
                <w:lang w:eastAsia="zh-CN"/>
              </w:rPr>
            </w:pPr>
            <w:r>
              <w:rPr>
                <w:rFonts w:hint="eastAsia" w:ascii="仿宋" w:hAnsi="仿宋" w:eastAsia="仿宋" w:cs="宋体"/>
                <w:szCs w:val="21"/>
                <w:highlight w:val="none"/>
                <w:lang w:eastAsia="zh-CN"/>
              </w:rPr>
              <w:t>规格：De630，1.0Mpa</w:t>
            </w:r>
          </w:p>
        </w:tc>
        <w:tc>
          <w:tcPr>
            <w:tcW w:w="1060" w:type="dxa"/>
            <w:tcBorders>
              <w:top w:val="single" w:color="auto" w:sz="4" w:space="0"/>
              <w:left w:val="single" w:color="auto" w:sz="4" w:space="0"/>
              <w:bottom w:val="single" w:color="auto" w:sz="4" w:space="0"/>
              <w:right w:val="single" w:color="auto" w:sz="4" w:space="0"/>
            </w:tcBorders>
            <w:vAlign w:val="center"/>
          </w:tcPr>
          <w:p w14:paraId="47D36720">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m</w:t>
            </w:r>
          </w:p>
        </w:tc>
        <w:tc>
          <w:tcPr>
            <w:tcW w:w="999" w:type="dxa"/>
            <w:tcBorders>
              <w:top w:val="single" w:color="auto" w:sz="4" w:space="0"/>
              <w:left w:val="single" w:color="auto" w:sz="4" w:space="0"/>
              <w:bottom w:val="single" w:color="auto" w:sz="4" w:space="0"/>
              <w:right w:val="single" w:color="auto" w:sz="4" w:space="0"/>
            </w:tcBorders>
            <w:vAlign w:val="center"/>
          </w:tcPr>
          <w:p w14:paraId="0E023FC9">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1043.42</w:t>
            </w:r>
          </w:p>
        </w:tc>
        <w:tc>
          <w:tcPr>
            <w:tcW w:w="1500" w:type="dxa"/>
            <w:tcBorders>
              <w:top w:val="single" w:color="auto" w:sz="4" w:space="0"/>
              <w:left w:val="single" w:color="auto" w:sz="4" w:space="0"/>
              <w:bottom w:val="single" w:color="auto" w:sz="4" w:space="0"/>
              <w:right w:val="single" w:color="auto" w:sz="4" w:space="0"/>
            </w:tcBorders>
            <w:vAlign w:val="center"/>
          </w:tcPr>
          <w:p w14:paraId="0F84C6B1">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485" w:type="dxa"/>
            <w:tcBorders>
              <w:top w:val="single" w:color="auto" w:sz="4" w:space="0"/>
              <w:left w:val="single" w:color="auto" w:sz="4" w:space="0"/>
              <w:bottom w:val="single" w:color="auto" w:sz="4" w:space="0"/>
              <w:right w:val="single" w:color="auto" w:sz="4" w:space="0"/>
            </w:tcBorders>
            <w:vAlign w:val="center"/>
          </w:tcPr>
          <w:p w14:paraId="363C9FE8">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14:paraId="2A31C907">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108" w:type="dxa"/>
            <w:tcBorders>
              <w:top w:val="single" w:color="auto" w:sz="4" w:space="0"/>
              <w:left w:val="single" w:color="auto" w:sz="4" w:space="0"/>
              <w:bottom w:val="single" w:color="auto" w:sz="4" w:space="0"/>
              <w:right w:val="single" w:color="auto" w:sz="4" w:space="0"/>
            </w:tcBorders>
            <w:vAlign w:val="center"/>
          </w:tcPr>
          <w:p w14:paraId="62F059BB">
            <w:pPr>
              <w:pStyle w:val="52"/>
              <w:tabs>
                <w:tab w:val="left" w:pos="522"/>
              </w:tabs>
              <w:spacing w:before="0" w:beforeAutospacing="0" w:after="0" w:afterAutospacing="0" w:line="520" w:lineRule="exact"/>
              <w:jc w:val="left"/>
              <w:rPr>
                <w:rFonts w:hint="default" w:ascii="仿宋" w:hAnsi="仿宋" w:eastAsia="仿宋"/>
                <w:kern w:val="2"/>
                <w:sz w:val="21"/>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3846DD8E">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14:paraId="2B3518B3">
            <w:pPr>
              <w:pStyle w:val="52"/>
              <w:spacing w:before="0" w:beforeAutospacing="0" w:after="0" w:afterAutospacing="0" w:line="520" w:lineRule="exact"/>
              <w:jc w:val="center"/>
              <w:rPr>
                <w:rFonts w:ascii="仿宋" w:hAnsi="仿宋" w:eastAsia="仿宋"/>
                <w:kern w:val="2"/>
                <w:sz w:val="21"/>
                <w:szCs w:val="21"/>
                <w:highlight w:val="none"/>
              </w:rPr>
            </w:pPr>
          </w:p>
        </w:tc>
      </w:tr>
      <w:tr w14:paraId="1B889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692" w:type="dxa"/>
            <w:tcBorders>
              <w:top w:val="single" w:color="auto" w:sz="4" w:space="0"/>
              <w:left w:val="single" w:color="auto" w:sz="4" w:space="0"/>
              <w:bottom w:val="single" w:color="auto" w:sz="4" w:space="0"/>
              <w:right w:val="single" w:color="auto" w:sz="4" w:space="0"/>
            </w:tcBorders>
            <w:vAlign w:val="center"/>
          </w:tcPr>
          <w:p w14:paraId="2D8B70BE">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2</w:t>
            </w:r>
          </w:p>
        </w:tc>
        <w:tc>
          <w:tcPr>
            <w:tcW w:w="2222" w:type="dxa"/>
            <w:tcBorders>
              <w:top w:val="single" w:color="auto" w:sz="4" w:space="0"/>
              <w:left w:val="single" w:color="auto" w:sz="4" w:space="0"/>
              <w:bottom w:val="single" w:color="auto" w:sz="4" w:space="0"/>
              <w:right w:val="single" w:color="auto" w:sz="4" w:space="0"/>
            </w:tcBorders>
            <w:vAlign w:val="center"/>
          </w:tcPr>
          <w:p w14:paraId="52E97EB0">
            <w:pPr>
              <w:tabs>
                <w:tab w:val="left" w:pos="461"/>
              </w:tabs>
              <w:spacing w:line="240" w:lineRule="auto"/>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PE弯头De630*22.5(1.0Mpa)</w:t>
            </w:r>
          </w:p>
        </w:tc>
        <w:tc>
          <w:tcPr>
            <w:tcW w:w="2752" w:type="dxa"/>
            <w:tcBorders>
              <w:top w:val="single" w:color="auto" w:sz="4" w:space="0"/>
              <w:left w:val="single" w:color="auto" w:sz="4" w:space="0"/>
              <w:bottom w:val="single" w:color="auto" w:sz="4" w:space="0"/>
              <w:right w:val="single" w:color="auto" w:sz="4" w:space="0"/>
            </w:tcBorders>
            <w:vAlign w:val="center"/>
          </w:tcPr>
          <w:p w14:paraId="70F4FDD9">
            <w:pPr>
              <w:spacing w:line="240" w:lineRule="auto"/>
              <w:jc w:val="center"/>
              <w:rPr>
                <w:rFonts w:hint="eastAsia" w:ascii="仿宋" w:hAnsi="仿宋" w:eastAsia="仿宋" w:cs="宋体"/>
                <w:szCs w:val="21"/>
                <w:highlight w:val="none"/>
                <w:lang w:eastAsia="zh-CN"/>
              </w:rPr>
            </w:pPr>
            <w:r>
              <w:rPr>
                <w:rFonts w:hint="eastAsia" w:ascii="仿宋" w:hAnsi="仿宋" w:eastAsia="仿宋" w:cs="宋体"/>
                <w:szCs w:val="21"/>
                <w:highlight w:val="none"/>
                <w:lang w:eastAsia="zh-CN"/>
              </w:rPr>
              <w:t>PE弯头</w:t>
            </w:r>
          </w:p>
          <w:p w14:paraId="75EA6F84">
            <w:pPr>
              <w:spacing w:line="240" w:lineRule="auto"/>
              <w:jc w:val="center"/>
              <w:rPr>
                <w:rFonts w:hint="eastAsia" w:ascii="仿宋" w:hAnsi="仿宋" w:eastAsia="仿宋" w:cs="宋体"/>
                <w:szCs w:val="21"/>
                <w:highlight w:val="none"/>
                <w:lang w:eastAsia="zh-CN"/>
              </w:rPr>
            </w:pPr>
            <w:r>
              <w:rPr>
                <w:rFonts w:hint="eastAsia" w:ascii="仿宋" w:hAnsi="仿宋" w:eastAsia="仿宋" w:cs="宋体"/>
                <w:szCs w:val="21"/>
                <w:highlight w:val="none"/>
                <w:lang w:eastAsia="zh-CN"/>
              </w:rPr>
              <w:t>规格：De630*22.5°，1.0Mpa</w:t>
            </w:r>
          </w:p>
        </w:tc>
        <w:tc>
          <w:tcPr>
            <w:tcW w:w="1060" w:type="dxa"/>
            <w:tcBorders>
              <w:top w:val="single" w:color="auto" w:sz="4" w:space="0"/>
              <w:left w:val="single" w:color="auto" w:sz="4" w:space="0"/>
              <w:bottom w:val="single" w:color="auto" w:sz="4" w:space="0"/>
              <w:right w:val="single" w:color="auto" w:sz="4" w:space="0"/>
            </w:tcBorders>
            <w:vAlign w:val="center"/>
          </w:tcPr>
          <w:p w14:paraId="17502C98">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999" w:type="dxa"/>
            <w:tcBorders>
              <w:top w:val="single" w:color="auto" w:sz="4" w:space="0"/>
              <w:left w:val="single" w:color="auto" w:sz="4" w:space="0"/>
              <w:bottom w:val="single" w:color="auto" w:sz="4" w:space="0"/>
              <w:right w:val="single" w:color="auto" w:sz="4" w:space="0"/>
            </w:tcBorders>
            <w:vAlign w:val="center"/>
          </w:tcPr>
          <w:p w14:paraId="603628B9">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2</w:t>
            </w:r>
          </w:p>
        </w:tc>
        <w:tc>
          <w:tcPr>
            <w:tcW w:w="1500" w:type="dxa"/>
            <w:tcBorders>
              <w:top w:val="single" w:color="auto" w:sz="4" w:space="0"/>
              <w:left w:val="single" w:color="auto" w:sz="4" w:space="0"/>
              <w:bottom w:val="single" w:color="auto" w:sz="4" w:space="0"/>
              <w:right w:val="single" w:color="auto" w:sz="4" w:space="0"/>
            </w:tcBorders>
            <w:vAlign w:val="center"/>
          </w:tcPr>
          <w:p w14:paraId="2C7E6D75">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485" w:type="dxa"/>
            <w:tcBorders>
              <w:top w:val="single" w:color="auto" w:sz="4" w:space="0"/>
              <w:left w:val="single" w:color="auto" w:sz="4" w:space="0"/>
              <w:bottom w:val="single" w:color="auto" w:sz="4" w:space="0"/>
              <w:right w:val="single" w:color="auto" w:sz="4" w:space="0"/>
            </w:tcBorders>
            <w:vAlign w:val="center"/>
          </w:tcPr>
          <w:p w14:paraId="696A10A5">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14:paraId="5C04584D">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108" w:type="dxa"/>
            <w:tcBorders>
              <w:top w:val="single" w:color="auto" w:sz="4" w:space="0"/>
              <w:left w:val="single" w:color="auto" w:sz="4" w:space="0"/>
              <w:bottom w:val="single" w:color="auto" w:sz="4" w:space="0"/>
              <w:right w:val="single" w:color="auto" w:sz="4" w:space="0"/>
            </w:tcBorders>
            <w:vAlign w:val="center"/>
          </w:tcPr>
          <w:p w14:paraId="70BB42A9">
            <w:pPr>
              <w:pStyle w:val="52"/>
              <w:tabs>
                <w:tab w:val="left" w:pos="522"/>
              </w:tabs>
              <w:spacing w:before="0" w:beforeAutospacing="0" w:after="0" w:afterAutospacing="0" w:line="520" w:lineRule="exact"/>
              <w:jc w:val="left"/>
              <w:rPr>
                <w:rFonts w:hint="default" w:ascii="仿宋" w:hAnsi="仿宋" w:eastAsia="仿宋"/>
                <w:kern w:val="2"/>
                <w:sz w:val="21"/>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68569C46">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14:paraId="5D976749">
            <w:pPr>
              <w:pStyle w:val="52"/>
              <w:spacing w:before="0" w:beforeAutospacing="0" w:after="0" w:afterAutospacing="0" w:line="520" w:lineRule="exact"/>
              <w:jc w:val="center"/>
              <w:rPr>
                <w:rFonts w:ascii="仿宋" w:hAnsi="仿宋" w:eastAsia="仿宋"/>
                <w:kern w:val="2"/>
                <w:sz w:val="21"/>
                <w:szCs w:val="21"/>
                <w:highlight w:val="none"/>
              </w:rPr>
            </w:pPr>
          </w:p>
        </w:tc>
      </w:tr>
      <w:tr w14:paraId="345D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92" w:type="dxa"/>
            <w:tcBorders>
              <w:top w:val="single" w:color="auto" w:sz="4" w:space="0"/>
              <w:left w:val="single" w:color="auto" w:sz="4" w:space="0"/>
              <w:bottom w:val="single" w:color="auto" w:sz="4" w:space="0"/>
              <w:right w:val="single" w:color="auto" w:sz="4" w:space="0"/>
            </w:tcBorders>
            <w:vAlign w:val="center"/>
          </w:tcPr>
          <w:p w14:paraId="73371DB8">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3</w:t>
            </w:r>
          </w:p>
        </w:tc>
        <w:tc>
          <w:tcPr>
            <w:tcW w:w="2222" w:type="dxa"/>
            <w:tcBorders>
              <w:top w:val="single" w:color="auto" w:sz="4" w:space="0"/>
              <w:left w:val="single" w:color="auto" w:sz="4" w:space="0"/>
              <w:bottom w:val="single" w:color="auto" w:sz="4" w:space="0"/>
              <w:right w:val="single" w:color="auto" w:sz="4" w:space="0"/>
            </w:tcBorders>
            <w:vAlign w:val="center"/>
          </w:tcPr>
          <w:p w14:paraId="40B1616E">
            <w:pPr>
              <w:spacing w:line="240" w:lineRule="auto"/>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PE三通De630*110(1.0Mpa)</w:t>
            </w:r>
          </w:p>
        </w:tc>
        <w:tc>
          <w:tcPr>
            <w:tcW w:w="2752" w:type="dxa"/>
            <w:tcBorders>
              <w:top w:val="single" w:color="auto" w:sz="4" w:space="0"/>
              <w:left w:val="single" w:color="auto" w:sz="4" w:space="0"/>
              <w:bottom w:val="single" w:color="auto" w:sz="4" w:space="0"/>
              <w:right w:val="single" w:color="auto" w:sz="4" w:space="0"/>
            </w:tcBorders>
            <w:vAlign w:val="center"/>
          </w:tcPr>
          <w:p w14:paraId="5D233661">
            <w:pPr>
              <w:spacing w:line="240" w:lineRule="auto"/>
              <w:jc w:val="center"/>
              <w:rPr>
                <w:rFonts w:hint="eastAsia" w:ascii="仿宋" w:hAnsi="仿宋" w:eastAsia="仿宋" w:cs="宋体"/>
                <w:szCs w:val="21"/>
                <w:highlight w:val="none"/>
                <w:lang w:eastAsia="zh-CN"/>
              </w:rPr>
            </w:pPr>
            <w:r>
              <w:rPr>
                <w:rFonts w:hint="eastAsia" w:ascii="仿宋" w:hAnsi="仿宋" w:eastAsia="仿宋" w:cs="宋体"/>
                <w:szCs w:val="21"/>
                <w:highlight w:val="none"/>
                <w:lang w:eastAsia="zh-CN"/>
              </w:rPr>
              <w:t>PE三通规格：</w:t>
            </w:r>
          </w:p>
          <w:p w14:paraId="60CE8846">
            <w:pPr>
              <w:spacing w:line="240" w:lineRule="auto"/>
              <w:jc w:val="center"/>
              <w:rPr>
                <w:rFonts w:hint="eastAsia" w:ascii="仿宋" w:hAnsi="仿宋" w:eastAsia="仿宋" w:cs="宋体"/>
                <w:szCs w:val="21"/>
                <w:highlight w:val="none"/>
                <w:lang w:eastAsia="zh-CN"/>
              </w:rPr>
            </w:pPr>
            <w:r>
              <w:rPr>
                <w:rFonts w:hint="eastAsia" w:ascii="仿宋" w:hAnsi="仿宋" w:eastAsia="仿宋" w:cs="宋体"/>
                <w:szCs w:val="21"/>
                <w:highlight w:val="none"/>
                <w:lang w:eastAsia="zh-CN"/>
              </w:rPr>
              <w:t>De630*110，1.0Mpa</w:t>
            </w:r>
          </w:p>
        </w:tc>
        <w:tc>
          <w:tcPr>
            <w:tcW w:w="1060" w:type="dxa"/>
            <w:tcBorders>
              <w:top w:val="single" w:color="auto" w:sz="4" w:space="0"/>
              <w:left w:val="single" w:color="auto" w:sz="4" w:space="0"/>
              <w:bottom w:val="single" w:color="auto" w:sz="4" w:space="0"/>
              <w:right w:val="single" w:color="auto" w:sz="4" w:space="0"/>
            </w:tcBorders>
            <w:vAlign w:val="center"/>
          </w:tcPr>
          <w:p w14:paraId="22EB8936">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999" w:type="dxa"/>
            <w:tcBorders>
              <w:top w:val="single" w:color="auto" w:sz="4" w:space="0"/>
              <w:left w:val="single" w:color="auto" w:sz="4" w:space="0"/>
              <w:bottom w:val="single" w:color="auto" w:sz="4" w:space="0"/>
              <w:right w:val="single" w:color="auto" w:sz="4" w:space="0"/>
            </w:tcBorders>
            <w:vAlign w:val="center"/>
          </w:tcPr>
          <w:p w14:paraId="6A86AB4F">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2</w:t>
            </w:r>
          </w:p>
        </w:tc>
        <w:tc>
          <w:tcPr>
            <w:tcW w:w="1500" w:type="dxa"/>
            <w:tcBorders>
              <w:top w:val="single" w:color="auto" w:sz="4" w:space="0"/>
              <w:left w:val="single" w:color="auto" w:sz="4" w:space="0"/>
              <w:bottom w:val="single" w:color="auto" w:sz="4" w:space="0"/>
              <w:right w:val="single" w:color="auto" w:sz="4" w:space="0"/>
            </w:tcBorders>
            <w:vAlign w:val="center"/>
          </w:tcPr>
          <w:p w14:paraId="324250A6">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485" w:type="dxa"/>
            <w:tcBorders>
              <w:top w:val="single" w:color="auto" w:sz="4" w:space="0"/>
              <w:left w:val="single" w:color="auto" w:sz="4" w:space="0"/>
              <w:bottom w:val="single" w:color="auto" w:sz="4" w:space="0"/>
              <w:right w:val="single" w:color="auto" w:sz="4" w:space="0"/>
            </w:tcBorders>
            <w:vAlign w:val="center"/>
          </w:tcPr>
          <w:p w14:paraId="25B2C229">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14:paraId="6F8B024D">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108" w:type="dxa"/>
            <w:tcBorders>
              <w:top w:val="single" w:color="auto" w:sz="4" w:space="0"/>
              <w:left w:val="single" w:color="auto" w:sz="4" w:space="0"/>
              <w:bottom w:val="single" w:color="auto" w:sz="4" w:space="0"/>
              <w:right w:val="single" w:color="auto" w:sz="4" w:space="0"/>
            </w:tcBorders>
            <w:vAlign w:val="center"/>
          </w:tcPr>
          <w:p w14:paraId="711D14CE">
            <w:pPr>
              <w:pStyle w:val="52"/>
              <w:tabs>
                <w:tab w:val="left" w:pos="522"/>
              </w:tabs>
              <w:spacing w:before="0" w:beforeAutospacing="0" w:after="0" w:afterAutospacing="0" w:line="520" w:lineRule="exact"/>
              <w:jc w:val="left"/>
              <w:rPr>
                <w:rFonts w:hint="default" w:ascii="仿宋" w:hAnsi="仿宋" w:eastAsia="仿宋"/>
                <w:kern w:val="2"/>
                <w:sz w:val="21"/>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32725C86">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14:paraId="5DFD71C5">
            <w:pPr>
              <w:pStyle w:val="52"/>
              <w:spacing w:before="0" w:beforeAutospacing="0" w:after="0" w:afterAutospacing="0" w:line="520" w:lineRule="exact"/>
              <w:jc w:val="center"/>
              <w:rPr>
                <w:rFonts w:ascii="仿宋" w:hAnsi="仿宋" w:eastAsia="仿宋"/>
                <w:kern w:val="2"/>
                <w:sz w:val="21"/>
                <w:szCs w:val="21"/>
                <w:highlight w:val="none"/>
              </w:rPr>
            </w:pPr>
          </w:p>
        </w:tc>
      </w:tr>
      <w:tr w14:paraId="7D44F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692" w:type="dxa"/>
            <w:tcBorders>
              <w:top w:val="single" w:color="auto" w:sz="4" w:space="0"/>
              <w:left w:val="single" w:color="auto" w:sz="4" w:space="0"/>
              <w:bottom w:val="single" w:color="auto" w:sz="4" w:space="0"/>
              <w:right w:val="single" w:color="auto" w:sz="4" w:space="0"/>
            </w:tcBorders>
            <w:vAlign w:val="center"/>
          </w:tcPr>
          <w:p w14:paraId="3F5C4E6E">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4</w:t>
            </w:r>
          </w:p>
        </w:tc>
        <w:tc>
          <w:tcPr>
            <w:tcW w:w="2222" w:type="dxa"/>
            <w:tcBorders>
              <w:top w:val="single" w:color="auto" w:sz="4" w:space="0"/>
              <w:left w:val="single" w:color="auto" w:sz="4" w:space="0"/>
              <w:bottom w:val="single" w:color="auto" w:sz="4" w:space="0"/>
              <w:right w:val="single" w:color="auto" w:sz="4" w:space="0"/>
            </w:tcBorders>
            <w:vAlign w:val="center"/>
          </w:tcPr>
          <w:p w14:paraId="6DD0D479">
            <w:pPr>
              <w:spacing w:line="240" w:lineRule="auto"/>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PE法兰De630，PN10，带法兰套</w:t>
            </w:r>
          </w:p>
        </w:tc>
        <w:tc>
          <w:tcPr>
            <w:tcW w:w="2752" w:type="dxa"/>
            <w:tcBorders>
              <w:top w:val="single" w:color="auto" w:sz="4" w:space="0"/>
              <w:left w:val="single" w:color="auto" w:sz="4" w:space="0"/>
              <w:bottom w:val="single" w:color="auto" w:sz="4" w:space="0"/>
              <w:right w:val="single" w:color="auto" w:sz="4" w:space="0"/>
            </w:tcBorders>
            <w:vAlign w:val="center"/>
          </w:tcPr>
          <w:p w14:paraId="152882DD">
            <w:pPr>
              <w:spacing w:line="240" w:lineRule="auto"/>
              <w:jc w:val="center"/>
              <w:rPr>
                <w:rFonts w:hint="eastAsia" w:ascii="仿宋" w:hAnsi="仿宋" w:eastAsia="仿宋" w:cs="宋体"/>
                <w:szCs w:val="21"/>
                <w:highlight w:val="none"/>
                <w:lang w:eastAsia="zh-CN"/>
              </w:rPr>
            </w:pPr>
            <w:r>
              <w:rPr>
                <w:rFonts w:hint="eastAsia" w:ascii="仿宋" w:hAnsi="仿宋" w:eastAsia="仿宋" w:cs="宋体"/>
                <w:szCs w:val="21"/>
                <w:highlight w:val="none"/>
                <w:lang w:eastAsia="zh-CN"/>
              </w:rPr>
              <w:t>PE法兰，</w:t>
            </w:r>
          </w:p>
          <w:p w14:paraId="01FC1C59">
            <w:pPr>
              <w:spacing w:line="240" w:lineRule="auto"/>
              <w:jc w:val="center"/>
              <w:rPr>
                <w:rFonts w:hint="eastAsia" w:ascii="仿宋" w:hAnsi="仿宋" w:eastAsia="仿宋" w:cs="宋体"/>
                <w:szCs w:val="21"/>
                <w:highlight w:val="none"/>
                <w:lang w:eastAsia="zh-CN"/>
              </w:rPr>
            </w:pPr>
            <w:r>
              <w:rPr>
                <w:rFonts w:hint="eastAsia" w:ascii="仿宋" w:hAnsi="仿宋" w:eastAsia="仿宋" w:cs="宋体"/>
                <w:szCs w:val="21"/>
                <w:highlight w:val="none"/>
                <w:lang w:eastAsia="zh-CN"/>
              </w:rPr>
              <w:t>De630，PN10，带法兰套</w:t>
            </w:r>
          </w:p>
        </w:tc>
        <w:tc>
          <w:tcPr>
            <w:tcW w:w="1060" w:type="dxa"/>
            <w:tcBorders>
              <w:top w:val="single" w:color="auto" w:sz="4" w:space="0"/>
              <w:left w:val="single" w:color="auto" w:sz="4" w:space="0"/>
              <w:bottom w:val="single" w:color="auto" w:sz="4" w:space="0"/>
              <w:right w:val="single" w:color="auto" w:sz="4" w:space="0"/>
            </w:tcBorders>
            <w:vAlign w:val="center"/>
          </w:tcPr>
          <w:p w14:paraId="5DCC866B">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999" w:type="dxa"/>
            <w:tcBorders>
              <w:top w:val="single" w:color="auto" w:sz="4" w:space="0"/>
              <w:left w:val="single" w:color="auto" w:sz="4" w:space="0"/>
              <w:bottom w:val="single" w:color="auto" w:sz="4" w:space="0"/>
              <w:right w:val="single" w:color="auto" w:sz="4" w:space="0"/>
            </w:tcBorders>
            <w:vAlign w:val="center"/>
          </w:tcPr>
          <w:p w14:paraId="16B642BF">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4</w:t>
            </w:r>
          </w:p>
        </w:tc>
        <w:tc>
          <w:tcPr>
            <w:tcW w:w="1500" w:type="dxa"/>
            <w:tcBorders>
              <w:top w:val="single" w:color="auto" w:sz="4" w:space="0"/>
              <w:left w:val="single" w:color="auto" w:sz="4" w:space="0"/>
              <w:bottom w:val="single" w:color="auto" w:sz="4" w:space="0"/>
              <w:right w:val="single" w:color="auto" w:sz="4" w:space="0"/>
            </w:tcBorders>
            <w:vAlign w:val="center"/>
          </w:tcPr>
          <w:p w14:paraId="7DD773F0">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485" w:type="dxa"/>
            <w:tcBorders>
              <w:top w:val="single" w:color="auto" w:sz="4" w:space="0"/>
              <w:left w:val="single" w:color="auto" w:sz="4" w:space="0"/>
              <w:bottom w:val="single" w:color="auto" w:sz="4" w:space="0"/>
              <w:right w:val="single" w:color="auto" w:sz="4" w:space="0"/>
            </w:tcBorders>
            <w:vAlign w:val="center"/>
          </w:tcPr>
          <w:p w14:paraId="7C035B71">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14:paraId="6120FFFC">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108" w:type="dxa"/>
            <w:tcBorders>
              <w:top w:val="single" w:color="auto" w:sz="4" w:space="0"/>
              <w:left w:val="single" w:color="auto" w:sz="4" w:space="0"/>
              <w:bottom w:val="single" w:color="auto" w:sz="4" w:space="0"/>
              <w:right w:val="single" w:color="auto" w:sz="4" w:space="0"/>
            </w:tcBorders>
            <w:vAlign w:val="center"/>
          </w:tcPr>
          <w:p w14:paraId="263D11FD">
            <w:pPr>
              <w:pStyle w:val="52"/>
              <w:tabs>
                <w:tab w:val="left" w:pos="522"/>
              </w:tabs>
              <w:spacing w:before="0" w:beforeAutospacing="0" w:after="0" w:afterAutospacing="0" w:line="520" w:lineRule="exact"/>
              <w:jc w:val="left"/>
              <w:rPr>
                <w:rFonts w:hint="default" w:ascii="仿宋" w:hAnsi="仿宋" w:eastAsia="仿宋"/>
                <w:kern w:val="2"/>
                <w:sz w:val="21"/>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0155158A">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14:paraId="7F833BAD">
            <w:pPr>
              <w:pStyle w:val="52"/>
              <w:spacing w:before="0" w:beforeAutospacing="0" w:after="0" w:afterAutospacing="0" w:line="520" w:lineRule="exact"/>
              <w:jc w:val="center"/>
              <w:rPr>
                <w:rFonts w:ascii="仿宋" w:hAnsi="仿宋" w:eastAsia="仿宋"/>
                <w:kern w:val="2"/>
                <w:sz w:val="21"/>
                <w:szCs w:val="21"/>
                <w:highlight w:val="none"/>
              </w:rPr>
            </w:pPr>
          </w:p>
        </w:tc>
      </w:tr>
      <w:tr w14:paraId="1A58E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692" w:type="dxa"/>
            <w:tcBorders>
              <w:top w:val="single" w:color="auto" w:sz="4" w:space="0"/>
              <w:left w:val="single" w:color="auto" w:sz="4" w:space="0"/>
              <w:bottom w:val="single" w:color="auto" w:sz="4" w:space="0"/>
              <w:right w:val="single" w:color="auto" w:sz="4" w:space="0"/>
            </w:tcBorders>
            <w:vAlign w:val="center"/>
          </w:tcPr>
          <w:p w14:paraId="607331CC">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5</w:t>
            </w:r>
          </w:p>
        </w:tc>
        <w:tc>
          <w:tcPr>
            <w:tcW w:w="2222" w:type="dxa"/>
            <w:tcBorders>
              <w:top w:val="single" w:color="auto" w:sz="4" w:space="0"/>
              <w:left w:val="single" w:color="auto" w:sz="4" w:space="0"/>
              <w:bottom w:val="single" w:color="auto" w:sz="4" w:space="0"/>
              <w:right w:val="single" w:color="auto" w:sz="4" w:space="0"/>
            </w:tcBorders>
            <w:vAlign w:val="center"/>
          </w:tcPr>
          <w:p w14:paraId="4CB1E532">
            <w:pPr>
              <w:spacing w:line="240" w:lineRule="auto"/>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PE法兰，De110，PN10，带法兰套</w:t>
            </w:r>
          </w:p>
        </w:tc>
        <w:tc>
          <w:tcPr>
            <w:tcW w:w="2752" w:type="dxa"/>
            <w:tcBorders>
              <w:top w:val="single" w:color="auto" w:sz="4" w:space="0"/>
              <w:left w:val="single" w:color="auto" w:sz="4" w:space="0"/>
              <w:bottom w:val="single" w:color="auto" w:sz="4" w:space="0"/>
              <w:right w:val="single" w:color="auto" w:sz="4" w:space="0"/>
            </w:tcBorders>
            <w:vAlign w:val="center"/>
          </w:tcPr>
          <w:p w14:paraId="2BE39B3E">
            <w:pPr>
              <w:spacing w:line="240" w:lineRule="auto"/>
              <w:jc w:val="center"/>
              <w:rPr>
                <w:rFonts w:hint="eastAsia" w:ascii="仿宋" w:hAnsi="仿宋" w:eastAsia="仿宋" w:cs="宋体"/>
                <w:szCs w:val="21"/>
                <w:highlight w:val="none"/>
                <w:lang w:eastAsia="zh-CN"/>
              </w:rPr>
            </w:pPr>
            <w:r>
              <w:rPr>
                <w:rFonts w:hint="eastAsia" w:ascii="仿宋" w:hAnsi="仿宋" w:eastAsia="仿宋" w:cs="宋体"/>
                <w:szCs w:val="21"/>
                <w:highlight w:val="none"/>
                <w:lang w:eastAsia="zh-CN"/>
              </w:rPr>
              <w:t>PE法兰，</w:t>
            </w:r>
          </w:p>
          <w:p w14:paraId="0BFDBE3C">
            <w:pPr>
              <w:spacing w:line="240" w:lineRule="auto"/>
              <w:jc w:val="center"/>
              <w:rPr>
                <w:rFonts w:hint="eastAsia" w:ascii="仿宋" w:hAnsi="仿宋" w:eastAsia="仿宋" w:cs="宋体"/>
                <w:szCs w:val="21"/>
                <w:highlight w:val="none"/>
                <w:lang w:eastAsia="zh-CN"/>
              </w:rPr>
            </w:pPr>
            <w:r>
              <w:rPr>
                <w:rFonts w:hint="eastAsia" w:ascii="仿宋" w:hAnsi="仿宋" w:eastAsia="仿宋" w:cs="宋体"/>
                <w:szCs w:val="21"/>
                <w:highlight w:val="none"/>
                <w:lang w:eastAsia="zh-CN"/>
              </w:rPr>
              <w:t>De110，PN10，带法兰套</w:t>
            </w:r>
          </w:p>
        </w:tc>
        <w:tc>
          <w:tcPr>
            <w:tcW w:w="1060" w:type="dxa"/>
            <w:tcBorders>
              <w:top w:val="single" w:color="auto" w:sz="4" w:space="0"/>
              <w:left w:val="single" w:color="auto" w:sz="4" w:space="0"/>
              <w:bottom w:val="single" w:color="auto" w:sz="4" w:space="0"/>
              <w:right w:val="single" w:color="auto" w:sz="4" w:space="0"/>
            </w:tcBorders>
            <w:vAlign w:val="center"/>
          </w:tcPr>
          <w:p w14:paraId="25719693">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999" w:type="dxa"/>
            <w:tcBorders>
              <w:top w:val="single" w:color="auto" w:sz="4" w:space="0"/>
              <w:left w:val="single" w:color="auto" w:sz="4" w:space="0"/>
              <w:bottom w:val="single" w:color="auto" w:sz="4" w:space="0"/>
              <w:right w:val="single" w:color="auto" w:sz="4" w:space="0"/>
            </w:tcBorders>
            <w:vAlign w:val="center"/>
          </w:tcPr>
          <w:p w14:paraId="700F277F">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2</w:t>
            </w:r>
          </w:p>
        </w:tc>
        <w:tc>
          <w:tcPr>
            <w:tcW w:w="1500" w:type="dxa"/>
            <w:tcBorders>
              <w:top w:val="single" w:color="auto" w:sz="4" w:space="0"/>
              <w:left w:val="single" w:color="auto" w:sz="4" w:space="0"/>
              <w:bottom w:val="single" w:color="auto" w:sz="4" w:space="0"/>
              <w:right w:val="single" w:color="auto" w:sz="4" w:space="0"/>
            </w:tcBorders>
            <w:vAlign w:val="center"/>
          </w:tcPr>
          <w:p w14:paraId="266ED819">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485" w:type="dxa"/>
            <w:tcBorders>
              <w:top w:val="single" w:color="auto" w:sz="4" w:space="0"/>
              <w:left w:val="single" w:color="auto" w:sz="4" w:space="0"/>
              <w:bottom w:val="single" w:color="auto" w:sz="4" w:space="0"/>
              <w:right w:val="single" w:color="auto" w:sz="4" w:space="0"/>
            </w:tcBorders>
            <w:vAlign w:val="center"/>
          </w:tcPr>
          <w:p w14:paraId="7EA7CF32">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14:paraId="67125140">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108" w:type="dxa"/>
            <w:tcBorders>
              <w:top w:val="single" w:color="auto" w:sz="4" w:space="0"/>
              <w:left w:val="single" w:color="auto" w:sz="4" w:space="0"/>
              <w:bottom w:val="single" w:color="auto" w:sz="4" w:space="0"/>
              <w:right w:val="single" w:color="auto" w:sz="4" w:space="0"/>
            </w:tcBorders>
            <w:vAlign w:val="center"/>
          </w:tcPr>
          <w:p w14:paraId="76EBB219">
            <w:pPr>
              <w:pStyle w:val="52"/>
              <w:tabs>
                <w:tab w:val="left" w:pos="522"/>
              </w:tabs>
              <w:spacing w:before="0" w:beforeAutospacing="0" w:after="0" w:afterAutospacing="0" w:line="520" w:lineRule="exact"/>
              <w:jc w:val="left"/>
              <w:rPr>
                <w:rFonts w:hint="default" w:ascii="仿宋" w:hAnsi="仿宋" w:eastAsia="仿宋"/>
                <w:kern w:val="2"/>
                <w:sz w:val="21"/>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30B44376">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14:paraId="78DA9332">
            <w:pPr>
              <w:pStyle w:val="52"/>
              <w:spacing w:before="0" w:beforeAutospacing="0" w:after="0" w:afterAutospacing="0" w:line="520" w:lineRule="exact"/>
              <w:jc w:val="center"/>
              <w:rPr>
                <w:rFonts w:ascii="仿宋" w:hAnsi="仿宋" w:eastAsia="仿宋"/>
                <w:kern w:val="2"/>
                <w:sz w:val="21"/>
                <w:szCs w:val="21"/>
                <w:highlight w:val="none"/>
              </w:rPr>
            </w:pPr>
          </w:p>
        </w:tc>
      </w:tr>
      <w:tr w14:paraId="724A4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2" w:type="dxa"/>
            <w:tcBorders>
              <w:top w:val="single" w:color="auto" w:sz="4" w:space="0"/>
              <w:left w:val="single" w:color="auto" w:sz="4" w:space="0"/>
              <w:bottom w:val="single" w:color="auto" w:sz="4" w:space="0"/>
              <w:right w:val="single" w:color="auto" w:sz="4" w:space="0"/>
            </w:tcBorders>
            <w:vAlign w:val="center"/>
          </w:tcPr>
          <w:p w14:paraId="3E389DB7">
            <w:pPr>
              <w:spacing w:line="520" w:lineRule="exact"/>
              <w:jc w:val="center"/>
              <w:rPr>
                <w:rFonts w:ascii="仿宋" w:hAnsi="仿宋" w:eastAsia="仿宋" w:cs="宋体"/>
                <w:szCs w:val="21"/>
                <w:highlight w:val="none"/>
              </w:rPr>
            </w:pPr>
            <w:r>
              <w:rPr>
                <w:rFonts w:hint="eastAsia" w:ascii="仿宋" w:hAnsi="仿宋" w:eastAsia="仿宋" w:cs="宋体"/>
                <w:szCs w:val="21"/>
                <w:highlight w:val="none"/>
              </w:rPr>
              <w:t>合计</w:t>
            </w:r>
          </w:p>
        </w:tc>
        <w:tc>
          <w:tcPr>
            <w:tcW w:w="13828" w:type="dxa"/>
            <w:gridSpan w:val="10"/>
            <w:tcBorders>
              <w:top w:val="single" w:color="auto" w:sz="4" w:space="0"/>
              <w:left w:val="single" w:color="auto" w:sz="4" w:space="0"/>
              <w:bottom w:val="single" w:color="auto" w:sz="4" w:space="0"/>
              <w:right w:val="single" w:color="auto" w:sz="4" w:space="0"/>
            </w:tcBorders>
            <w:vAlign w:val="center"/>
          </w:tcPr>
          <w:p w14:paraId="4538B921">
            <w:pPr>
              <w:spacing w:line="520" w:lineRule="exact"/>
              <w:jc w:val="center"/>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除税合计：      （¥：    元）</w:t>
            </w:r>
          </w:p>
          <w:p w14:paraId="7A6C5365">
            <w:pPr>
              <w:pStyle w:val="20"/>
              <w:jc w:val="center"/>
              <w:rPr>
                <w:rFonts w:hint="default"/>
                <w:highlight w:val="none"/>
                <w:lang w:val="en-US" w:eastAsia="zh-CN"/>
              </w:rPr>
            </w:pPr>
            <w:r>
              <w:rPr>
                <w:rFonts w:hint="eastAsia" w:ascii="仿宋" w:hAnsi="仿宋" w:eastAsia="仿宋"/>
                <w:sz w:val="24"/>
                <w:szCs w:val="24"/>
                <w:highlight w:val="none"/>
                <w:lang w:val="en-US" w:eastAsia="zh-CN"/>
              </w:rPr>
              <w:t>含税合计：      （¥      元）</w:t>
            </w:r>
          </w:p>
        </w:tc>
      </w:tr>
      <w:tr w14:paraId="0A79F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2" w:type="dxa"/>
            <w:tcBorders>
              <w:top w:val="single" w:color="auto" w:sz="4" w:space="0"/>
              <w:left w:val="single" w:color="auto" w:sz="4" w:space="0"/>
              <w:bottom w:val="single" w:color="auto" w:sz="4" w:space="0"/>
              <w:right w:val="single" w:color="auto" w:sz="4" w:space="0"/>
            </w:tcBorders>
            <w:vAlign w:val="center"/>
          </w:tcPr>
          <w:p w14:paraId="35E12E31">
            <w:pPr>
              <w:spacing w:line="520" w:lineRule="exact"/>
              <w:jc w:val="center"/>
              <w:rPr>
                <w:rFonts w:ascii="仿宋" w:hAnsi="仿宋" w:eastAsia="仿宋" w:cs="宋体"/>
                <w:szCs w:val="21"/>
                <w:highlight w:val="none"/>
              </w:rPr>
            </w:pPr>
            <w:r>
              <w:rPr>
                <w:rFonts w:hint="eastAsia" w:ascii="仿宋" w:hAnsi="仿宋" w:eastAsia="仿宋" w:cs="宋体"/>
                <w:szCs w:val="21"/>
                <w:highlight w:val="none"/>
              </w:rPr>
              <w:t>备注</w:t>
            </w:r>
          </w:p>
        </w:tc>
        <w:tc>
          <w:tcPr>
            <w:tcW w:w="13828" w:type="dxa"/>
            <w:gridSpan w:val="10"/>
            <w:tcBorders>
              <w:top w:val="single" w:color="auto" w:sz="4" w:space="0"/>
              <w:left w:val="single" w:color="auto" w:sz="4" w:space="0"/>
              <w:bottom w:val="single" w:color="auto" w:sz="4" w:space="0"/>
              <w:right w:val="single" w:color="auto" w:sz="4" w:space="0"/>
            </w:tcBorders>
            <w:vAlign w:val="center"/>
          </w:tcPr>
          <w:p w14:paraId="063508C0">
            <w:pPr>
              <w:spacing w:line="520" w:lineRule="exact"/>
              <w:jc w:val="left"/>
              <w:rPr>
                <w:rFonts w:ascii="仿宋" w:hAnsi="仿宋" w:eastAsia="仿宋" w:cs="宋体"/>
                <w:szCs w:val="21"/>
                <w:highlight w:val="none"/>
              </w:rPr>
            </w:pPr>
          </w:p>
        </w:tc>
      </w:tr>
    </w:tbl>
    <w:p w14:paraId="2AFE9D8A">
      <w:pPr>
        <w:pStyle w:val="23"/>
        <w:rPr>
          <w:rFonts w:hint="eastAsia"/>
          <w:highlight w:val="none"/>
        </w:rPr>
        <w:sectPr>
          <w:pgSz w:w="16838" w:h="11906" w:orient="landscape"/>
          <w:pgMar w:top="1083" w:right="1440" w:bottom="1083" w:left="1440" w:header="851" w:footer="992" w:gutter="0"/>
          <w:pgNumType w:fmt="decimal"/>
          <w:cols w:space="720" w:num="1"/>
          <w:docGrid w:type="lines" w:linePitch="314" w:charSpace="0"/>
        </w:sectPr>
      </w:pPr>
    </w:p>
    <w:bookmarkEnd w:id="92"/>
    <w:p w14:paraId="6F2AB7B5">
      <w:pPr>
        <w:pStyle w:val="31"/>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投标偏离表</w:t>
      </w:r>
    </w:p>
    <w:p w14:paraId="1D4C7455">
      <w:pPr>
        <w:shd w:val="clear"/>
        <w:spacing w:line="360" w:lineRule="exact"/>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tbl>
      <w:tblPr>
        <w:tblStyle w:val="55"/>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4738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46525FF5">
            <w:pPr>
              <w:pStyle w:val="31"/>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228" w:type="dxa"/>
            <w:gridSpan w:val="2"/>
            <w:vAlign w:val="center"/>
          </w:tcPr>
          <w:p w14:paraId="4A358069">
            <w:pPr>
              <w:pStyle w:val="31"/>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959" w:type="dxa"/>
            <w:gridSpan w:val="2"/>
            <w:vAlign w:val="center"/>
          </w:tcPr>
          <w:p w14:paraId="65C9DEBB">
            <w:pPr>
              <w:pStyle w:val="31"/>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850" w:type="dxa"/>
            <w:vMerge w:val="restart"/>
            <w:vAlign w:val="center"/>
          </w:tcPr>
          <w:p w14:paraId="042C6C02">
            <w:pPr>
              <w:pStyle w:val="31"/>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1C913053">
            <w:pPr>
              <w:pStyle w:val="31"/>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r>
      <w:tr w14:paraId="7039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172FD7F1">
            <w:pPr>
              <w:pStyle w:val="31"/>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8433E20">
            <w:pPr>
              <w:pStyle w:val="31"/>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857" w:type="dxa"/>
            <w:vAlign w:val="center"/>
          </w:tcPr>
          <w:p w14:paraId="2EA33A80">
            <w:pPr>
              <w:pStyle w:val="31"/>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招标文件的内容</w:t>
            </w:r>
          </w:p>
        </w:tc>
        <w:tc>
          <w:tcPr>
            <w:tcW w:w="1323" w:type="dxa"/>
            <w:vAlign w:val="center"/>
          </w:tcPr>
          <w:p w14:paraId="6940322D">
            <w:pPr>
              <w:pStyle w:val="31"/>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636" w:type="dxa"/>
            <w:vAlign w:val="center"/>
          </w:tcPr>
          <w:p w14:paraId="1124D11F">
            <w:pPr>
              <w:pStyle w:val="31"/>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850" w:type="dxa"/>
            <w:vMerge w:val="continue"/>
          </w:tcPr>
          <w:p w14:paraId="3AC0D343">
            <w:pPr>
              <w:pStyle w:val="31"/>
              <w:shd w:val="clear"/>
              <w:spacing w:line="400" w:lineRule="exact"/>
              <w:jc w:val="center"/>
              <w:rPr>
                <w:rFonts w:hint="eastAsia" w:ascii="仿宋" w:hAnsi="仿宋" w:eastAsia="仿宋" w:cs="仿宋"/>
                <w:color w:val="auto"/>
                <w:sz w:val="28"/>
                <w:szCs w:val="28"/>
                <w:highlight w:val="none"/>
              </w:rPr>
            </w:pPr>
          </w:p>
        </w:tc>
      </w:tr>
      <w:tr w14:paraId="64DD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0DAFB19">
            <w:pPr>
              <w:pStyle w:val="31"/>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976F355">
            <w:pPr>
              <w:pStyle w:val="31"/>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6C001F6C">
            <w:pPr>
              <w:pStyle w:val="31"/>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3E3F2966">
            <w:pPr>
              <w:pStyle w:val="31"/>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7F14BAA">
            <w:pPr>
              <w:pStyle w:val="31"/>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F20AD05">
            <w:pPr>
              <w:pStyle w:val="31"/>
              <w:shd w:val="clear"/>
              <w:spacing w:line="400" w:lineRule="exact"/>
              <w:jc w:val="center"/>
              <w:rPr>
                <w:rFonts w:hint="eastAsia" w:ascii="仿宋" w:hAnsi="仿宋" w:eastAsia="仿宋" w:cs="仿宋"/>
                <w:color w:val="auto"/>
                <w:sz w:val="28"/>
                <w:szCs w:val="28"/>
                <w:highlight w:val="none"/>
              </w:rPr>
            </w:pPr>
          </w:p>
        </w:tc>
      </w:tr>
      <w:tr w14:paraId="6CCE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BB06C8A">
            <w:pPr>
              <w:pStyle w:val="31"/>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34B8ACCE">
            <w:pPr>
              <w:pStyle w:val="31"/>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6A91C8D">
            <w:pPr>
              <w:pStyle w:val="31"/>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651E8DE9">
            <w:pPr>
              <w:pStyle w:val="31"/>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3985D92">
            <w:pPr>
              <w:pStyle w:val="31"/>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ABCFDC7">
            <w:pPr>
              <w:pStyle w:val="31"/>
              <w:shd w:val="clear"/>
              <w:spacing w:line="400" w:lineRule="exact"/>
              <w:jc w:val="center"/>
              <w:rPr>
                <w:rFonts w:hint="eastAsia" w:ascii="仿宋" w:hAnsi="仿宋" w:eastAsia="仿宋" w:cs="仿宋"/>
                <w:color w:val="auto"/>
                <w:sz w:val="28"/>
                <w:szCs w:val="28"/>
                <w:highlight w:val="none"/>
              </w:rPr>
            </w:pPr>
          </w:p>
        </w:tc>
      </w:tr>
      <w:tr w14:paraId="2D7E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C7F285A">
            <w:pPr>
              <w:pStyle w:val="31"/>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8EB62B3">
            <w:pPr>
              <w:pStyle w:val="31"/>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3E57BB7">
            <w:pPr>
              <w:pStyle w:val="31"/>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3F63EAD">
            <w:pPr>
              <w:pStyle w:val="31"/>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47CEA7B4">
            <w:pPr>
              <w:pStyle w:val="31"/>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69CF0054">
            <w:pPr>
              <w:pStyle w:val="31"/>
              <w:shd w:val="clear"/>
              <w:spacing w:line="400" w:lineRule="exact"/>
              <w:jc w:val="center"/>
              <w:rPr>
                <w:rFonts w:hint="eastAsia" w:ascii="仿宋" w:hAnsi="仿宋" w:eastAsia="仿宋" w:cs="仿宋"/>
                <w:color w:val="auto"/>
                <w:sz w:val="28"/>
                <w:szCs w:val="28"/>
                <w:highlight w:val="none"/>
              </w:rPr>
            </w:pPr>
          </w:p>
        </w:tc>
      </w:tr>
      <w:tr w14:paraId="51C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EC3FFA4">
            <w:pPr>
              <w:pStyle w:val="31"/>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51CF9E5B">
            <w:pPr>
              <w:pStyle w:val="31"/>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5B1EF07">
            <w:pPr>
              <w:pStyle w:val="31"/>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B7F09D3">
            <w:pPr>
              <w:pStyle w:val="31"/>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4220933">
            <w:pPr>
              <w:pStyle w:val="31"/>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F7B5C36">
            <w:pPr>
              <w:pStyle w:val="31"/>
              <w:shd w:val="clear"/>
              <w:spacing w:line="400" w:lineRule="exact"/>
              <w:jc w:val="center"/>
              <w:rPr>
                <w:rFonts w:hint="eastAsia" w:ascii="仿宋" w:hAnsi="仿宋" w:eastAsia="仿宋" w:cs="仿宋"/>
                <w:color w:val="auto"/>
                <w:sz w:val="28"/>
                <w:szCs w:val="28"/>
                <w:highlight w:val="none"/>
              </w:rPr>
            </w:pPr>
          </w:p>
        </w:tc>
      </w:tr>
      <w:tr w14:paraId="077B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76397069">
            <w:pPr>
              <w:pStyle w:val="31"/>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FFE43EE">
            <w:pPr>
              <w:pStyle w:val="31"/>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B118B7D">
            <w:pPr>
              <w:pStyle w:val="31"/>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2DB2992">
            <w:pPr>
              <w:pStyle w:val="31"/>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CBF5600">
            <w:pPr>
              <w:pStyle w:val="31"/>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573D5296">
            <w:pPr>
              <w:pStyle w:val="31"/>
              <w:shd w:val="clear"/>
              <w:spacing w:line="400" w:lineRule="exact"/>
              <w:jc w:val="center"/>
              <w:rPr>
                <w:rFonts w:hint="eastAsia" w:ascii="仿宋" w:hAnsi="仿宋" w:eastAsia="仿宋" w:cs="仿宋"/>
                <w:color w:val="auto"/>
                <w:sz w:val="28"/>
                <w:szCs w:val="28"/>
                <w:highlight w:val="none"/>
              </w:rPr>
            </w:pPr>
          </w:p>
        </w:tc>
      </w:tr>
      <w:tr w14:paraId="7B21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vAlign w:val="center"/>
          </w:tcPr>
          <w:p w14:paraId="24722824">
            <w:pPr>
              <w:pStyle w:val="31"/>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DD5D794">
            <w:pPr>
              <w:pStyle w:val="31"/>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06ABA3E">
            <w:pPr>
              <w:pStyle w:val="31"/>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2EC63B77">
            <w:pPr>
              <w:pStyle w:val="31"/>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BDEFD03">
            <w:pPr>
              <w:pStyle w:val="31"/>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390E32D">
            <w:pPr>
              <w:pStyle w:val="31"/>
              <w:shd w:val="clear"/>
              <w:spacing w:line="400" w:lineRule="exact"/>
              <w:jc w:val="center"/>
              <w:rPr>
                <w:rFonts w:hint="eastAsia" w:ascii="仿宋" w:hAnsi="仿宋" w:eastAsia="仿宋" w:cs="仿宋"/>
                <w:color w:val="auto"/>
                <w:sz w:val="28"/>
                <w:szCs w:val="28"/>
                <w:highlight w:val="none"/>
              </w:rPr>
            </w:pPr>
          </w:p>
        </w:tc>
      </w:tr>
      <w:tr w14:paraId="0AFB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vAlign w:val="center"/>
          </w:tcPr>
          <w:p w14:paraId="49DB922E">
            <w:pPr>
              <w:pStyle w:val="31"/>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5E38638">
            <w:pPr>
              <w:pStyle w:val="31"/>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49C8013">
            <w:pPr>
              <w:pStyle w:val="31"/>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ECEFC55">
            <w:pPr>
              <w:pStyle w:val="31"/>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11D5C4D6">
            <w:pPr>
              <w:pStyle w:val="31"/>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AAB21FE">
            <w:pPr>
              <w:pStyle w:val="31"/>
              <w:shd w:val="clear"/>
              <w:spacing w:line="400" w:lineRule="exact"/>
              <w:jc w:val="center"/>
              <w:rPr>
                <w:rFonts w:hint="eastAsia" w:ascii="仿宋" w:hAnsi="仿宋" w:eastAsia="仿宋" w:cs="仿宋"/>
                <w:color w:val="auto"/>
                <w:sz w:val="28"/>
                <w:szCs w:val="28"/>
                <w:highlight w:val="none"/>
              </w:rPr>
            </w:pPr>
          </w:p>
        </w:tc>
      </w:tr>
      <w:tr w14:paraId="7627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vAlign w:val="center"/>
          </w:tcPr>
          <w:p w14:paraId="3F848090">
            <w:pPr>
              <w:pStyle w:val="31"/>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0E6F8307">
            <w:pPr>
              <w:pStyle w:val="31"/>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CB5312A">
            <w:pPr>
              <w:pStyle w:val="31"/>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17BC5378">
            <w:pPr>
              <w:pStyle w:val="31"/>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2787145">
            <w:pPr>
              <w:pStyle w:val="31"/>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ECEC4DB">
            <w:pPr>
              <w:pStyle w:val="31"/>
              <w:shd w:val="clear"/>
              <w:spacing w:line="400" w:lineRule="exact"/>
              <w:jc w:val="center"/>
              <w:rPr>
                <w:rFonts w:hint="eastAsia" w:ascii="仿宋" w:hAnsi="仿宋" w:eastAsia="仿宋" w:cs="仿宋"/>
                <w:color w:val="auto"/>
                <w:sz w:val="28"/>
                <w:szCs w:val="28"/>
                <w:highlight w:val="none"/>
              </w:rPr>
            </w:pPr>
          </w:p>
        </w:tc>
      </w:tr>
      <w:tr w14:paraId="25B0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vAlign w:val="center"/>
          </w:tcPr>
          <w:p w14:paraId="5C7F97AE">
            <w:pPr>
              <w:pStyle w:val="31"/>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5C2A024">
            <w:pPr>
              <w:pStyle w:val="31"/>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5D34F0BF">
            <w:pPr>
              <w:pStyle w:val="31"/>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484A0BBA">
            <w:pPr>
              <w:pStyle w:val="31"/>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0ED79B12">
            <w:pPr>
              <w:pStyle w:val="31"/>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2BEDC7F">
            <w:pPr>
              <w:pStyle w:val="31"/>
              <w:shd w:val="clear"/>
              <w:spacing w:line="400" w:lineRule="exact"/>
              <w:jc w:val="center"/>
              <w:rPr>
                <w:rFonts w:hint="eastAsia" w:ascii="仿宋" w:hAnsi="仿宋" w:eastAsia="仿宋" w:cs="仿宋"/>
                <w:color w:val="auto"/>
                <w:sz w:val="28"/>
                <w:szCs w:val="28"/>
                <w:highlight w:val="none"/>
              </w:rPr>
            </w:pPr>
          </w:p>
        </w:tc>
      </w:tr>
    </w:tbl>
    <w:p w14:paraId="700AA788">
      <w:pPr>
        <w:pStyle w:val="31"/>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0DEB225F">
      <w:pPr>
        <w:pStyle w:val="19"/>
        <w:shd w:val="clear"/>
        <w:spacing w:line="360" w:lineRule="auto"/>
        <w:rPr>
          <w:rFonts w:hint="eastAsia" w:ascii="仿宋" w:hAnsi="仿宋" w:eastAsia="仿宋" w:cs="仿宋"/>
          <w:color w:val="auto"/>
          <w:highlight w:val="none"/>
        </w:rPr>
      </w:pPr>
    </w:p>
    <w:p w14:paraId="0E855818">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50E47AD">
      <w:pPr>
        <w:pStyle w:val="31"/>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p>
    <w:p w14:paraId="60138AE5">
      <w:pP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br w:type="page"/>
      </w:r>
    </w:p>
    <w:p w14:paraId="5D34970A">
      <w:pPr>
        <w:pStyle w:val="31"/>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投标人信用承诺书</w:t>
      </w:r>
    </w:p>
    <w:p w14:paraId="7AA4D9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859F51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7D66BA2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104FD21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1B1C28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3BCEB6D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757D702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51D19CB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033D162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00B9B2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0BD8EA9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215E5C10">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B6312B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、本《信用承诺书》同意向社会公开。</w:t>
      </w:r>
    </w:p>
    <w:p w14:paraId="7E1DD13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38609323">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                          （盖章）</w:t>
      </w:r>
    </w:p>
    <w:p w14:paraId="2263EE7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年    月    日</w:t>
      </w:r>
      <w:bookmarkStart w:id="94" w:name="_Toc130651408"/>
    </w:p>
    <w:p w14:paraId="068436B4">
      <w:pPr>
        <w:shd w:val="clea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br w:type="page"/>
      </w:r>
    </w:p>
    <w:bookmarkEnd w:id="91"/>
    <w:bookmarkEnd w:id="93"/>
    <w:bookmarkEnd w:id="94"/>
    <w:p w14:paraId="46D343DD">
      <w:pPr>
        <w:keepNext/>
        <w:keepLines/>
        <w:spacing w:before="120" w:after="120" w:line="560" w:lineRule="exact"/>
        <w:jc w:val="center"/>
        <w:outlineLvl w:val="1"/>
        <w:rPr>
          <w:rFonts w:hint="eastAsia" w:ascii="宋体" w:hAnsi="宋体" w:eastAsia="宋体" w:cs="宋体"/>
          <w:b/>
          <w:bCs/>
          <w:sz w:val="44"/>
          <w:szCs w:val="44"/>
          <w:highlight w:val="none"/>
        </w:rPr>
      </w:pPr>
      <w:r>
        <w:rPr>
          <w:rFonts w:hint="eastAsia" w:ascii="宋体" w:hAnsi="宋体" w:cs="宋体"/>
          <w:b/>
          <w:bCs/>
          <w:color w:val="000000"/>
          <w:sz w:val="44"/>
          <w:szCs w:val="44"/>
          <w:highlight w:val="none"/>
          <w:lang w:val="en-US" w:eastAsia="zh-CN"/>
        </w:rPr>
        <w:t xml:space="preserve"> </w:t>
      </w:r>
      <w:r>
        <w:rPr>
          <w:rFonts w:hint="eastAsia" w:ascii="仿宋" w:hAnsi="仿宋" w:eastAsia="仿宋" w:cs="仿宋"/>
          <w:b/>
          <w:bCs/>
          <w:color w:val="auto"/>
          <w:kern w:val="2"/>
          <w:sz w:val="48"/>
          <w:szCs w:val="48"/>
          <w:highlight w:val="none"/>
          <w:lang w:val="en-US" w:eastAsia="zh-CN" w:bidi="ar-SA"/>
        </w:rPr>
        <w:t>投标人资格证明文件</w:t>
      </w:r>
    </w:p>
    <w:p w14:paraId="46CEEDC9">
      <w:pPr>
        <w:keepNext/>
        <w:keepLines/>
        <w:spacing w:before="120" w:after="120" w:line="560" w:lineRule="exact"/>
        <w:jc w:val="center"/>
        <w:outlineLvl w:val="1"/>
        <w:rPr>
          <w:rFonts w:hint="eastAsia" w:ascii="仿宋" w:hAnsi="仿宋" w:eastAsia="仿宋" w:cs="仿宋"/>
          <w:bCs/>
          <w:color w:val="auto"/>
          <w:kern w:val="2"/>
          <w:sz w:val="36"/>
          <w:szCs w:val="36"/>
          <w:highlight w:val="none"/>
          <w:lang w:val="en-US" w:eastAsia="zh-CN" w:bidi="ar-SA"/>
        </w:rPr>
      </w:pPr>
      <w:r>
        <w:rPr>
          <w:rFonts w:hint="eastAsia" w:ascii="仿宋" w:hAnsi="仿宋" w:eastAsia="仿宋" w:cs="仿宋"/>
          <w:bCs/>
          <w:color w:val="auto"/>
          <w:kern w:val="2"/>
          <w:sz w:val="36"/>
          <w:szCs w:val="36"/>
          <w:highlight w:val="none"/>
          <w:lang w:val="en-US" w:eastAsia="zh-CN" w:bidi="ar-SA"/>
        </w:rPr>
        <w:t>有效的营业执照扫描件</w:t>
      </w:r>
    </w:p>
    <w:p w14:paraId="0EC21D39">
      <w:pPr>
        <w:keepNext/>
        <w:keepLines/>
        <w:spacing w:before="120" w:after="120" w:line="560" w:lineRule="exact"/>
        <w:jc w:val="center"/>
        <w:outlineLvl w:val="1"/>
        <w:rPr>
          <w:rFonts w:hint="eastAsia" w:ascii="宋体" w:hAnsi="宋体" w:eastAsia="宋体" w:cs="宋体"/>
          <w:b/>
          <w:bCs/>
          <w:sz w:val="36"/>
          <w:szCs w:val="36"/>
          <w:highlight w:val="none"/>
        </w:rPr>
      </w:pPr>
      <w:r>
        <w:rPr>
          <w:rFonts w:hint="eastAsia" w:ascii="仿宋" w:hAnsi="仿宋" w:eastAsia="仿宋" w:cs="仿宋"/>
          <w:color w:val="000000" w:themeColor="text1"/>
          <w:sz w:val="28"/>
          <w:szCs w:val="28"/>
          <w:highlight w:val="none"/>
          <w:lang w:eastAsia="zh-CN"/>
        </w:rPr>
        <w:t>（若为代理商须提供制造商的授权书）</w:t>
      </w:r>
    </w:p>
    <w:p w14:paraId="350189CD">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3EBCDD75">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A9DF62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71EB383D">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2FAAEF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EE7C86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42B400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726094D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14987C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5AEB431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F18227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A446EE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4C2EA22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7168F2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46F836D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5BBD7AB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D3070D3">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785BE13">
      <w:pPr>
        <w:pStyle w:val="51"/>
        <w:rPr>
          <w:rFonts w:hint="eastAsia" w:ascii="仿宋" w:hAnsi="仿宋" w:eastAsia="仿宋" w:cs="仿宋"/>
          <w:bCs/>
          <w:color w:val="auto"/>
          <w:kern w:val="2"/>
          <w:sz w:val="36"/>
          <w:szCs w:val="24"/>
          <w:highlight w:val="none"/>
          <w:lang w:val="en-US" w:eastAsia="zh-CN" w:bidi="ar-SA"/>
        </w:rPr>
      </w:pPr>
    </w:p>
    <w:p w14:paraId="64BE915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法定代表人身份证明</w:t>
      </w:r>
    </w:p>
    <w:p w14:paraId="00FAEC2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99FCCF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141F87D">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p>
    <w:p w14:paraId="49574645">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28CD0A9">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1FFCB578">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2F797A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（投标人名称）的法定代表人。</w:t>
      </w:r>
    </w:p>
    <w:p w14:paraId="472E402B">
      <w:pPr>
        <w:shd w:val="clea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4B27225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7431EDF0">
      <w:pPr>
        <w:pStyle w:val="31"/>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530F10D">
      <w:pPr>
        <w:pStyle w:val="31"/>
        <w:shd w:val="clear"/>
        <w:spacing w:line="360" w:lineRule="auto"/>
        <w:ind w:firstLine="560" w:firstLineChars="200"/>
        <w:jc w:val="center"/>
        <w:rPr>
          <w:rFonts w:hint="eastAsia" w:ascii="仿宋" w:hAnsi="仿宋" w:eastAsia="仿宋" w:cs="仿宋"/>
          <w:color w:val="auto"/>
          <w:sz w:val="28"/>
          <w:szCs w:val="28"/>
          <w:highlight w:val="none"/>
        </w:rPr>
      </w:pPr>
    </w:p>
    <w:p w14:paraId="53CF24F1">
      <w:pPr>
        <w:pStyle w:val="31"/>
        <w:shd w:val="clear"/>
        <w:spacing w:line="360" w:lineRule="auto"/>
        <w:ind w:firstLine="560" w:firstLineChars="200"/>
        <w:jc w:val="center"/>
        <w:rPr>
          <w:rFonts w:hint="eastAsia" w:ascii="仿宋" w:hAnsi="仿宋" w:eastAsia="仿宋" w:cs="仿宋"/>
          <w:color w:val="auto"/>
          <w:sz w:val="28"/>
          <w:szCs w:val="28"/>
          <w:highlight w:val="none"/>
        </w:rPr>
      </w:pPr>
    </w:p>
    <w:tbl>
      <w:tblPr>
        <w:tblStyle w:val="55"/>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4EFE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227CEE87">
            <w:pPr>
              <w:pStyle w:val="52"/>
              <w:shd w:val="clear"/>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（法定代表人身份证扫描件）</w:t>
            </w:r>
          </w:p>
        </w:tc>
      </w:tr>
    </w:tbl>
    <w:p w14:paraId="0D23D3EA">
      <w:pPr>
        <w:pStyle w:val="31"/>
        <w:shd w:val="clear"/>
        <w:ind w:firstLine="420" w:firstLineChars="200"/>
        <w:jc w:val="center"/>
        <w:rPr>
          <w:rFonts w:hint="eastAsia" w:ascii="仿宋" w:hAnsi="仿宋" w:eastAsia="仿宋" w:cs="仿宋"/>
          <w:color w:val="auto"/>
          <w:highlight w:val="none"/>
        </w:rPr>
      </w:pPr>
    </w:p>
    <w:p w14:paraId="23293FA3">
      <w:pPr>
        <w:pStyle w:val="31"/>
        <w:shd w:val="clear"/>
        <w:ind w:firstLine="420" w:firstLineChars="200"/>
        <w:jc w:val="center"/>
        <w:rPr>
          <w:rFonts w:hint="eastAsia" w:ascii="仿宋" w:hAnsi="仿宋" w:eastAsia="仿宋" w:cs="仿宋"/>
          <w:color w:val="auto"/>
          <w:highlight w:val="none"/>
        </w:rPr>
      </w:pPr>
    </w:p>
    <w:p w14:paraId="246AA20F">
      <w:pPr>
        <w:pStyle w:val="31"/>
        <w:shd w:val="clear"/>
        <w:ind w:firstLine="420" w:firstLineChars="200"/>
        <w:jc w:val="center"/>
        <w:rPr>
          <w:rFonts w:hint="eastAsia" w:ascii="仿宋" w:hAnsi="仿宋" w:eastAsia="仿宋" w:cs="仿宋"/>
          <w:color w:val="auto"/>
          <w:highlight w:val="none"/>
        </w:rPr>
      </w:pPr>
    </w:p>
    <w:p w14:paraId="55B00A81">
      <w:pPr>
        <w:pStyle w:val="31"/>
        <w:shd w:val="clear"/>
        <w:ind w:firstLine="420" w:firstLineChars="200"/>
        <w:jc w:val="center"/>
        <w:rPr>
          <w:rFonts w:hint="eastAsia" w:ascii="仿宋" w:hAnsi="仿宋" w:eastAsia="仿宋" w:cs="仿宋"/>
          <w:color w:val="auto"/>
          <w:highlight w:val="none"/>
        </w:rPr>
      </w:pPr>
    </w:p>
    <w:p w14:paraId="1C9919D8">
      <w:pPr>
        <w:shd w:val="clear"/>
        <w:rPr>
          <w:rFonts w:hint="eastAsia" w:ascii="仿宋" w:hAnsi="仿宋" w:eastAsia="仿宋" w:cs="仿宋"/>
          <w:color w:val="auto"/>
          <w:highlight w:val="none"/>
        </w:rPr>
      </w:pPr>
    </w:p>
    <w:p w14:paraId="1E5DC9FD">
      <w:pPr>
        <w:shd w:val="clear"/>
        <w:rPr>
          <w:rFonts w:hint="eastAsia" w:ascii="仿宋" w:hAnsi="仿宋" w:eastAsia="仿宋" w:cs="仿宋"/>
          <w:color w:val="auto"/>
          <w:highlight w:val="none"/>
        </w:rPr>
      </w:pPr>
    </w:p>
    <w:p w14:paraId="593B7178">
      <w:pPr>
        <w:shd w:val="clear"/>
        <w:rPr>
          <w:rFonts w:hint="eastAsia" w:ascii="仿宋" w:hAnsi="仿宋" w:eastAsia="仿宋" w:cs="仿宋"/>
          <w:color w:val="auto"/>
          <w:highlight w:val="none"/>
        </w:rPr>
      </w:pPr>
    </w:p>
    <w:p w14:paraId="191BEBFF">
      <w:pPr>
        <w:shd w:val="clear"/>
        <w:rPr>
          <w:rFonts w:hint="eastAsia" w:ascii="仿宋" w:hAnsi="仿宋" w:eastAsia="仿宋" w:cs="仿宋"/>
          <w:color w:val="auto"/>
          <w:highlight w:val="none"/>
        </w:rPr>
      </w:pPr>
    </w:p>
    <w:p w14:paraId="482044E2">
      <w:pPr>
        <w:shd w:val="clear"/>
        <w:rPr>
          <w:rFonts w:hint="eastAsia" w:ascii="仿宋" w:hAnsi="仿宋" w:eastAsia="仿宋" w:cs="仿宋"/>
          <w:color w:val="auto"/>
          <w:highlight w:val="none"/>
        </w:rPr>
      </w:pPr>
    </w:p>
    <w:p w14:paraId="293D6B8B">
      <w:pPr>
        <w:shd w:val="clear"/>
        <w:rPr>
          <w:rFonts w:hint="eastAsia" w:ascii="仿宋" w:hAnsi="仿宋" w:eastAsia="仿宋" w:cs="仿宋"/>
          <w:color w:val="auto"/>
          <w:highlight w:val="none"/>
        </w:rPr>
      </w:pPr>
    </w:p>
    <w:p w14:paraId="6AB8D53D">
      <w:pPr>
        <w:shd w:val="clear"/>
        <w:jc w:val="center"/>
        <w:rPr>
          <w:rFonts w:hint="eastAsia" w:ascii="仿宋" w:hAnsi="仿宋" w:eastAsia="仿宋" w:cs="仿宋"/>
          <w:color w:val="auto"/>
          <w:highlight w:val="none"/>
        </w:rPr>
      </w:pPr>
    </w:p>
    <w:p w14:paraId="140DBF4F">
      <w:pPr>
        <w:pStyle w:val="19"/>
        <w:shd w:val="clear"/>
        <w:rPr>
          <w:rFonts w:hint="eastAsia" w:ascii="仿宋" w:hAnsi="仿宋" w:eastAsia="仿宋" w:cs="仿宋"/>
          <w:color w:val="auto"/>
          <w:highlight w:val="none"/>
        </w:rPr>
      </w:pPr>
    </w:p>
    <w:p w14:paraId="3B237B47">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21032AE">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法定代表人授权委托书</w:t>
      </w:r>
    </w:p>
    <w:p w14:paraId="069AD6E3">
      <w:pPr>
        <w:widowControl/>
        <w:shd w:val="clear"/>
        <w:adjustRightIn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 xml:space="preserve">（手机号码） </w:t>
      </w:r>
      <w:r>
        <w:rPr>
          <w:rFonts w:hint="eastAsia" w:ascii="仿宋" w:hAnsi="仿宋" w:eastAsia="仿宋" w:cs="仿宋"/>
          <w:color w:val="auto"/>
          <w:sz w:val="28"/>
          <w:szCs w:val="28"/>
          <w:highlight w:val="none"/>
        </w:rPr>
        <w:t>邮箱号为为本公司的合法代理人，参加编号为</w:t>
      </w:r>
      <w:r>
        <w:rPr>
          <w:rFonts w:hint="eastAsia" w:ascii="仿宋" w:hAnsi="仿宋" w:eastAsia="仿宋" w:cs="仿宋"/>
          <w:color w:val="auto"/>
          <w:spacing w:val="8"/>
          <w:kern w:val="0"/>
          <w:sz w:val="28"/>
          <w:szCs w:val="28"/>
          <w:highlight w:val="none"/>
          <w:u w:val="single"/>
          <w:lang w:eastAsia="zh-CN"/>
        </w:rPr>
        <w:t>WHSW-JPS2026-005</w:t>
      </w:r>
      <w:r>
        <w:rPr>
          <w:rFonts w:hint="eastAsia" w:ascii="仿宋" w:hAnsi="仿宋" w:eastAsia="仿宋" w:cs="仿宋"/>
          <w:color w:val="auto"/>
          <w:sz w:val="28"/>
          <w:szCs w:val="28"/>
          <w:highlight w:val="none"/>
        </w:rPr>
        <w:t>号的采购活动，以本公司名义处理一切与之有关的事宜。</w:t>
      </w:r>
    </w:p>
    <w:p w14:paraId="4562402E">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w:t>
      </w:r>
      <w:r>
        <w:rPr>
          <w:rFonts w:hint="eastAsia" w:ascii="仿宋" w:hAnsi="仿宋" w:eastAsia="仿宋" w:cs="仿宋"/>
          <w:color w:val="auto"/>
          <w:kern w:val="0"/>
          <w:sz w:val="28"/>
          <w:szCs w:val="28"/>
          <w:highlight w:val="none"/>
          <w:lang w:val="en-US" w:eastAsia="zh-CN"/>
        </w:rPr>
        <w:t>招标</w:t>
      </w:r>
      <w:r>
        <w:rPr>
          <w:rFonts w:hint="eastAsia" w:ascii="仿宋" w:hAnsi="仿宋" w:eastAsia="仿宋" w:cs="仿宋"/>
          <w:color w:val="auto"/>
          <w:kern w:val="0"/>
          <w:sz w:val="28"/>
          <w:szCs w:val="28"/>
          <w:highlight w:val="none"/>
        </w:rPr>
        <w:t>活动中中标，被授权人有权代表本公司签署采购合同。</w:t>
      </w:r>
    </w:p>
    <w:p w14:paraId="713EECC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日法定代表人签字或盖章并由单位盖章生效，特此声明。</w:t>
      </w:r>
    </w:p>
    <w:p w14:paraId="4BCE5AC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00B7DC64">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法定代表人签字或盖章：</w:t>
      </w:r>
    </w:p>
    <w:p w14:paraId="00D75951">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2E964894">
      <w:pPr>
        <w:shd w:val="clear"/>
        <w:spacing w:line="360" w:lineRule="auto"/>
        <w:rPr>
          <w:rFonts w:hint="eastAsia" w:ascii="仿宋" w:hAnsi="仿宋" w:eastAsia="仿宋" w:cs="仿宋"/>
          <w:color w:val="auto"/>
          <w:sz w:val="28"/>
          <w:szCs w:val="28"/>
          <w:highlight w:val="none"/>
        </w:rPr>
      </w:pPr>
    </w:p>
    <w:tbl>
      <w:tblPr>
        <w:tblStyle w:val="55"/>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395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5" w:hRule="atLeast"/>
        </w:trPr>
        <w:tc>
          <w:tcPr>
            <w:tcW w:w="6149" w:type="dxa"/>
            <w:vAlign w:val="center"/>
          </w:tcPr>
          <w:p w14:paraId="6FA383EB">
            <w:pPr>
              <w:widowControl/>
              <w:shd w:val="clear"/>
              <w:spacing w:beforeAutospacing="1" w:afterAutospacing="1"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4F75CB11">
      <w:pPr>
        <w:shd w:val="clear"/>
        <w:spacing w:line="360" w:lineRule="auto"/>
        <w:rPr>
          <w:rFonts w:hint="eastAsia" w:ascii="仿宋" w:hAnsi="仿宋" w:eastAsia="仿宋" w:cs="仿宋"/>
          <w:color w:val="auto"/>
          <w:highlight w:val="none"/>
        </w:rPr>
      </w:pPr>
    </w:p>
    <w:p w14:paraId="4AC89AF3">
      <w:pPr>
        <w:shd w:val="clear"/>
        <w:spacing w:line="360" w:lineRule="auto"/>
        <w:rPr>
          <w:rFonts w:hint="eastAsia" w:ascii="仿宋" w:hAnsi="仿宋" w:eastAsia="仿宋" w:cs="仿宋"/>
          <w:color w:val="auto"/>
          <w:highlight w:val="none"/>
        </w:rPr>
      </w:pPr>
    </w:p>
    <w:p w14:paraId="566BCE13">
      <w:pPr>
        <w:shd w:val="clear"/>
        <w:spacing w:line="360" w:lineRule="auto"/>
        <w:rPr>
          <w:rFonts w:hint="eastAsia" w:ascii="仿宋" w:hAnsi="仿宋" w:eastAsia="仿宋" w:cs="仿宋"/>
          <w:color w:val="auto"/>
          <w:highlight w:val="none"/>
        </w:rPr>
      </w:pPr>
    </w:p>
    <w:p w14:paraId="27BFDE61">
      <w:pPr>
        <w:shd w:val="clear"/>
        <w:spacing w:line="360" w:lineRule="auto"/>
        <w:rPr>
          <w:rFonts w:hint="eastAsia" w:ascii="仿宋" w:hAnsi="仿宋" w:eastAsia="仿宋" w:cs="仿宋"/>
          <w:color w:val="auto"/>
          <w:highlight w:val="none"/>
        </w:rPr>
      </w:pPr>
    </w:p>
    <w:p w14:paraId="39BE3B81">
      <w:pPr>
        <w:shd w:val="clear"/>
        <w:spacing w:line="360" w:lineRule="auto"/>
        <w:rPr>
          <w:rFonts w:hint="eastAsia" w:ascii="仿宋" w:hAnsi="仿宋" w:eastAsia="仿宋" w:cs="仿宋"/>
          <w:color w:val="auto"/>
          <w:highlight w:val="none"/>
        </w:rPr>
      </w:pPr>
    </w:p>
    <w:p w14:paraId="3F130BDB">
      <w:pPr>
        <w:shd w:val="clear"/>
        <w:spacing w:line="360" w:lineRule="auto"/>
        <w:rPr>
          <w:rFonts w:hint="eastAsia" w:ascii="仿宋" w:hAnsi="仿宋" w:eastAsia="仿宋" w:cs="仿宋"/>
          <w:color w:val="auto"/>
          <w:highlight w:val="none"/>
        </w:rPr>
      </w:pPr>
    </w:p>
    <w:p w14:paraId="1B627AA1">
      <w:pPr>
        <w:shd w:val="clear"/>
        <w:spacing w:line="360" w:lineRule="auto"/>
        <w:rPr>
          <w:rFonts w:hint="eastAsia" w:ascii="仿宋" w:hAnsi="仿宋" w:eastAsia="仿宋" w:cs="仿宋"/>
          <w:color w:val="auto"/>
          <w:highlight w:val="none"/>
        </w:rPr>
      </w:pPr>
    </w:p>
    <w:p w14:paraId="07C99E64">
      <w:pPr>
        <w:shd w:val="clear"/>
        <w:spacing w:line="360" w:lineRule="auto"/>
        <w:rPr>
          <w:rFonts w:hint="eastAsia" w:ascii="仿宋" w:hAnsi="仿宋" w:eastAsia="仿宋" w:cs="仿宋"/>
          <w:color w:val="auto"/>
          <w:highlight w:val="none"/>
        </w:rPr>
      </w:pPr>
    </w:p>
    <w:p w14:paraId="43FF41D9">
      <w:pPr>
        <w:shd w:val="clear"/>
        <w:snapToGrid w:val="0"/>
        <w:spacing w:line="560" w:lineRule="exact"/>
        <w:ind w:firstLine="562" w:firstLineChars="201"/>
        <w:rPr>
          <w:rFonts w:hint="eastAsia" w:ascii="仿宋" w:hAnsi="仿宋" w:eastAsia="仿宋" w:cs="仿宋"/>
          <w:color w:val="auto"/>
          <w:sz w:val="28"/>
          <w:szCs w:val="28"/>
          <w:highlight w:val="none"/>
        </w:rPr>
      </w:pPr>
      <w:bookmarkStart w:id="95" w:name="_Hlk183433789"/>
      <w:r>
        <w:rPr>
          <w:rFonts w:hint="eastAsia" w:ascii="仿宋" w:hAnsi="仿宋" w:eastAsia="仿宋" w:cs="仿宋"/>
          <w:color w:val="auto"/>
          <w:sz w:val="28"/>
          <w:szCs w:val="28"/>
          <w:highlight w:val="none"/>
        </w:rPr>
        <w:t>注：若由法定代表人亲自签署投标文件并参与相关活动，则无需提供授权委托书；若为授权委托代理人，则需提供授权委托书。</w:t>
      </w:r>
      <w:bookmarkEnd w:id="95"/>
    </w:p>
    <w:p w14:paraId="49B38675">
      <w:pPr>
        <w:rPr>
          <w:rFonts w:hint="eastAsia" w:ascii="仿宋" w:hAnsi="仿宋" w:eastAsia="仿宋" w:cs="仿宋"/>
          <w:bCs/>
          <w:color w:val="auto"/>
          <w:kern w:val="2"/>
          <w:sz w:val="44"/>
          <w:szCs w:val="32"/>
          <w:highlight w:val="none"/>
          <w:lang w:val="en-US" w:eastAsia="zh-CN" w:bidi="ar-SA"/>
        </w:rPr>
      </w:pPr>
      <w:r>
        <w:rPr>
          <w:rFonts w:hint="eastAsia" w:ascii="仿宋" w:hAnsi="仿宋" w:eastAsia="仿宋" w:cs="仿宋"/>
          <w:bCs/>
          <w:color w:val="auto"/>
          <w:kern w:val="2"/>
          <w:sz w:val="44"/>
          <w:szCs w:val="32"/>
          <w:highlight w:val="none"/>
          <w:lang w:val="en-US" w:eastAsia="zh-CN" w:bidi="ar-SA"/>
        </w:rPr>
        <w:br w:type="page"/>
      </w:r>
    </w:p>
    <w:p w14:paraId="6A5C5B92">
      <w:pPr>
        <w:pStyle w:val="31"/>
        <w:keepNext w:val="0"/>
        <w:keepLines w:val="0"/>
        <w:pageBreakBefore/>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val="0"/>
          <w:bCs/>
          <w:color w:val="000000" w:themeColor="text1"/>
          <w:sz w:val="36"/>
          <w:highlight w:val="none"/>
        </w:rPr>
      </w:pPr>
      <w:bookmarkStart w:id="96" w:name="_Toc6811"/>
      <w:bookmarkStart w:id="97" w:name="_Toc8487"/>
      <w:r>
        <w:rPr>
          <w:rFonts w:hint="eastAsia" w:ascii="仿宋" w:hAnsi="仿宋" w:eastAsia="仿宋" w:cs="仿宋"/>
          <w:b w:val="0"/>
          <w:bCs/>
          <w:color w:val="000000" w:themeColor="text1"/>
          <w:sz w:val="36"/>
          <w:highlight w:val="none"/>
          <w:lang w:val="en-US" w:eastAsia="zh-CN"/>
        </w:rPr>
        <w:t>涉及饮用水卫生安全产品卫生许可批件</w:t>
      </w:r>
    </w:p>
    <w:p w14:paraId="45F41A6A">
      <w:pPr>
        <w:pStyle w:val="31"/>
        <w:keepNext w:val="0"/>
        <w:keepLines w:val="0"/>
        <w:pageBreakBefore/>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val="0"/>
          <w:bCs/>
          <w:color w:val="000000" w:themeColor="text1"/>
          <w:sz w:val="36"/>
          <w:highlight w:val="none"/>
        </w:rPr>
      </w:pPr>
      <w:r>
        <w:rPr>
          <w:rFonts w:hint="eastAsia" w:ascii="仿宋" w:hAnsi="仿宋" w:eastAsia="仿宋" w:cs="仿宋"/>
          <w:b w:val="0"/>
          <w:bCs/>
          <w:color w:val="000000" w:themeColor="text1"/>
          <w:sz w:val="36"/>
          <w:highlight w:val="none"/>
        </w:rPr>
        <w:t>交纳投标保证金的证明材料</w:t>
      </w:r>
      <w:bookmarkEnd w:id="96"/>
      <w:bookmarkEnd w:id="97"/>
    </w:p>
    <w:p w14:paraId="36223148">
      <w:pPr>
        <w:snapToGrid w:val="0"/>
        <w:spacing w:line="360" w:lineRule="auto"/>
        <w:ind w:firstLine="560" w:firstLineChars="200"/>
        <w:rPr>
          <w:rFonts w:hint="eastAsia" w:ascii="仿宋" w:hAnsi="仿宋" w:eastAsia="仿宋" w:cs="仿宋"/>
          <w:color w:val="000000" w:themeColor="text1"/>
          <w:sz w:val="28"/>
          <w:szCs w:val="28"/>
          <w:highlight w:val="none"/>
        </w:rPr>
      </w:pPr>
    </w:p>
    <w:p w14:paraId="5BF8C3B9">
      <w:pPr>
        <w:snapToGrid w:val="0"/>
        <w:spacing w:line="360" w:lineRule="auto"/>
        <w:ind w:firstLine="560" w:firstLineChars="200"/>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（1）企业银行基本账户开户证明（如开户许可证或银行开户证明等）；</w:t>
      </w:r>
    </w:p>
    <w:p w14:paraId="71796E64">
      <w:pPr>
        <w:snapToGrid w:val="0"/>
        <w:spacing w:line="360" w:lineRule="auto"/>
        <w:ind w:firstLine="560" w:firstLineChars="200"/>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（2）电汇凭证或电子汇款截图扫描件。</w:t>
      </w:r>
    </w:p>
    <w:p w14:paraId="5A8CD887">
      <w:pPr>
        <w:pStyle w:val="19"/>
        <w:spacing w:line="360" w:lineRule="auto"/>
        <w:rPr>
          <w:rFonts w:hint="eastAsia" w:ascii="仿宋" w:hAnsi="仿宋" w:eastAsia="仿宋"/>
          <w:color w:val="000000" w:themeColor="text1"/>
          <w:highlight w:val="none"/>
        </w:rPr>
      </w:pPr>
    </w:p>
    <w:p w14:paraId="3B4B9812">
      <w:pPr>
        <w:shd w:val="clear"/>
        <w:spacing w:line="360" w:lineRule="auto"/>
        <w:rPr>
          <w:rFonts w:hint="eastAsia" w:ascii="仿宋" w:hAnsi="仿宋" w:eastAsia="仿宋" w:cs="仿宋"/>
          <w:color w:val="auto"/>
          <w:highlight w:val="none"/>
        </w:rPr>
      </w:pPr>
    </w:p>
    <w:p w14:paraId="1F837E0C">
      <w:pPr>
        <w:pStyle w:val="19"/>
        <w:shd w:val="clear"/>
        <w:spacing w:line="360" w:lineRule="auto"/>
        <w:rPr>
          <w:rFonts w:hint="eastAsia" w:ascii="仿宋" w:hAnsi="仿宋" w:eastAsia="仿宋" w:cs="仿宋"/>
          <w:color w:val="auto"/>
          <w:highlight w:val="none"/>
        </w:rPr>
      </w:pPr>
    </w:p>
    <w:p w14:paraId="0C4F99C3">
      <w:pPr>
        <w:pStyle w:val="33"/>
        <w:shd w:val="clear"/>
        <w:spacing w:line="360" w:lineRule="auto"/>
        <w:ind w:left="5250"/>
        <w:rPr>
          <w:rFonts w:hint="eastAsia" w:ascii="仿宋" w:hAnsi="仿宋" w:eastAsia="仿宋" w:cs="仿宋"/>
          <w:color w:val="auto"/>
          <w:highlight w:val="none"/>
        </w:rPr>
      </w:pPr>
    </w:p>
    <w:p w14:paraId="27596E03">
      <w:pPr>
        <w:shd w:val="clear"/>
        <w:spacing w:line="360" w:lineRule="auto"/>
        <w:rPr>
          <w:rFonts w:hint="eastAsia" w:ascii="仿宋" w:hAnsi="仿宋" w:eastAsia="仿宋" w:cs="仿宋"/>
          <w:color w:val="auto"/>
          <w:highlight w:val="none"/>
        </w:rPr>
      </w:pPr>
    </w:p>
    <w:p w14:paraId="6D891B10">
      <w:pPr>
        <w:pStyle w:val="19"/>
        <w:shd w:val="clear"/>
        <w:spacing w:line="360" w:lineRule="auto"/>
        <w:rPr>
          <w:rFonts w:hint="eastAsia" w:ascii="仿宋" w:hAnsi="仿宋" w:eastAsia="仿宋" w:cs="仿宋"/>
          <w:color w:val="auto"/>
          <w:highlight w:val="none"/>
        </w:rPr>
      </w:pPr>
    </w:p>
    <w:p w14:paraId="0A3908C8">
      <w:pPr>
        <w:pStyle w:val="33"/>
        <w:shd w:val="clear"/>
        <w:spacing w:line="360" w:lineRule="auto"/>
        <w:ind w:left="5250"/>
        <w:rPr>
          <w:rFonts w:hint="eastAsia" w:ascii="仿宋" w:hAnsi="仿宋" w:eastAsia="仿宋" w:cs="仿宋"/>
          <w:color w:val="auto"/>
          <w:highlight w:val="none"/>
        </w:rPr>
      </w:pPr>
    </w:p>
    <w:p w14:paraId="56D3680D">
      <w:pPr>
        <w:shd w:val="clear"/>
        <w:spacing w:line="360" w:lineRule="auto"/>
        <w:rPr>
          <w:rFonts w:hint="eastAsia" w:ascii="仿宋" w:hAnsi="仿宋" w:eastAsia="仿宋" w:cs="仿宋"/>
          <w:color w:val="auto"/>
          <w:highlight w:val="none"/>
        </w:rPr>
      </w:pPr>
    </w:p>
    <w:p w14:paraId="685E1610">
      <w:pPr>
        <w:pStyle w:val="19"/>
        <w:shd w:val="clear"/>
        <w:spacing w:line="360" w:lineRule="auto"/>
        <w:rPr>
          <w:rFonts w:hint="eastAsia" w:ascii="仿宋" w:hAnsi="仿宋" w:eastAsia="仿宋" w:cs="仿宋"/>
          <w:color w:val="auto"/>
          <w:highlight w:val="none"/>
        </w:rPr>
      </w:pPr>
    </w:p>
    <w:p w14:paraId="00E9D2AF">
      <w:pPr>
        <w:pStyle w:val="33"/>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7E831782">
      <w:pPr>
        <w:shd w:val="clear"/>
        <w:spacing w:line="360" w:lineRule="auto"/>
        <w:rPr>
          <w:rFonts w:hint="eastAsia" w:ascii="仿宋" w:hAnsi="仿宋" w:eastAsia="仿宋" w:cs="仿宋"/>
          <w:color w:val="auto"/>
          <w:highlight w:val="none"/>
        </w:rPr>
      </w:pPr>
    </w:p>
    <w:p w14:paraId="56156123">
      <w:pPr>
        <w:pStyle w:val="19"/>
        <w:shd w:val="clear"/>
        <w:spacing w:line="360" w:lineRule="auto"/>
        <w:rPr>
          <w:rFonts w:hint="eastAsia" w:ascii="仿宋" w:hAnsi="仿宋" w:eastAsia="仿宋" w:cs="仿宋"/>
          <w:color w:val="auto"/>
          <w:highlight w:val="none"/>
        </w:rPr>
      </w:pPr>
    </w:p>
    <w:p w14:paraId="093CACD5">
      <w:pPr>
        <w:pStyle w:val="33"/>
        <w:shd w:val="clear"/>
        <w:spacing w:line="360" w:lineRule="auto"/>
        <w:ind w:left="5250"/>
        <w:rPr>
          <w:rFonts w:hint="eastAsia" w:ascii="仿宋" w:hAnsi="仿宋" w:eastAsia="仿宋" w:cs="仿宋"/>
          <w:color w:val="auto"/>
          <w:highlight w:val="none"/>
        </w:rPr>
      </w:pPr>
    </w:p>
    <w:p w14:paraId="722C27FB">
      <w:pPr>
        <w:shd w:val="clear"/>
        <w:spacing w:line="360" w:lineRule="auto"/>
        <w:rPr>
          <w:rFonts w:hint="eastAsia" w:ascii="仿宋" w:hAnsi="仿宋" w:eastAsia="仿宋" w:cs="仿宋"/>
          <w:color w:val="auto"/>
          <w:highlight w:val="none"/>
        </w:rPr>
      </w:pPr>
    </w:p>
    <w:p w14:paraId="3BB9F8C1">
      <w:pPr>
        <w:shd w:val="clear"/>
        <w:snapToGrid w:val="0"/>
        <w:spacing w:line="360" w:lineRule="auto"/>
        <w:rPr>
          <w:rFonts w:hint="eastAsia" w:ascii="仿宋" w:hAnsi="仿宋" w:eastAsia="仿宋" w:cs="仿宋"/>
          <w:color w:val="auto"/>
          <w:sz w:val="28"/>
          <w:szCs w:val="28"/>
          <w:highlight w:val="none"/>
        </w:rPr>
      </w:pPr>
    </w:p>
    <w:p w14:paraId="64636BFE">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783A049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投标人及法定代表人、委托代理人未被最高法院列入失信被执行人</w:t>
      </w:r>
    </w:p>
    <w:p w14:paraId="5452F491">
      <w:pPr>
        <w:shd w:val="clear"/>
        <w:snapToGrid w:val="0"/>
        <w:spacing w:line="360" w:lineRule="auto"/>
        <w:jc w:val="left"/>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查询网址为：http://zxgk.court.gov.cn/shixin/。投标文件附通过网站查询信息记录，包含投标人及其法定代表人、委托代理人失信被执行人情况网页截图（省份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全部）</w:t>
      </w:r>
      <w:r>
        <w:rPr>
          <w:rFonts w:hint="eastAsia" w:ascii="仿宋" w:hAnsi="仿宋" w:eastAsia="仿宋" w:cs="仿宋"/>
          <w:color w:val="auto"/>
          <w:sz w:val="30"/>
          <w:szCs w:val="30"/>
          <w:highlight w:val="none"/>
          <w:lang w:eastAsia="zh-CN"/>
        </w:rPr>
        <w:t>）</w:t>
      </w:r>
    </w:p>
    <w:p w14:paraId="1BF2214F">
      <w:pPr>
        <w:pStyle w:val="19"/>
        <w:shd w:val="clear"/>
        <w:spacing w:line="360" w:lineRule="auto"/>
        <w:jc w:val="center"/>
        <w:rPr>
          <w:rFonts w:hint="eastAsia" w:ascii="仿宋" w:hAnsi="仿宋" w:eastAsia="仿宋" w:cs="仿宋"/>
          <w:color w:val="auto"/>
          <w:highlight w:val="none"/>
        </w:rPr>
      </w:pPr>
    </w:p>
    <w:p w14:paraId="0AE60BD6">
      <w:pPr>
        <w:pStyle w:val="33"/>
        <w:shd w:val="clear"/>
        <w:spacing w:line="360" w:lineRule="auto"/>
        <w:ind w:left="5250"/>
        <w:rPr>
          <w:rFonts w:hint="eastAsia" w:ascii="仿宋" w:hAnsi="仿宋" w:eastAsia="仿宋" w:cs="仿宋"/>
          <w:color w:val="auto"/>
          <w:highlight w:val="none"/>
        </w:rPr>
      </w:pPr>
    </w:p>
    <w:p w14:paraId="0D967938">
      <w:pPr>
        <w:shd w:val="clear"/>
        <w:spacing w:line="360" w:lineRule="auto"/>
        <w:rPr>
          <w:rFonts w:hint="eastAsia" w:ascii="仿宋" w:hAnsi="仿宋" w:eastAsia="仿宋" w:cs="仿宋"/>
          <w:color w:val="auto"/>
          <w:highlight w:val="none"/>
        </w:rPr>
      </w:pPr>
    </w:p>
    <w:p w14:paraId="0D5B98C4">
      <w:pPr>
        <w:pStyle w:val="19"/>
        <w:shd w:val="clear"/>
        <w:spacing w:line="360" w:lineRule="auto"/>
        <w:rPr>
          <w:rFonts w:hint="eastAsia" w:ascii="仿宋" w:hAnsi="仿宋" w:eastAsia="仿宋" w:cs="仿宋"/>
          <w:color w:val="auto"/>
          <w:highlight w:val="none"/>
        </w:rPr>
      </w:pPr>
    </w:p>
    <w:p w14:paraId="5D610A01">
      <w:pPr>
        <w:pStyle w:val="33"/>
        <w:shd w:val="clear"/>
        <w:spacing w:line="360" w:lineRule="auto"/>
        <w:ind w:left="5250"/>
        <w:rPr>
          <w:rFonts w:hint="eastAsia" w:ascii="仿宋" w:hAnsi="仿宋" w:eastAsia="仿宋" w:cs="仿宋"/>
          <w:color w:val="auto"/>
          <w:highlight w:val="none"/>
        </w:rPr>
      </w:pPr>
    </w:p>
    <w:p w14:paraId="0019513F">
      <w:pPr>
        <w:shd w:val="clear"/>
        <w:spacing w:line="360" w:lineRule="auto"/>
        <w:rPr>
          <w:rFonts w:hint="eastAsia" w:ascii="仿宋" w:hAnsi="仿宋" w:eastAsia="仿宋" w:cs="仿宋"/>
          <w:color w:val="auto"/>
          <w:highlight w:val="none"/>
        </w:rPr>
      </w:pPr>
    </w:p>
    <w:p w14:paraId="7123BA30">
      <w:pPr>
        <w:pStyle w:val="19"/>
        <w:shd w:val="clear"/>
        <w:spacing w:line="360" w:lineRule="auto"/>
        <w:rPr>
          <w:rFonts w:hint="eastAsia" w:ascii="仿宋" w:hAnsi="仿宋" w:eastAsia="仿宋" w:cs="仿宋"/>
          <w:color w:val="auto"/>
          <w:highlight w:val="none"/>
        </w:rPr>
      </w:pPr>
    </w:p>
    <w:p w14:paraId="6F9B6CA6">
      <w:pPr>
        <w:pStyle w:val="33"/>
        <w:shd w:val="clear"/>
        <w:spacing w:line="360" w:lineRule="auto"/>
        <w:ind w:left="5250"/>
        <w:rPr>
          <w:rFonts w:hint="eastAsia" w:ascii="仿宋" w:hAnsi="仿宋" w:eastAsia="仿宋" w:cs="仿宋"/>
          <w:color w:val="auto"/>
          <w:highlight w:val="none"/>
        </w:rPr>
      </w:pPr>
    </w:p>
    <w:p w14:paraId="2556B37F">
      <w:pPr>
        <w:shd w:val="clear"/>
        <w:spacing w:line="360" w:lineRule="auto"/>
        <w:rPr>
          <w:rFonts w:hint="eastAsia" w:ascii="仿宋" w:hAnsi="仿宋" w:eastAsia="仿宋" w:cs="仿宋"/>
          <w:color w:val="auto"/>
          <w:highlight w:val="none"/>
        </w:rPr>
      </w:pPr>
    </w:p>
    <w:p w14:paraId="3A5222C2">
      <w:pPr>
        <w:pStyle w:val="19"/>
        <w:shd w:val="clear"/>
        <w:spacing w:line="360" w:lineRule="auto"/>
        <w:rPr>
          <w:rFonts w:hint="eastAsia" w:ascii="仿宋" w:hAnsi="仿宋" w:eastAsia="仿宋" w:cs="仿宋"/>
          <w:color w:val="auto"/>
          <w:highlight w:val="none"/>
        </w:rPr>
      </w:pPr>
    </w:p>
    <w:p w14:paraId="6C055976">
      <w:pPr>
        <w:pStyle w:val="33"/>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23387B9F">
      <w:pPr>
        <w:shd w:val="clear"/>
        <w:spacing w:line="360" w:lineRule="auto"/>
        <w:rPr>
          <w:rFonts w:hint="eastAsia" w:ascii="仿宋" w:hAnsi="仿宋" w:eastAsia="仿宋" w:cs="仿宋"/>
          <w:color w:val="auto"/>
          <w:highlight w:val="none"/>
        </w:rPr>
      </w:pPr>
    </w:p>
    <w:p w14:paraId="5F29E89D">
      <w:pPr>
        <w:pStyle w:val="19"/>
        <w:shd w:val="clear"/>
        <w:spacing w:line="360" w:lineRule="auto"/>
        <w:rPr>
          <w:rFonts w:hint="eastAsia" w:ascii="仿宋" w:hAnsi="仿宋" w:eastAsia="仿宋" w:cs="仿宋"/>
          <w:color w:val="auto"/>
          <w:highlight w:val="none"/>
        </w:rPr>
      </w:pPr>
    </w:p>
    <w:p w14:paraId="615921A9">
      <w:pPr>
        <w:pStyle w:val="33"/>
        <w:shd w:val="clear"/>
        <w:spacing w:line="360" w:lineRule="auto"/>
        <w:ind w:left="5250"/>
        <w:rPr>
          <w:rFonts w:hint="eastAsia" w:ascii="仿宋" w:hAnsi="仿宋" w:eastAsia="仿宋" w:cs="仿宋"/>
          <w:color w:val="auto"/>
          <w:highlight w:val="none"/>
        </w:rPr>
      </w:pPr>
    </w:p>
    <w:p w14:paraId="1EE76485">
      <w:pPr>
        <w:shd w:val="clear"/>
        <w:spacing w:line="360" w:lineRule="auto"/>
        <w:rPr>
          <w:rFonts w:hint="eastAsia" w:ascii="仿宋" w:hAnsi="仿宋" w:eastAsia="仿宋" w:cs="仿宋"/>
          <w:color w:val="auto"/>
          <w:highlight w:val="none"/>
        </w:rPr>
      </w:pPr>
    </w:p>
    <w:p w14:paraId="687F12ED">
      <w:pPr>
        <w:shd w:val="clear"/>
        <w:snapToGrid w:val="0"/>
        <w:spacing w:line="360" w:lineRule="auto"/>
        <w:rPr>
          <w:rFonts w:hint="eastAsia" w:ascii="仿宋" w:hAnsi="仿宋" w:eastAsia="仿宋" w:cs="仿宋"/>
          <w:color w:val="auto"/>
          <w:sz w:val="28"/>
          <w:szCs w:val="28"/>
          <w:highlight w:val="none"/>
        </w:rPr>
      </w:pPr>
    </w:p>
    <w:p w14:paraId="3DC60967">
      <w:pPr>
        <w:shd w:val="clear"/>
        <w:snapToGrid w:val="0"/>
        <w:spacing w:line="360" w:lineRule="auto"/>
        <w:rPr>
          <w:rFonts w:hint="eastAsia" w:ascii="仿宋" w:hAnsi="仿宋" w:eastAsia="仿宋" w:cs="仿宋"/>
          <w:color w:val="auto"/>
          <w:sz w:val="28"/>
          <w:szCs w:val="28"/>
          <w:highlight w:val="none"/>
        </w:rPr>
      </w:pPr>
    </w:p>
    <w:p w14:paraId="0959B173">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2278EB7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投标人近一年在“信用中国”或“信用中国（山东）”无严重失信记录</w:t>
      </w:r>
    </w:p>
    <w:p w14:paraId="2C82CAE8">
      <w:pPr>
        <w:shd w:val="clea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注：（1）</w:t>
      </w:r>
      <w:r>
        <w:rPr>
          <w:rFonts w:hint="eastAsia" w:ascii="仿宋" w:hAnsi="仿宋" w:eastAsia="仿宋" w:cs="仿宋"/>
          <w:color w:val="auto"/>
          <w:sz w:val="24"/>
          <w:highlight w:val="none"/>
        </w:rPr>
        <w:t>投标人将通过信用中国（查询网址：https://www.creditchina.gov.cn）或信用中国（山东）（查询网址：https://credit.shandong.gov.cn）查询的信用</w:t>
      </w:r>
      <w:r>
        <w:rPr>
          <w:rFonts w:hint="eastAsia" w:ascii="仿宋" w:hAnsi="仿宋" w:eastAsia="仿宋" w:cs="仿宋"/>
          <w:color w:val="auto"/>
          <w:sz w:val="24"/>
          <w:highlight w:val="none"/>
          <w:lang w:val="en-US" w:eastAsia="zh-CN"/>
        </w:rPr>
        <w:t>信息</w:t>
      </w:r>
      <w:r>
        <w:rPr>
          <w:rFonts w:hint="eastAsia" w:ascii="仿宋" w:hAnsi="仿宋" w:eastAsia="仿宋" w:cs="仿宋"/>
          <w:color w:val="auto"/>
          <w:sz w:val="24"/>
          <w:highlight w:val="none"/>
        </w:rPr>
        <w:t>报告附至此处。</w:t>
      </w:r>
    </w:p>
    <w:p w14:paraId="0DCBF982">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（2）个体工商户可提供通过“信用中国”各省级分站网站下载的无“严重失信主体名单”记录的公共信用信息报告或无“失信惩戒信息”记录的公共信用信息报告。</w:t>
      </w:r>
    </w:p>
    <w:p w14:paraId="0FAA1984">
      <w:pPr>
        <w:shd w:val="clear"/>
        <w:snapToGrid w:val="0"/>
        <w:spacing w:line="360" w:lineRule="auto"/>
        <w:jc w:val="both"/>
        <w:rPr>
          <w:rFonts w:hint="eastAsia" w:ascii="仿宋" w:hAnsi="仿宋" w:eastAsia="仿宋" w:cs="仿宋"/>
          <w:color w:val="auto"/>
          <w:sz w:val="30"/>
          <w:szCs w:val="30"/>
          <w:highlight w:val="none"/>
        </w:rPr>
      </w:pPr>
    </w:p>
    <w:p w14:paraId="246E1817">
      <w:pPr>
        <w:pStyle w:val="19"/>
        <w:shd w:val="clear"/>
        <w:spacing w:line="360" w:lineRule="auto"/>
        <w:rPr>
          <w:rFonts w:hint="eastAsia" w:ascii="仿宋" w:hAnsi="仿宋" w:eastAsia="仿宋" w:cs="仿宋"/>
          <w:color w:val="auto"/>
          <w:highlight w:val="none"/>
        </w:rPr>
      </w:pPr>
    </w:p>
    <w:p w14:paraId="33EB3BAC">
      <w:pPr>
        <w:pStyle w:val="19"/>
        <w:shd w:val="clear"/>
        <w:spacing w:line="360" w:lineRule="auto"/>
        <w:rPr>
          <w:rFonts w:hint="eastAsia" w:ascii="仿宋" w:hAnsi="仿宋" w:eastAsia="仿宋" w:cs="仿宋"/>
          <w:color w:val="auto"/>
          <w:highlight w:val="none"/>
        </w:rPr>
      </w:pPr>
    </w:p>
    <w:p w14:paraId="68BD8355">
      <w:pPr>
        <w:pStyle w:val="33"/>
        <w:shd w:val="clear"/>
        <w:spacing w:line="360" w:lineRule="auto"/>
        <w:ind w:left="5250"/>
        <w:rPr>
          <w:rFonts w:hint="eastAsia" w:ascii="仿宋" w:hAnsi="仿宋" w:eastAsia="仿宋" w:cs="仿宋"/>
          <w:color w:val="auto"/>
          <w:highlight w:val="none"/>
        </w:rPr>
      </w:pPr>
    </w:p>
    <w:p w14:paraId="3734985F">
      <w:pPr>
        <w:shd w:val="clear"/>
        <w:rPr>
          <w:rFonts w:hint="eastAsia" w:ascii="仿宋" w:hAnsi="仿宋" w:eastAsia="仿宋" w:cs="仿宋"/>
          <w:color w:val="auto"/>
          <w:highlight w:val="none"/>
        </w:rPr>
      </w:pPr>
    </w:p>
    <w:p w14:paraId="309CCB7C">
      <w:pPr>
        <w:pStyle w:val="19"/>
        <w:shd w:val="clear"/>
        <w:rPr>
          <w:rFonts w:hint="eastAsia" w:ascii="仿宋" w:hAnsi="仿宋" w:eastAsia="仿宋" w:cs="仿宋"/>
          <w:color w:val="auto"/>
          <w:highlight w:val="none"/>
        </w:rPr>
      </w:pPr>
    </w:p>
    <w:p w14:paraId="4D6A2FBE">
      <w:pPr>
        <w:pStyle w:val="19"/>
        <w:shd w:val="clear"/>
        <w:rPr>
          <w:rFonts w:hint="eastAsia" w:ascii="仿宋" w:hAnsi="仿宋" w:eastAsia="仿宋" w:cs="仿宋"/>
          <w:color w:val="auto"/>
          <w:highlight w:val="none"/>
        </w:rPr>
      </w:pPr>
    </w:p>
    <w:p w14:paraId="5172B92A">
      <w:pPr>
        <w:shd w:val="clear"/>
        <w:spacing w:line="360" w:lineRule="auto"/>
        <w:rPr>
          <w:rFonts w:hint="eastAsia" w:ascii="仿宋" w:hAnsi="仿宋" w:eastAsia="仿宋" w:cs="仿宋"/>
          <w:color w:val="auto"/>
          <w:highlight w:val="none"/>
        </w:rPr>
      </w:pPr>
    </w:p>
    <w:p w14:paraId="69F58AB3">
      <w:pPr>
        <w:pStyle w:val="19"/>
        <w:shd w:val="clear"/>
        <w:spacing w:line="360" w:lineRule="auto"/>
        <w:rPr>
          <w:rFonts w:hint="eastAsia" w:ascii="仿宋" w:hAnsi="仿宋" w:eastAsia="仿宋" w:cs="仿宋"/>
          <w:color w:val="auto"/>
          <w:highlight w:val="none"/>
        </w:rPr>
      </w:pPr>
    </w:p>
    <w:p w14:paraId="7BC5D8B5">
      <w:pPr>
        <w:pStyle w:val="33"/>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483D127D">
      <w:pPr>
        <w:shd w:val="clear"/>
        <w:spacing w:line="360" w:lineRule="auto"/>
        <w:jc w:val="left"/>
        <w:textAlignment w:val="top"/>
        <w:rPr>
          <w:rFonts w:hint="eastAsia" w:ascii="仿宋" w:hAnsi="仿宋" w:eastAsia="仿宋" w:cs="仿宋"/>
          <w:color w:val="auto"/>
          <w:sz w:val="24"/>
          <w:highlight w:val="none"/>
        </w:rPr>
      </w:pPr>
    </w:p>
    <w:p w14:paraId="7033AED1">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2073D18">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投标人参与投标的声明函</w:t>
      </w:r>
    </w:p>
    <w:p w14:paraId="4879A4B6">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B6A6C90">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（1）具有独立承担民事责任的能力</w:t>
      </w:r>
      <w:r>
        <w:rPr>
          <w:rFonts w:hint="eastAsia" w:ascii="仿宋" w:hAnsi="仿宋" w:eastAsia="仿宋" w:cs="仿宋"/>
          <w:color w:val="000000" w:themeColor="text1"/>
          <w:sz w:val="28"/>
          <w:szCs w:val="28"/>
          <w:highlight w:val="none"/>
          <w:lang w:eastAsia="zh-CN"/>
        </w:rPr>
        <w:t>（若为代理商须提供制造商的授权书）</w:t>
      </w:r>
      <w:r>
        <w:rPr>
          <w:rFonts w:hint="eastAsia" w:ascii="仿宋" w:hAnsi="仿宋" w:eastAsia="仿宋" w:cs="仿宋"/>
          <w:color w:val="auto"/>
          <w:spacing w:val="8"/>
          <w:kern w:val="0"/>
          <w:sz w:val="28"/>
          <w:szCs w:val="28"/>
          <w:highlight w:val="none"/>
        </w:rPr>
        <w:t>；</w:t>
      </w:r>
    </w:p>
    <w:p w14:paraId="0C265A1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（2）具有良好的商业信誉和健全的财务会计制度；</w:t>
      </w:r>
    </w:p>
    <w:p w14:paraId="5F8C234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（3）具有履行合同所必须设备和专业技术能力，并能提供优质的服务；</w:t>
      </w:r>
    </w:p>
    <w:p w14:paraId="534C51D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（4）具有依法缴纳税收和社会保障资金的良好记录；</w:t>
      </w:r>
    </w:p>
    <w:p w14:paraId="1F1F0F0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（5）参加本次招标活动前三年内（若成立时间不足三年，则自成立时间至今），在经营活动中没有重大违法记录；</w:t>
      </w:r>
    </w:p>
    <w:p w14:paraId="7EC693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（6）我单位及法定代表人、委托代理人未被最高法院（查询网址为：http://zxgk.court.gov.cn/shixin/）列入失信被执行人；</w:t>
      </w:r>
    </w:p>
    <w:p w14:paraId="1CC4979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（7）我单位近一年在“信用中国”或“信用中国（山东）”无严重失信记录；</w:t>
      </w:r>
    </w:p>
    <w:p w14:paraId="60E853E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（8）我单位及法定代理人、委托代理人近三年内（若单位成立时间不足三年，则自成立时间至今）无行贿犯罪行为记录；</w:t>
      </w:r>
    </w:p>
    <w:p w14:paraId="1BBB40A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（9）我单位本次非联合体投标。</w:t>
      </w:r>
    </w:p>
    <w:p w14:paraId="4E542FD9">
      <w:pPr>
        <w:widowControl/>
        <w:shd w:val="clear"/>
        <w:adjustRightIn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738283DE">
      <w:pPr>
        <w:shd w:val="clear"/>
        <w:snapToGrid w:val="0"/>
        <w:spacing w:line="360" w:lineRule="auto"/>
        <w:rPr>
          <w:rFonts w:hint="eastAsia" w:ascii="仿宋" w:hAnsi="仿宋" w:eastAsia="仿宋" w:cs="仿宋"/>
          <w:color w:val="auto"/>
          <w:sz w:val="28"/>
          <w:szCs w:val="28"/>
          <w:highlight w:val="none"/>
        </w:rPr>
      </w:pPr>
      <w:bookmarkStart w:id="98" w:name="_Hlk72505594"/>
    </w:p>
    <w:p w14:paraId="218DC1C9">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bookmarkEnd w:id="98"/>
      <w:bookmarkStart w:id="99" w:name="_Toc523388197"/>
    </w:p>
    <w:p w14:paraId="04793DA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投标人认为需要提供的其他证明文件</w:t>
      </w:r>
    </w:p>
    <w:p w14:paraId="348A0B91">
      <w:pPr>
        <w:shd w:val="clear"/>
        <w:snapToGrid w:val="0"/>
        <w:spacing w:line="360" w:lineRule="auto"/>
        <w:ind w:firstLine="562" w:firstLineChars="201"/>
        <w:rPr>
          <w:rFonts w:hint="eastAsia" w:ascii="仿宋" w:hAnsi="仿宋" w:eastAsia="仿宋" w:cs="仿宋"/>
          <w:color w:val="auto"/>
          <w:sz w:val="28"/>
          <w:szCs w:val="28"/>
          <w:highlight w:val="none"/>
        </w:rPr>
      </w:pPr>
    </w:p>
    <w:p w14:paraId="0808BD10">
      <w:pPr>
        <w:shd w:val="clear"/>
        <w:snapToGrid w:val="0"/>
        <w:spacing w:line="360" w:lineRule="auto"/>
        <w:ind w:firstLine="562" w:firstLineChars="201"/>
        <w:rPr>
          <w:rFonts w:hint="eastAsia" w:ascii="仿宋" w:hAnsi="仿宋" w:eastAsia="仿宋" w:cs="仿宋"/>
          <w:color w:val="auto"/>
          <w:sz w:val="28"/>
          <w:szCs w:val="28"/>
          <w:highlight w:val="none"/>
        </w:rPr>
      </w:pPr>
    </w:p>
    <w:p w14:paraId="747B3DE0">
      <w:pPr>
        <w:shd w:val="clear"/>
        <w:snapToGrid w:val="0"/>
        <w:spacing w:line="360" w:lineRule="auto"/>
        <w:ind w:firstLine="562" w:firstLineChars="201"/>
        <w:rPr>
          <w:rFonts w:hint="eastAsia" w:ascii="仿宋" w:hAnsi="仿宋" w:eastAsia="仿宋" w:cs="仿宋"/>
          <w:color w:val="auto"/>
          <w:sz w:val="28"/>
          <w:szCs w:val="28"/>
          <w:highlight w:val="none"/>
        </w:rPr>
      </w:pPr>
    </w:p>
    <w:p w14:paraId="55586E15">
      <w:pPr>
        <w:shd w:val="clear"/>
        <w:snapToGrid w:val="0"/>
        <w:spacing w:line="360" w:lineRule="auto"/>
        <w:ind w:firstLine="562" w:firstLineChars="201"/>
        <w:rPr>
          <w:rFonts w:hint="eastAsia" w:ascii="仿宋" w:hAnsi="仿宋" w:eastAsia="仿宋" w:cs="仿宋"/>
          <w:color w:val="auto"/>
          <w:sz w:val="28"/>
          <w:szCs w:val="28"/>
          <w:highlight w:val="none"/>
        </w:rPr>
      </w:pPr>
    </w:p>
    <w:p w14:paraId="7E3B68F5">
      <w:pPr>
        <w:shd w:val="clear"/>
        <w:snapToGrid w:val="0"/>
        <w:spacing w:line="360" w:lineRule="auto"/>
        <w:ind w:firstLine="562" w:firstLineChars="201"/>
        <w:rPr>
          <w:rFonts w:hint="eastAsia" w:ascii="仿宋" w:hAnsi="仿宋" w:eastAsia="仿宋" w:cs="仿宋"/>
          <w:color w:val="auto"/>
          <w:sz w:val="28"/>
          <w:szCs w:val="28"/>
          <w:highlight w:val="none"/>
        </w:rPr>
      </w:pPr>
    </w:p>
    <w:p w14:paraId="167702E4">
      <w:pPr>
        <w:shd w:val="clear"/>
        <w:snapToGrid w:val="0"/>
        <w:spacing w:line="360" w:lineRule="auto"/>
        <w:ind w:firstLine="562" w:firstLineChars="201"/>
        <w:rPr>
          <w:rFonts w:hint="eastAsia" w:ascii="仿宋" w:hAnsi="仿宋" w:eastAsia="仿宋" w:cs="仿宋"/>
          <w:color w:val="auto"/>
          <w:sz w:val="28"/>
          <w:szCs w:val="28"/>
          <w:highlight w:val="none"/>
        </w:rPr>
      </w:pPr>
    </w:p>
    <w:p w14:paraId="1F5EE4D9">
      <w:pPr>
        <w:shd w:val="clear"/>
        <w:snapToGrid w:val="0"/>
        <w:spacing w:line="360" w:lineRule="auto"/>
        <w:ind w:firstLine="562" w:firstLineChars="201"/>
        <w:rPr>
          <w:rFonts w:hint="eastAsia" w:ascii="仿宋" w:hAnsi="仿宋" w:eastAsia="仿宋" w:cs="仿宋"/>
          <w:color w:val="auto"/>
          <w:sz w:val="28"/>
          <w:szCs w:val="28"/>
          <w:highlight w:val="none"/>
        </w:rPr>
      </w:pPr>
    </w:p>
    <w:p w14:paraId="4D8234FB">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66A3B4B9">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48EF4F58">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37EBFA27">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0EF223DA">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40697F0">
      <w:pPr>
        <w:widowControl/>
        <w:shd w:val="clear"/>
        <w:spacing w:line="360" w:lineRule="auto"/>
        <w:jc w:val="both"/>
        <w:rPr>
          <w:rFonts w:hint="eastAsia" w:ascii="仿宋" w:hAnsi="仿宋" w:eastAsia="仿宋" w:cs="仿宋"/>
          <w:color w:val="auto"/>
          <w:highlight w:val="none"/>
        </w:rPr>
      </w:pPr>
    </w:p>
    <w:p w14:paraId="3A3FCAFA">
      <w:pPr>
        <w:pStyle w:val="38"/>
        <w:shd w:val="clear"/>
        <w:spacing w:line="360" w:lineRule="auto"/>
        <w:rPr>
          <w:rFonts w:hint="eastAsia" w:ascii="仿宋" w:hAnsi="仿宋" w:eastAsia="仿宋" w:cs="仿宋"/>
          <w:color w:val="auto"/>
          <w:highlight w:val="none"/>
        </w:rPr>
      </w:pPr>
    </w:p>
    <w:p w14:paraId="0F00F5B0">
      <w:pPr>
        <w:shd w:val="clear"/>
        <w:spacing w:line="360" w:lineRule="auto"/>
        <w:rPr>
          <w:rFonts w:hint="eastAsia" w:ascii="仿宋" w:hAnsi="仿宋" w:eastAsia="仿宋" w:cs="仿宋"/>
          <w:color w:val="auto"/>
          <w:highlight w:val="none"/>
        </w:rPr>
      </w:pPr>
    </w:p>
    <w:bookmarkEnd w:id="99"/>
    <w:p w14:paraId="34E909B9">
      <w:pPr>
        <w:rPr>
          <w:rFonts w:hint="eastAsia" w:ascii="仿宋" w:hAnsi="仿宋" w:eastAsia="仿宋" w:cs="仿宋"/>
          <w:bCs/>
          <w:color w:val="auto"/>
          <w:kern w:val="2"/>
          <w:sz w:val="44"/>
          <w:szCs w:val="32"/>
          <w:highlight w:val="none"/>
        </w:rPr>
      </w:pPr>
      <w:bookmarkStart w:id="100" w:name="_Toc523388144"/>
      <w:r>
        <w:rPr>
          <w:rFonts w:hint="eastAsia" w:ascii="仿宋" w:hAnsi="仿宋" w:eastAsia="仿宋" w:cs="仿宋"/>
          <w:bCs/>
          <w:color w:val="auto"/>
          <w:kern w:val="2"/>
          <w:sz w:val="44"/>
          <w:szCs w:val="32"/>
          <w:highlight w:val="none"/>
        </w:rPr>
        <w:br w:type="page"/>
      </w:r>
    </w:p>
    <w:p w14:paraId="0357778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投标人基本情况表</w:t>
      </w:r>
    </w:p>
    <w:tbl>
      <w:tblPr>
        <w:tblStyle w:val="55"/>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077"/>
        <w:gridCol w:w="2451"/>
        <w:gridCol w:w="2321"/>
        <w:gridCol w:w="463"/>
        <w:gridCol w:w="1715"/>
      </w:tblGrid>
      <w:tr w14:paraId="6AB1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548" w:type="dxa"/>
            <w:gridSpan w:val="2"/>
            <w:noWrap w:val="0"/>
            <w:vAlign w:val="center"/>
          </w:tcPr>
          <w:p w14:paraId="64B1EFE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451" w:type="dxa"/>
            <w:noWrap w:val="0"/>
            <w:vAlign w:val="center"/>
          </w:tcPr>
          <w:p w14:paraId="6475EBBC">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398C3E9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715" w:type="dxa"/>
            <w:noWrap w:val="0"/>
            <w:vAlign w:val="center"/>
          </w:tcPr>
          <w:p w14:paraId="25A2FD65">
            <w:pPr>
              <w:shd w:val="clear"/>
              <w:spacing w:line="440" w:lineRule="exact"/>
              <w:jc w:val="center"/>
              <w:rPr>
                <w:rFonts w:hint="eastAsia" w:ascii="仿宋" w:hAnsi="仿宋" w:eastAsia="仿宋" w:cs="仿宋"/>
                <w:color w:val="auto"/>
                <w:sz w:val="28"/>
                <w:szCs w:val="28"/>
                <w:highlight w:val="none"/>
              </w:rPr>
            </w:pPr>
          </w:p>
        </w:tc>
      </w:tr>
      <w:tr w14:paraId="4616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4D5989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451" w:type="dxa"/>
            <w:noWrap w:val="0"/>
            <w:vAlign w:val="center"/>
          </w:tcPr>
          <w:p w14:paraId="53547B58">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4E98FAC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715" w:type="dxa"/>
            <w:noWrap w:val="0"/>
            <w:vAlign w:val="center"/>
          </w:tcPr>
          <w:p w14:paraId="50DBD7DD">
            <w:pPr>
              <w:shd w:val="clear"/>
              <w:spacing w:line="440" w:lineRule="exact"/>
              <w:jc w:val="center"/>
              <w:rPr>
                <w:rFonts w:hint="eastAsia" w:ascii="仿宋" w:hAnsi="仿宋" w:eastAsia="仿宋" w:cs="仿宋"/>
                <w:color w:val="auto"/>
                <w:sz w:val="28"/>
                <w:szCs w:val="28"/>
                <w:highlight w:val="none"/>
              </w:rPr>
            </w:pPr>
          </w:p>
        </w:tc>
      </w:tr>
      <w:tr w14:paraId="5BA3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5846808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2451" w:type="dxa"/>
            <w:noWrap w:val="0"/>
            <w:vAlign w:val="center"/>
          </w:tcPr>
          <w:p w14:paraId="2EEC28EE">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584A552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p>
          <w:p w14:paraId="38A0D78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平方米</w:t>
            </w:r>
            <w:r>
              <w:rPr>
                <w:rFonts w:hint="eastAsia" w:ascii="仿宋" w:hAnsi="仿宋" w:eastAsia="仿宋" w:cs="仿宋"/>
                <w:color w:val="auto"/>
                <w:sz w:val="28"/>
                <w:szCs w:val="28"/>
                <w:highlight w:val="none"/>
              </w:rPr>
              <w:t>）</w:t>
            </w:r>
          </w:p>
        </w:tc>
        <w:tc>
          <w:tcPr>
            <w:tcW w:w="1715" w:type="dxa"/>
            <w:noWrap w:val="0"/>
            <w:vAlign w:val="center"/>
          </w:tcPr>
          <w:p w14:paraId="00425FD8">
            <w:pPr>
              <w:shd w:val="clear"/>
              <w:spacing w:line="440" w:lineRule="exact"/>
              <w:jc w:val="center"/>
              <w:rPr>
                <w:rFonts w:hint="eastAsia" w:ascii="仿宋" w:hAnsi="仿宋" w:eastAsia="仿宋" w:cs="仿宋"/>
                <w:color w:val="auto"/>
                <w:sz w:val="28"/>
                <w:szCs w:val="28"/>
                <w:highlight w:val="none"/>
              </w:rPr>
            </w:pPr>
          </w:p>
        </w:tc>
      </w:tr>
      <w:tr w14:paraId="58D0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71" w:type="dxa"/>
            <w:vMerge w:val="restart"/>
            <w:noWrap w:val="0"/>
            <w:vAlign w:val="center"/>
          </w:tcPr>
          <w:p w14:paraId="760748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077" w:type="dxa"/>
            <w:noWrap w:val="0"/>
            <w:vAlign w:val="center"/>
          </w:tcPr>
          <w:p w14:paraId="1B40AA4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950" w:type="dxa"/>
            <w:gridSpan w:val="4"/>
            <w:noWrap w:val="0"/>
            <w:vAlign w:val="top"/>
          </w:tcPr>
          <w:p w14:paraId="7EAFB5FB">
            <w:pPr>
              <w:shd w:val="clear"/>
              <w:spacing w:line="440" w:lineRule="exact"/>
              <w:jc w:val="center"/>
              <w:rPr>
                <w:rFonts w:hint="eastAsia" w:ascii="仿宋" w:hAnsi="仿宋" w:eastAsia="仿宋" w:cs="仿宋"/>
                <w:color w:val="auto"/>
                <w:sz w:val="28"/>
                <w:szCs w:val="28"/>
                <w:highlight w:val="none"/>
              </w:rPr>
            </w:pPr>
          </w:p>
        </w:tc>
      </w:tr>
      <w:tr w14:paraId="1EA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471" w:type="dxa"/>
            <w:vMerge w:val="continue"/>
            <w:noWrap w:val="0"/>
            <w:textDirection w:val="tbRlV"/>
            <w:vAlign w:val="center"/>
          </w:tcPr>
          <w:p w14:paraId="6FACCB14">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C233B6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6950" w:type="dxa"/>
            <w:gridSpan w:val="4"/>
            <w:noWrap w:val="0"/>
            <w:vAlign w:val="top"/>
          </w:tcPr>
          <w:p w14:paraId="21DA5FAF">
            <w:pPr>
              <w:shd w:val="clear"/>
              <w:spacing w:line="440" w:lineRule="exact"/>
              <w:jc w:val="center"/>
              <w:rPr>
                <w:rFonts w:hint="eastAsia" w:ascii="仿宋" w:hAnsi="仿宋" w:eastAsia="仿宋" w:cs="仿宋"/>
                <w:color w:val="auto"/>
                <w:sz w:val="28"/>
                <w:szCs w:val="28"/>
                <w:highlight w:val="none"/>
              </w:rPr>
            </w:pPr>
          </w:p>
        </w:tc>
      </w:tr>
      <w:tr w14:paraId="0ED9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471" w:type="dxa"/>
            <w:vMerge w:val="continue"/>
            <w:noWrap w:val="0"/>
            <w:textDirection w:val="tbRlV"/>
            <w:vAlign w:val="center"/>
          </w:tcPr>
          <w:p w14:paraId="2075E5B7">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6F0F29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2451" w:type="dxa"/>
            <w:noWrap w:val="0"/>
            <w:vAlign w:val="center"/>
          </w:tcPr>
          <w:p w14:paraId="0487A2C9">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1055007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2178" w:type="dxa"/>
            <w:gridSpan w:val="2"/>
            <w:noWrap w:val="0"/>
            <w:vAlign w:val="center"/>
          </w:tcPr>
          <w:p w14:paraId="7EEA85DF">
            <w:pPr>
              <w:shd w:val="clear"/>
              <w:spacing w:line="440" w:lineRule="exact"/>
              <w:jc w:val="center"/>
              <w:rPr>
                <w:rFonts w:hint="eastAsia" w:ascii="仿宋" w:hAnsi="仿宋" w:eastAsia="仿宋" w:cs="仿宋"/>
                <w:color w:val="auto"/>
                <w:sz w:val="28"/>
                <w:szCs w:val="28"/>
                <w:highlight w:val="none"/>
              </w:rPr>
            </w:pPr>
          </w:p>
        </w:tc>
      </w:tr>
      <w:tr w14:paraId="07B3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471" w:type="dxa"/>
            <w:vMerge w:val="continue"/>
            <w:noWrap w:val="0"/>
            <w:textDirection w:val="tbRlV"/>
            <w:vAlign w:val="center"/>
          </w:tcPr>
          <w:p w14:paraId="1DA390D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774BA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451" w:type="dxa"/>
            <w:noWrap w:val="0"/>
            <w:vAlign w:val="center"/>
          </w:tcPr>
          <w:p w14:paraId="7305D9DE">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694CDA6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2178" w:type="dxa"/>
            <w:gridSpan w:val="2"/>
            <w:noWrap w:val="0"/>
            <w:vAlign w:val="center"/>
          </w:tcPr>
          <w:p w14:paraId="1ACE1C15">
            <w:pPr>
              <w:shd w:val="clear"/>
              <w:spacing w:line="440" w:lineRule="exact"/>
              <w:jc w:val="center"/>
              <w:rPr>
                <w:rFonts w:hint="eastAsia" w:ascii="仿宋" w:hAnsi="仿宋" w:eastAsia="仿宋" w:cs="仿宋"/>
                <w:color w:val="auto"/>
                <w:sz w:val="28"/>
                <w:szCs w:val="28"/>
                <w:highlight w:val="none"/>
              </w:rPr>
            </w:pPr>
          </w:p>
        </w:tc>
      </w:tr>
      <w:tr w14:paraId="4821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471" w:type="dxa"/>
            <w:vMerge w:val="continue"/>
            <w:noWrap w:val="0"/>
            <w:textDirection w:val="tbRlV"/>
            <w:vAlign w:val="center"/>
          </w:tcPr>
          <w:p w14:paraId="0DC8D60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A7B91D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950" w:type="dxa"/>
            <w:gridSpan w:val="4"/>
            <w:noWrap w:val="0"/>
            <w:vAlign w:val="top"/>
          </w:tcPr>
          <w:p w14:paraId="57708D37">
            <w:pPr>
              <w:shd w:val="clear"/>
              <w:spacing w:line="440" w:lineRule="exact"/>
              <w:jc w:val="center"/>
              <w:rPr>
                <w:rFonts w:hint="eastAsia" w:ascii="仿宋" w:hAnsi="仿宋" w:eastAsia="仿宋" w:cs="仿宋"/>
                <w:color w:val="auto"/>
                <w:sz w:val="28"/>
                <w:szCs w:val="28"/>
                <w:highlight w:val="none"/>
              </w:rPr>
            </w:pPr>
          </w:p>
        </w:tc>
      </w:tr>
      <w:tr w14:paraId="05D1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9498" w:type="dxa"/>
            <w:gridSpan w:val="6"/>
            <w:noWrap w:val="0"/>
            <w:vAlign w:val="top"/>
          </w:tcPr>
          <w:p w14:paraId="39ADE6D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125C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0" w:hRule="atLeast"/>
          <w:jc w:val="center"/>
        </w:trPr>
        <w:tc>
          <w:tcPr>
            <w:tcW w:w="9498" w:type="dxa"/>
            <w:gridSpan w:val="6"/>
            <w:noWrap w:val="0"/>
            <w:vAlign w:val="top"/>
          </w:tcPr>
          <w:p w14:paraId="70F3F6FA">
            <w:pPr>
              <w:shd w:val="clear"/>
              <w:spacing w:line="440" w:lineRule="exact"/>
              <w:rPr>
                <w:rFonts w:hint="eastAsia" w:ascii="仿宋" w:hAnsi="仿宋" w:eastAsia="仿宋" w:cs="仿宋"/>
                <w:color w:val="auto"/>
                <w:sz w:val="28"/>
                <w:szCs w:val="28"/>
                <w:highlight w:val="none"/>
              </w:rPr>
            </w:pPr>
          </w:p>
        </w:tc>
      </w:tr>
    </w:tbl>
    <w:p w14:paraId="14BDE06F">
      <w:pPr>
        <w:shd w:val="clear"/>
        <w:snapToGrid w:val="0"/>
        <w:spacing w:line="360" w:lineRule="auto"/>
        <w:ind w:firstLine="240" w:firstLineChars="100"/>
        <w:rPr>
          <w:rFonts w:hint="eastAsia" w:ascii="仿宋" w:hAnsi="仿宋" w:eastAsia="仿宋" w:cs="仿宋"/>
          <w:color w:val="auto"/>
          <w:sz w:val="24"/>
          <w:szCs w:val="24"/>
          <w:highlight w:val="none"/>
        </w:rPr>
      </w:pPr>
    </w:p>
    <w:p w14:paraId="18595A64">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370812D">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6FE44856">
      <w:pPr>
        <w:shd w:val="clear"/>
        <w:snapToGrid w:val="0"/>
        <w:spacing w:line="360" w:lineRule="auto"/>
        <w:jc w:val="center"/>
        <w:rPr>
          <w:rFonts w:hint="eastAsia" w:ascii="仿宋" w:hAnsi="仿宋" w:eastAsia="仿宋" w:cs="仿宋"/>
          <w:color w:val="auto"/>
          <w:sz w:val="30"/>
          <w:szCs w:val="30"/>
          <w:highlight w:val="none"/>
        </w:rPr>
      </w:pPr>
    </w:p>
    <w:p w14:paraId="04C4DF99">
      <w:pP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br w:type="page"/>
      </w:r>
    </w:p>
    <w:p w14:paraId="068D96CC">
      <w:pPr>
        <w:pStyle w:val="31"/>
        <w:shd w:val="clear"/>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投标人2023年1月1日至今</w:t>
      </w:r>
    </w:p>
    <w:p w14:paraId="17DDA298">
      <w:pPr>
        <w:pStyle w:val="31"/>
        <w:shd w:val="clear"/>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承揽的类似项目业绩表</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2019"/>
        <w:gridCol w:w="1169"/>
        <w:gridCol w:w="1426"/>
        <w:gridCol w:w="1602"/>
      </w:tblGrid>
      <w:tr w14:paraId="5868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6C21C61E">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15" w:type="dxa"/>
            <w:vAlign w:val="center"/>
          </w:tcPr>
          <w:p w14:paraId="5A5359FC">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2019" w:type="dxa"/>
            <w:vAlign w:val="center"/>
          </w:tcPr>
          <w:p w14:paraId="371396C8">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169" w:type="dxa"/>
            <w:vAlign w:val="center"/>
          </w:tcPr>
          <w:p w14:paraId="45D48064">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合同签订日期</w:t>
            </w:r>
          </w:p>
        </w:tc>
        <w:tc>
          <w:tcPr>
            <w:tcW w:w="1426" w:type="dxa"/>
            <w:vAlign w:val="center"/>
          </w:tcPr>
          <w:p w14:paraId="2B98CF77">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w:t>
            </w:r>
          </w:p>
        </w:tc>
        <w:tc>
          <w:tcPr>
            <w:tcW w:w="1602" w:type="dxa"/>
            <w:vAlign w:val="center"/>
          </w:tcPr>
          <w:p w14:paraId="0064EC82">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28A8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1DA9382D">
            <w:pPr>
              <w:shd w:val="clear"/>
              <w:spacing w:line="360" w:lineRule="auto"/>
              <w:rPr>
                <w:rFonts w:hint="eastAsia" w:ascii="仿宋" w:hAnsi="仿宋" w:eastAsia="仿宋" w:cs="仿宋"/>
                <w:color w:val="auto"/>
                <w:sz w:val="28"/>
                <w:szCs w:val="28"/>
                <w:highlight w:val="none"/>
              </w:rPr>
            </w:pPr>
          </w:p>
        </w:tc>
        <w:tc>
          <w:tcPr>
            <w:tcW w:w="2115" w:type="dxa"/>
            <w:vAlign w:val="center"/>
          </w:tcPr>
          <w:p w14:paraId="61A6BD0C">
            <w:pPr>
              <w:shd w:val="clear"/>
              <w:spacing w:line="360" w:lineRule="auto"/>
              <w:rPr>
                <w:rFonts w:hint="eastAsia" w:ascii="仿宋" w:hAnsi="仿宋" w:eastAsia="仿宋" w:cs="仿宋"/>
                <w:color w:val="auto"/>
                <w:sz w:val="28"/>
                <w:szCs w:val="28"/>
                <w:highlight w:val="none"/>
              </w:rPr>
            </w:pPr>
          </w:p>
        </w:tc>
        <w:tc>
          <w:tcPr>
            <w:tcW w:w="2019" w:type="dxa"/>
            <w:vAlign w:val="center"/>
          </w:tcPr>
          <w:p w14:paraId="39844EC4">
            <w:pPr>
              <w:shd w:val="clear"/>
              <w:spacing w:line="360" w:lineRule="auto"/>
              <w:rPr>
                <w:rFonts w:hint="eastAsia" w:ascii="仿宋" w:hAnsi="仿宋" w:eastAsia="仿宋" w:cs="仿宋"/>
                <w:color w:val="auto"/>
                <w:sz w:val="28"/>
                <w:szCs w:val="28"/>
                <w:highlight w:val="none"/>
              </w:rPr>
            </w:pPr>
          </w:p>
        </w:tc>
        <w:tc>
          <w:tcPr>
            <w:tcW w:w="1169" w:type="dxa"/>
            <w:vAlign w:val="center"/>
          </w:tcPr>
          <w:p w14:paraId="4E3F8806">
            <w:pPr>
              <w:shd w:val="clear"/>
              <w:spacing w:line="360" w:lineRule="auto"/>
              <w:rPr>
                <w:rFonts w:hint="eastAsia" w:ascii="仿宋" w:hAnsi="仿宋" w:eastAsia="仿宋" w:cs="仿宋"/>
                <w:color w:val="auto"/>
                <w:sz w:val="28"/>
                <w:szCs w:val="28"/>
                <w:highlight w:val="none"/>
              </w:rPr>
            </w:pPr>
          </w:p>
        </w:tc>
        <w:tc>
          <w:tcPr>
            <w:tcW w:w="1426" w:type="dxa"/>
            <w:vAlign w:val="center"/>
          </w:tcPr>
          <w:p w14:paraId="0FFBB93E">
            <w:pPr>
              <w:shd w:val="clear"/>
              <w:spacing w:line="360" w:lineRule="auto"/>
              <w:rPr>
                <w:rFonts w:hint="eastAsia" w:ascii="仿宋" w:hAnsi="仿宋" w:eastAsia="仿宋" w:cs="仿宋"/>
                <w:color w:val="auto"/>
                <w:sz w:val="28"/>
                <w:szCs w:val="28"/>
                <w:highlight w:val="none"/>
              </w:rPr>
            </w:pPr>
          </w:p>
        </w:tc>
        <w:tc>
          <w:tcPr>
            <w:tcW w:w="1602" w:type="dxa"/>
            <w:vAlign w:val="center"/>
          </w:tcPr>
          <w:p w14:paraId="51E810E0">
            <w:pPr>
              <w:shd w:val="clear"/>
              <w:spacing w:line="360" w:lineRule="auto"/>
              <w:rPr>
                <w:rFonts w:hint="eastAsia" w:ascii="仿宋" w:hAnsi="仿宋" w:eastAsia="仿宋" w:cs="仿宋"/>
                <w:color w:val="auto"/>
                <w:sz w:val="28"/>
                <w:szCs w:val="28"/>
                <w:highlight w:val="none"/>
              </w:rPr>
            </w:pPr>
          </w:p>
        </w:tc>
      </w:tr>
      <w:tr w14:paraId="24E3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582AC8ED">
            <w:pPr>
              <w:shd w:val="clear"/>
              <w:spacing w:line="360" w:lineRule="auto"/>
              <w:rPr>
                <w:rFonts w:hint="eastAsia" w:ascii="仿宋" w:hAnsi="仿宋" w:eastAsia="仿宋" w:cs="仿宋"/>
                <w:color w:val="auto"/>
                <w:sz w:val="28"/>
                <w:szCs w:val="28"/>
                <w:highlight w:val="none"/>
              </w:rPr>
            </w:pPr>
          </w:p>
        </w:tc>
        <w:tc>
          <w:tcPr>
            <w:tcW w:w="2115" w:type="dxa"/>
            <w:vAlign w:val="center"/>
          </w:tcPr>
          <w:p w14:paraId="05A4B746">
            <w:pPr>
              <w:shd w:val="clear"/>
              <w:spacing w:line="360" w:lineRule="auto"/>
              <w:rPr>
                <w:rFonts w:hint="eastAsia" w:ascii="仿宋" w:hAnsi="仿宋" w:eastAsia="仿宋" w:cs="仿宋"/>
                <w:color w:val="auto"/>
                <w:sz w:val="28"/>
                <w:szCs w:val="28"/>
                <w:highlight w:val="none"/>
              </w:rPr>
            </w:pPr>
          </w:p>
        </w:tc>
        <w:tc>
          <w:tcPr>
            <w:tcW w:w="2019" w:type="dxa"/>
            <w:vAlign w:val="center"/>
          </w:tcPr>
          <w:p w14:paraId="07973551">
            <w:pPr>
              <w:shd w:val="clear"/>
              <w:spacing w:line="360" w:lineRule="auto"/>
              <w:rPr>
                <w:rFonts w:hint="eastAsia" w:ascii="仿宋" w:hAnsi="仿宋" w:eastAsia="仿宋" w:cs="仿宋"/>
                <w:color w:val="auto"/>
                <w:sz w:val="28"/>
                <w:szCs w:val="28"/>
                <w:highlight w:val="none"/>
              </w:rPr>
            </w:pPr>
          </w:p>
        </w:tc>
        <w:tc>
          <w:tcPr>
            <w:tcW w:w="1169" w:type="dxa"/>
            <w:vAlign w:val="center"/>
          </w:tcPr>
          <w:p w14:paraId="0A2B5F5E">
            <w:pPr>
              <w:shd w:val="clear"/>
              <w:spacing w:line="360" w:lineRule="auto"/>
              <w:rPr>
                <w:rFonts w:hint="eastAsia" w:ascii="仿宋" w:hAnsi="仿宋" w:eastAsia="仿宋" w:cs="仿宋"/>
                <w:color w:val="auto"/>
                <w:sz w:val="28"/>
                <w:szCs w:val="28"/>
                <w:highlight w:val="none"/>
              </w:rPr>
            </w:pPr>
          </w:p>
        </w:tc>
        <w:tc>
          <w:tcPr>
            <w:tcW w:w="1426" w:type="dxa"/>
            <w:vAlign w:val="center"/>
          </w:tcPr>
          <w:p w14:paraId="012B8128">
            <w:pPr>
              <w:shd w:val="clear"/>
              <w:spacing w:line="360" w:lineRule="auto"/>
              <w:rPr>
                <w:rFonts w:hint="eastAsia" w:ascii="仿宋" w:hAnsi="仿宋" w:eastAsia="仿宋" w:cs="仿宋"/>
                <w:color w:val="auto"/>
                <w:sz w:val="28"/>
                <w:szCs w:val="28"/>
                <w:highlight w:val="none"/>
              </w:rPr>
            </w:pPr>
          </w:p>
        </w:tc>
        <w:tc>
          <w:tcPr>
            <w:tcW w:w="1602" w:type="dxa"/>
            <w:vAlign w:val="center"/>
          </w:tcPr>
          <w:p w14:paraId="3E433D06">
            <w:pPr>
              <w:shd w:val="clear"/>
              <w:spacing w:line="360" w:lineRule="auto"/>
              <w:rPr>
                <w:rFonts w:hint="eastAsia" w:ascii="仿宋" w:hAnsi="仿宋" w:eastAsia="仿宋" w:cs="仿宋"/>
                <w:color w:val="auto"/>
                <w:sz w:val="28"/>
                <w:szCs w:val="28"/>
                <w:highlight w:val="none"/>
              </w:rPr>
            </w:pPr>
          </w:p>
        </w:tc>
      </w:tr>
      <w:tr w14:paraId="56F8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B40CE02">
            <w:pPr>
              <w:shd w:val="clear"/>
              <w:spacing w:line="360" w:lineRule="auto"/>
              <w:rPr>
                <w:rFonts w:hint="eastAsia" w:ascii="仿宋" w:hAnsi="仿宋" w:eastAsia="仿宋" w:cs="仿宋"/>
                <w:color w:val="auto"/>
                <w:sz w:val="28"/>
                <w:szCs w:val="28"/>
                <w:highlight w:val="none"/>
              </w:rPr>
            </w:pPr>
          </w:p>
        </w:tc>
        <w:tc>
          <w:tcPr>
            <w:tcW w:w="2115" w:type="dxa"/>
            <w:vAlign w:val="center"/>
          </w:tcPr>
          <w:p w14:paraId="7ED738F5">
            <w:pPr>
              <w:shd w:val="clear"/>
              <w:spacing w:line="360" w:lineRule="auto"/>
              <w:rPr>
                <w:rFonts w:hint="eastAsia" w:ascii="仿宋" w:hAnsi="仿宋" w:eastAsia="仿宋" w:cs="仿宋"/>
                <w:color w:val="auto"/>
                <w:sz w:val="28"/>
                <w:szCs w:val="28"/>
                <w:highlight w:val="none"/>
              </w:rPr>
            </w:pPr>
          </w:p>
        </w:tc>
        <w:tc>
          <w:tcPr>
            <w:tcW w:w="2019" w:type="dxa"/>
            <w:vAlign w:val="center"/>
          </w:tcPr>
          <w:p w14:paraId="0EC6AEA5">
            <w:pPr>
              <w:shd w:val="clear"/>
              <w:spacing w:line="360" w:lineRule="auto"/>
              <w:rPr>
                <w:rFonts w:hint="eastAsia" w:ascii="仿宋" w:hAnsi="仿宋" w:eastAsia="仿宋" w:cs="仿宋"/>
                <w:color w:val="auto"/>
                <w:sz w:val="28"/>
                <w:szCs w:val="28"/>
                <w:highlight w:val="none"/>
              </w:rPr>
            </w:pPr>
          </w:p>
        </w:tc>
        <w:tc>
          <w:tcPr>
            <w:tcW w:w="1169" w:type="dxa"/>
            <w:vAlign w:val="center"/>
          </w:tcPr>
          <w:p w14:paraId="211D0DAB">
            <w:pPr>
              <w:shd w:val="clear"/>
              <w:spacing w:line="360" w:lineRule="auto"/>
              <w:rPr>
                <w:rFonts w:hint="eastAsia" w:ascii="仿宋" w:hAnsi="仿宋" w:eastAsia="仿宋" w:cs="仿宋"/>
                <w:color w:val="auto"/>
                <w:sz w:val="28"/>
                <w:szCs w:val="28"/>
                <w:highlight w:val="none"/>
              </w:rPr>
            </w:pPr>
          </w:p>
        </w:tc>
        <w:tc>
          <w:tcPr>
            <w:tcW w:w="1426" w:type="dxa"/>
            <w:vAlign w:val="center"/>
          </w:tcPr>
          <w:p w14:paraId="2416AAB7">
            <w:pPr>
              <w:shd w:val="clear"/>
              <w:spacing w:line="360" w:lineRule="auto"/>
              <w:rPr>
                <w:rFonts w:hint="eastAsia" w:ascii="仿宋" w:hAnsi="仿宋" w:eastAsia="仿宋" w:cs="仿宋"/>
                <w:color w:val="auto"/>
                <w:sz w:val="28"/>
                <w:szCs w:val="28"/>
                <w:highlight w:val="none"/>
              </w:rPr>
            </w:pPr>
          </w:p>
        </w:tc>
        <w:tc>
          <w:tcPr>
            <w:tcW w:w="1602" w:type="dxa"/>
            <w:vAlign w:val="center"/>
          </w:tcPr>
          <w:p w14:paraId="7979DFAA">
            <w:pPr>
              <w:shd w:val="clear"/>
              <w:spacing w:line="360" w:lineRule="auto"/>
              <w:rPr>
                <w:rFonts w:hint="eastAsia" w:ascii="仿宋" w:hAnsi="仿宋" w:eastAsia="仿宋" w:cs="仿宋"/>
                <w:color w:val="auto"/>
                <w:sz w:val="28"/>
                <w:szCs w:val="28"/>
                <w:highlight w:val="none"/>
              </w:rPr>
            </w:pPr>
          </w:p>
        </w:tc>
      </w:tr>
      <w:tr w14:paraId="7182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7685D1B">
            <w:pPr>
              <w:shd w:val="clear"/>
              <w:spacing w:line="360" w:lineRule="auto"/>
              <w:rPr>
                <w:rFonts w:hint="eastAsia" w:ascii="仿宋" w:hAnsi="仿宋" w:eastAsia="仿宋" w:cs="仿宋"/>
                <w:color w:val="auto"/>
                <w:sz w:val="28"/>
                <w:szCs w:val="28"/>
                <w:highlight w:val="none"/>
              </w:rPr>
            </w:pPr>
          </w:p>
        </w:tc>
        <w:tc>
          <w:tcPr>
            <w:tcW w:w="2115" w:type="dxa"/>
            <w:vAlign w:val="center"/>
          </w:tcPr>
          <w:p w14:paraId="4E1A33F1">
            <w:pPr>
              <w:shd w:val="clear"/>
              <w:spacing w:line="360" w:lineRule="auto"/>
              <w:rPr>
                <w:rFonts w:hint="eastAsia" w:ascii="仿宋" w:hAnsi="仿宋" w:eastAsia="仿宋" w:cs="仿宋"/>
                <w:color w:val="auto"/>
                <w:sz w:val="28"/>
                <w:szCs w:val="28"/>
                <w:highlight w:val="none"/>
              </w:rPr>
            </w:pPr>
          </w:p>
        </w:tc>
        <w:tc>
          <w:tcPr>
            <w:tcW w:w="2019" w:type="dxa"/>
            <w:vAlign w:val="center"/>
          </w:tcPr>
          <w:p w14:paraId="18F9DB5D">
            <w:pPr>
              <w:shd w:val="clear"/>
              <w:spacing w:line="360" w:lineRule="auto"/>
              <w:rPr>
                <w:rFonts w:hint="eastAsia" w:ascii="仿宋" w:hAnsi="仿宋" w:eastAsia="仿宋" w:cs="仿宋"/>
                <w:color w:val="auto"/>
                <w:sz w:val="28"/>
                <w:szCs w:val="28"/>
                <w:highlight w:val="none"/>
              </w:rPr>
            </w:pPr>
          </w:p>
        </w:tc>
        <w:tc>
          <w:tcPr>
            <w:tcW w:w="1169" w:type="dxa"/>
            <w:vAlign w:val="center"/>
          </w:tcPr>
          <w:p w14:paraId="5D4EA8F2">
            <w:pPr>
              <w:shd w:val="clear"/>
              <w:spacing w:line="360" w:lineRule="auto"/>
              <w:rPr>
                <w:rFonts w:hint="eastAsia" w:ascii="仿宋" w:hAnsi="仿宋" w:eastAsia="仿宋" w:cs="仿宋"/>
                <w:color w:val="auto"/>
                <w:sz w:val="28"/>
                <w:szCs w:val="28"/>
                <w:highlight w:val="none"/>
              </w:rPr>
            </w:pPr>
          </w:p>
        </w:tc>
        <w:tc>
          <w:tcPr>
            <w:tcW w:w="1426" w:type="dxa"/>
            <w:vAlign w:val="center"/>
          </w:tcPr>
          <w:p w14:paraId="4C3C9AE5">
            <w:pPr>
              <w:shd w:val="clear"/>
              <w:spacing w:line="360" w:lineRule="auto"/>
              <w:rPr>
                <w:rFonts w:hint="eastAsia" w:ascii="仿宋" w:hAnsi="仿宋" w:eastAsia="仿宋" w:cs="仿宋"/>
                <w:color w:val="auto"/>
                <w:sz w:val="28"/>
                <w:szCs w:val="28"/>
                <w:highlight w:val="none"/>
              </w:rPr>
            </w:pPr>
          </w:p>
        </w:tc>
        <w:tc>
          <w:tcPr>
            <w:tcW w:w="1602" w:type="dxa"/>
            <w:vAlign w:val="center"/>
          </w:tcPr>
          <w:p w14:paraId="749D4A4C">
            <w:pPr>
              <w:shd w:val="clear"/>
              <w:spacing w:line="360" w:lineRule="auto"/>
              <w:rPr>
                <w:rFonts w:hint="eastAsia" w:ascii="仿宋" w:hAnsi="仿宋" w:eastAsia="仿宋" w:cs="仿宋"/>
                <w:color w:val="auto"/>
                <w:sz w:val="28"/>
                <w:szCs w:val="28"/>
                <w:highlight w:val="none"/>
              </w:rPr>
            </w:pPr>
          </w:p>
        </w:tc>
      </w:tr>
      <w:tr w14:paraId="2A6D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FFDD963">
            <w:pPr>
              <w:shd w:val="clear"/>
              <w:spacing w:line="360" w:lineRule="auto"/>
              <w:rPr>
                <w:rFonts w:hint="eastAsia" w:ascii="仿宋" w:hAnsi="仿宋" w:eastAsia="仿宋" w:cs="仿宋"/>
                <w:color w:val="auto"/>
                <w:sz w:val="28"/>
                <w:szCs w:val="28"/>
                <w:highlight w:val="none"/>
              </w:rPr>
            </w:pPr>
          </w:p>
        </w:tc>
        <w:tc>
          <w:tcPr>
            <w:tcW w:w="2115" w:type="dxa"/>
            <w:vAlign w:val="center"/>
          </w:tcPr>
          <w:p w14:paraId="0DCE2A19">
            <w:pPr>
              <w:shd w:val="clear"/>
              <w:spacing w:line="360" w:lineRule="auto"/>
              <w:rPr>
                <w:rFonts w:hint="eastAsia" w:ascii="仿宋" w:hAnsi="仿宋" w:eastAsia="仿宋" w:cs="仿宋"/>
                <w:color w:val="auto"/>
                <w:sz w:val="28"/>
                <w:szCs w:val="28"/>
                <w:highlight w:val="none"/>
              </w:rPr>
            </w:pPr>
          </w:p>
        </w:tc>
        <w:tc>
          <w:tcPr>
            <w:tcW w:w="2019" w:type="dxa"/>
            <w:vAlign w:val="center"/>
          </w:tcPr>
          <w:p w14:paraId="3216E57C">
            <w:pPr>
              <w:shd w:val="clear"/>
              <w:spacing w:line="360" w:lineRule="auto"/>
              <w:rPr>
                <w:rFonts w:hint="eastAsia" w:ascii="仿宋" w:hAnsi="仿宋" w:eastAsia="仿宋" w:cs="仿宋"/>
                <w:color w:val="auto"/>
                <w:sz w:val="28"/>
                <w:szCs w:val="28"/>
                <w:highlight w:val="none"/>
              </w:rPr>
            </w:pPr>
          </w:p>
        </w:tc>
        <w:tc>
          <w:tcPr>
            <w:tcW w:w="1169" w:type="dxa"/>
            <w:vAlign w:val="center"/>
          </w:tcPr>
          <w:p w14:paraId="09732C34">
            <w:pPr>
              <w:shd w:val="clear"/>
              <w:spacing w:line="360" w:lineRule="auto"/>
              <w:rPr>
                <w:rFonts w:hint="eastAsia" w:ascii="仿宋" w:hAnsi="仿宋" w:eastAsia="仿宋" w:cs="仿宋"/>
                <w:color w:val="auto"/>
                <w:sz w:val="28"/>
                <w:szCs w:val="28"/>
                <w:highlight w:val="none"/>
              </w:rPr>
            </w:pPr>
          </w:p>
        </w:tc>
        <w:tc>
          <w:tcPr>
            <w:tcW w:w="1426" w:type="dxa"/>
            <w:vAlign w:val="center"/>
          </w:tcPr>
          <w:p w14:paraId="60332529">
            <w:pPr>
              <w:shd w:val="clear"/>
              <w:spacing w:line="360" w:lineRule="auto"/>
              <w:rPr>
                <w:rFonts w:hint="eastAsia" w:ascii="仿宋" w:hAnsi="仿宋" w:eastAsia="仿宋" w:cs="仿宋"/>
                <w:color w:val="auto"/>
                <w:sz w:val="28"/>
                <w:szCs w:val="28"/>
                <w:highlight w:val="none"/>
              </w:rPr>
            </w:pPr>
          </w:p>
        </w:tc>
        <w:tc>
          <w:tcPr>
            <w:tcW w:w="1602" w:type="dxa"/>
            <w:vAlign w:val="center"/>
          </w:tcPr>
          <w:p w14:paraId="4A34E065">
            <w:pPr>
              <w:shd w:val="clear"/>
              <w:spacing w:line="360" w:lineRule="auto"/>
              <w:rPr>
                <w:rFonts w:hint="eastAsia" w:ascii="仿宋" w:hAnsi="仿宋" w:eastAsia="仿宋" w:cs="仿宋"/>
                <w:color w:val="auto"/>
                <w:sz w:val="28"/>
                <w:szCs w:val="28"/>
                <w:highlight w:val="none"/>
              </w:rPr>
            </w:pPr>
          </w:p>
        </w:tc>
      </w:tr>
      <w:tr w14:paraId="37C7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D7EAE4B">
            <w:pPr>
              <w:shd w:val="clear"/>
              <w:spacing w:line="360" w:lineRule="auto"/>
              <w:rPr>
                <w:rFonts w:hint="eastAsia" w:ascii="仿宋" w:hAnsi="仿宋" w:eastAsia="仿宋" w:cs="仿宋"/>
                <w:color w:val="auto"/>
                <w:sz w:val="28"/>
                <w:szCs w:val="28"/>
                <w:highlight w:val="none"/>
              </w:rPr>
            </w:pPr>
          </w:p>
        </w:tc>
        <w:tc>
          <w:tcPr>
            <w:tcW w:w="2115" w:type="dxa"/>
            <w:vAlign w:val="center"/>
          </w:tcPr>
          <w:p w14:paraId="60C8ABBB">
            <w:pPr>
              <w:shd w:val="clear"/>
              <w:spacing w:line="360" w:lineRule="auto"/>
              <w:rPr>
                <w:rFonts w:hint="eastAsia" w:ascii="仿宋" w:hAnsi="仿宋" w:eastAsia="仿宋" w:cs="仿宋"/>
                <w:color w:val="auto"/>
                <w:sz w:val="28"/>
                <w:szCs w:val="28"/>
                <w:highlight w:val="none"/>
              </w:rPr>
            </w:pPr>
          </w:p>
        </w:tc>
        <w:tc>
          <w:tcPr>
            <w:tcW w:w="2019" w:type="dxa"/>
            <w:vAlign w:val="center"/>
          </w:tcPr>
          <w:p w14:paraId="7071ADEA">
            <w:pPr>
              <w:shd w:val="clear"/>
              <w:spacing w:line="360" w:lineRule="auto"/>
              <w:rPr>
                <w:rFonts w:hint="eastAsia" w:ascii="仿宋" w:hAnsi="仿宋" w:eastAsia="仿宋" w:cs="仿宋"/>
                <w:color w:val="auto"/>
                <w:sz w:val="28"/>
                <w:szCs w:val="28"/>
                <w:highlight w:val="none"/>
              </w:rPr>
            </w:pPr>
          </w:p>
        </w:tc>
        <w:tc>
          <w:tcPr>
            <w:tcW w:w="1169" w:type="dxa"/>
            <w:vAlign w:val="center"/>
          </w:tcPr>
          <w:p w14:paraId="08BEA9C1">
            <w:pPr>
              <w:shd w:val="clear"/>
              <w:spacing w:line="360" w:lineRule="auto"/>
              <w:rPr>
                <w:rFonts w:hint="eastAsia" w:ascii="仿宋" w:hAnsi="仿宋" w:eastAsia="仿宋" w:cs="仿宋"/>
                <w:color w:val="auto"/>
                <w:sz w:val="28"/>
                <w:szCs w:val="28"/>
                <w:highlight w:val="none"/>
              </w:rPr>
            </w:pPr>
          </w:p>
        </w:tc>
        <w:tc>
          <w:tcPr>
            <w:tcW w:w="1426" w:type="dxa"/>
            <w:vAlign w:val="center"/>
          </w:tcPr>
          <w:p w14:paraId="13A03E6B">
            <w:pPr>
              <w:shd w:val="clear"/>
              <w:spacing w:line="360" w:lineRule="auto"/>
              <w:rPr>
                <w:rFonts w:hint="eastAsia" w:ascii="仿宋" w:hAnsi="仿宋" w:eastAsia="仿宋" w:cs="仿宋"/>
                <w:color w:val="auto"/>
                <w:sz w:val="28"/>
                <w:szCs w:val="28"/>
                <w:highlight w:val="none"/>
              </w:rPr>
            </w:pPr>
          </w:p>
        </w:tc>
        <w:tc>
          <w:tcPr>
            <w:tcW w:w="1602" w:type="dxa"/>
            <w:vAlign w:val="center"/>
          </w:tcPr>
          <w:p w14:paraId="240C20C0">
            <w:pPr>
              <w:shd w:val="clear"/>
              <w:spacing w:line="360" w:lineRule="auto"/>
              <w:rPr>
                <w:rFonts w:hint="eastAsia" w:ascii="仿宋" w:hAnsi="仿宋" w:eastAsia="仿宋" w:cs="仿宋"/>
                <w:color w:val="auto"/>
                <w:sz w:val="28"/>
                <w:szCs w:val="28"/>
                <w:highlight w:val="none"/>
              </w:rPr>
            </w:pPr>
          </w:p>
        </w:tc>
      </w:tr>
      <w:tr w14:paraId="59F5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3801CD6">
            <w:pPr>
              <w:shd w:val="clear"/>
              <w:spacing w:line="360" w:lineRule="auto"/>
              <w:rPr>
                <w:rFonts w:hint="eastAsia" w:ascii="仿宋" w:hAnsi="仿宋" w:eastAsia="仿宋" w:cs="仿宋"/>
                <w:color w:val="auto"/>
                <w:sz w:val="28"/>
                <w:szCs w:val="28"/>
                <w:highlight w:val="none"/>
              </w:rPr>
            </w:pPr>
          </w:p>
        </w:tc>
        <w:tc>
          <w:tcPr>
            <w:tcW w:w="2115" w:type="dxa"/>
            <w:vAlign w:val="center"/>
          </w:tcPr>
          <w:p w14:paraId="48FA9DBE">
            <w:pPr>
              <w:shd w:val="clear"/>
              <w:spacing w:line="360" w:lineRule="auto"/>
              <w:rPr>
                <w:rFonts w:hint="eastAsia" w:ascii="仿宋" w:hAnsi="仿宋" w:eastAsia="仿宋" w:cs="仿宋"/>
                <w:color w:val="auto"/>
                <w:sz w:val="28"/>
                <w:szCs w:val="28"/>
                <w:highlight w:val="none"/>
              </w:rPr>
            </w:pPr>
          </w:p>
        </w:tc>
        <w:tc>
          <w:tcPr>
            <w:tcW w:w="2019" w:type="dxa"/>
            <w:vAlign w:val="center"/>
          </w:tcPr>
          <w:p w14:paraId="6E7F8C56">
            <w:pPr>
              <w:shd w:val="clear"/>
              <w:spacing w:line="360" w:lineRule="auto"/>
              <w:rPr>
                <w:rFonts w:hint="eastAsia" w:ascii="仿宋" w:hAnsi="仿宋" w:eastAsia="仿宋" w:cs="仿宋"/>
                <w:color w:val="auto"/>
                <w:sz w:val="28"/>
                <w:szCs w:val="28"/>
                <w:highlight w:val="none"/>
              </w:rPr>
            </w:pPr>
          </w:p>
        </w:tc>
        <w:tc>
          <w:tcPr>
            <w:tcW w:w="1169" w:type="dxa"/>
            <w:vAlign w:val="center"/>
          </w:tcPr>
          <w:p w14:paraId="466E2FD4">
            <w:pPr>
              <w:shd w:val="clear"/>
              <w:spacing w:line="360" w:lineRule="auto"/>
              <w:rPr>
                <w:rFonts w:hint="eastAsia" w:ascii="仿宋" w:hAnsi="仿宋" w:eastAsia="仿宋" w:cs="仿宋"/>
                <w:color w:val="auto"/>
                <w:sz w:val="28"/>
                <w:szCs w:val="28"/>
                <w:highlight w:val="none"/>
              </w:rPr>
            </w:pPr>
          </w:p>
        </w:tc>
        <w:tc>
          <w:tcPr>
            <w:tcW w:w="1426" w:type="dxa"/>
            <w:vAlign w:val="center"/>
          </w:tcPr>
          <w:p w14:paraId="1823A1C6">
            <w:pPr>
              <w:shd w:val="clear"/>
              <w:spacing w:line="360" w:lineRule="auto"/>
              <w:rPr>
                <w:rFonts w:hint="eastAsia" w:ascii="仿宋" w:hAnsi="仿宋" w:eastAsia="仿宋" w:cs="仿宋"/>
                <w:color w:val="auto"/>
                <w:sz w:val="28"/>
                <w:szCs w:val="28"/>
                <w:highlight w:val="none"/>
              </w:rPr>
            </w:pPr>
          </w:p>
        </w:tc>
        <w:tc>
          <w:tcPr>
            <w:tcW w:w="1602" w:type="dxa"/>
            <w:vAlign w:val="center"/>
          </w:tcPr>
          <w:p w14:paraId="2DBEB78C">
            <w:pPr>
              <w:shd w:val="clear"/>
              <w:spacing w:line="360" w:lineRule="auto"/>
              <w:rPr>
                <w:rFonts w:hint="eastAsia" w:ascii="仿宋" w:hAnsi="仿宋" w:eastAsia="仿宋" w:cs="仿宋"/>
                <w:color w:val="auto"/>
                <w:sz w:val="28"/>
                <w:szCs w:val="28"/>
                <w:highlight w:val="none"/>
              </w:rPr>
            </w:pPr>
          </w:p>
        </w:tc>
      </w:tr>
      <w:tr w14:paraId="6D45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A92E060">
            <w:pPr>
              <w:shd w:val="clear"/>
              <w:spacing w:line="360" w:lineRule="auto"/>
              <w:rPr>
                <w:rFonts w:hint="eastAsia" w:ascii="仿宋" w:hAnsi="仿宋" w:eastAsia="仿宋" w:cs="仿宋"/>
                <w:color w:val="auto"/>
                <w:sz w:val="28"/>
                <w:szCs w:val="28"/>
                <w:highlight w:val="none"/>
              </w:rPr>
            </w:pPr>
          </w:p>
        </w:tc>
        <w:tc>
          <w:tcPr>
            <w:tcW w:w="2115" w:type="dxa"/>
            <w:vAlign w:val="center"/>
          </w:tcPr>
          <w:p w14:paraId="21D86461">
            <w:pPr>
              <w:shd w:val="clear"/>
              <w:spacing w:line="360" w:lineRule="auto"/>
              <w:rPr>
                <w:rFonts w:hint="eastAsia" w:ascii="仿宋" w:hAnsi="仿宋" w:eastAsia="仿宋" w:cs="仿宋"/>
                <w:color w:val="auto"/>
                <w:sz w:val="28"/>
                <w:szCs w:val="28"/>
                <w:highlight w:val="none"/>
              </w:rPr>
            </w:pPr>
          </w:p>
        </w:tc>
        <w:tc>
          <w:tcPr>
            <w:tcW w:w="2019" w:type="dxa"/>
            <w:vAlign w:val="center"/>
          </w:tcPr>
          <w:p w14:paraId="1F937635">
            <w:pPr>
              <w:shd w:val="clear"/>
              <w:spacing w:line="360" w:lineRule="auto"/>
              <w:rPr>
                <w:rFonts w:hint="eastAsia" w:ascii="仿宋" w:hAnsi="仿宋" w:eastAsia="仿宋" w:cs="仿宋"/>
                <w:color w:val="auto"/>
                <w:sz w:val="28"/>
                <w:szCs w:val="28"/>
                <w:highlight w:val="none"/>
              </w:rPr>
            </w:pPr>
          </w:p>
        </w:tc>
        <w:tc>
          <w:tcPr>
            <w:tcW w:w="1169" w:type="dxa"/>
            <w:vAlign w:val="center"/>
          </w:tcPr>
          <w:p w14:paraId="12775ABF">
            <w:pPr>
              <w:shd w:val="clear"/>
              <w:spacing w:line="360" w:lineRule="auto"/>
              <w:rPr>
                <w:rFonts w:hint="eastAsia" w:ascii="仿宋" w:hAnsi="仿宋" w:eastAsia="仿宋" w:cs="仿宋"/>
                <w:color w:val="auto"/>
                <w:sz w:val="28"/>
                <w:szCs w:val="28"/>
                <w:highlight w:val="none"/>
              </w:rPr>
            </w:pPr>
          </w:p>
        </w:tc>
        <w:tc>
          <w:tcPr>
            <w:tcW w:w="1426" w:type="dxa"/>
            <w:vAlign w:val="center"/>
          </w:tcPr>
          <w:p w14:paraId="1F6A8429">
            <w:pPr>
              <w:shd w:val="clear"/>
              <w:spacing w:line="360" w:lineRule="auto"/>
              <w:rPr>
                <w:rFonts w:hint="eastAsia" w:ascii="仿宋" w:hAnsi="仿宋" w:eastAsia="仿宋" w:cs="仿宋"/>
                <w:color w:val="auto"/>
                <w:sz w:val="28"/>
                <w:szCs w:val="28"/>
                <w:highlight w:val="none"/>
              </w:rPr>
            </w:pPr>
          </w:p>
        </w:tc>
        <w:tc>
          <w:tcPr>
            <w:tcW w:w="1602" w:type="dxa"/>
            <w:vAlign w:val="center"/>
          </w:tcPr>
          <w:p w14:paraId="71CF4059">
            <w:pPr>
              <w:shd w:val="clear"/>
              <w:spacing w:line="360" w:lineRule="auto"/>
              <w:rPr>
                <w:rFonts w:hint="eastAsia" w:ascii="仿宋" w:hAnsi="仿宋" w:eastAsia="仿宋" w:cs="仿宋"/>
                <w:color w:val="auto"/>
                <w:sz w:val="28"/>
                <w:szCs w:val="28"/>
                <w:highlight w:val="none"/>
              </w:rPr>
            </w:pPr>
          </w:p>
        </w:tc>
      </w:tr>
    </w:tbl>
    <w:p w14:paraId="662C69C6">
      <w:pPr>
        <w:shd w:val="clear"/>
        <w:spacing w:line="360" w:lineRule="auto"/>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附：</w:t>
      </w:r>
      <w:r>
        <w:rPr>
          <w:rFonts w:hint="eastAsia" w:ascii="仿宋" w:hAnsi="仿宋" w:eastAsia="仿宋" w:cs="仿宋"/>
          <w:bCs/>
          <w:color w:val="auto"/>
          <w:sz w:val="28"/>
          <w:szCs w:val="28"/>
          <w:highlight w:val="none"/>
          <w:lang w:val="en-US" w:eastAsia="zh-CN"/>
        </w:rPr>
        <w:t>评标办法要求的</w:t>
      </w:r>
      <w:r>
        <w:rPr>
          <w:rFonts w:hint="eastAsia" w:ascii="仿宋" w:hAnsi="仿宋" w:eastAsia="仿宋" w:cs="仿宋"/>
          <w:bCs/>
          <w:color w:val="auto"/>
          <w:sz w:val="28"/>
          <w:szCs w:val="28"/>
          <w:highlight w:val="none"/>
        </w:rPr>
        <w:t>证明材料</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否则不得分</w:t>
      </w:r>
      <w:r>
        <w:rPr>
          <w:rFonts w:hint="eastAsia" w:ascii="仿宋" w:hAnsi="仿宋" w:eastAsia="仿宋" w:cs="仿宋"/>
          <w:bCs/>
          <w:color w:val="auto"/>
          <w:sz w:val="28"/>
          <w:szCs w:val="28"/>
          <w:highlight w:val="none"/>
        </w:rPr>
        <w:t>。</w:t>
      </w:r>
    </w:p>
    <w:p w14:paraId="3731E675">
      <w:pPr>
        <w:shd w:val="clear"/>
        <w:spacing w:line="360" w:lineRule="auto"/>
        <w:rPr>
          <w:rFonts w:hint="eastAsia" w:ascii="仿宋" w:hAnsi="仿宋" w:eastAsia="仿宋" w:cs="仿宋"/>
          <w:color w:val="auto"/>
          <w:sz w:val="24"/>
          <w:highlight w:val="none"/>
        </w:rPr>
      </w:pPr>
    </w:p>
    <w:p w14:paraId="1A69C871">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63BD97F9">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512D3B36">
      <w:pPr>
        <w:pStyle w:val="31"/>
        <w:shd w:val="clear"/>
        <w:spacing w:line="360" w:lineRule="auto"/>
        <w:jc w:val="center"/>
        <w:rPr>
          <w:rFonts w:hint="eastAsia" w:ascii="仿宋" w:hAnsi="仿宋" w:eastAsia="仿宋" w:cs="仿宋"/>
          <w:bCs/>
          <w:color w:val="auto"/>
          <w:sz w:val="44"/>
          <w:szCs w:val="32"/>
          <w:highlight w:val="none"/>
        </w:rPr>
      </w:pPr>
    </w:p>
    <w:p w14:paraId="7C938B7C">
      <w:pPr>
        <w:shd w:val="clear"/>
        <w:rPr>
          <w:rFonts w:hint="eastAsia"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br w:type="page"/>
      </w:r>
    </w:p>
    <w:p w14:paraId="1BCB0BF1">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技术文件</w:t>
      </w:r>
      <w:bookmarkEnd w:id="100"/>
    </w:p>
    <w:p w14:paraId="57C82152">
      <w:pPr>
        <w:numPr>
          <w:ilvl w:val="0"/>
          <w:numId w:val="0"/>
        </w:numPr>
        <w:shd w:val="clear"/>
        <w:spacing w:line="360" w:lineRule="auto"/>
        <w:rPr>
          <w:rFonts w:hint="eastAsia" w:ascii="仿宋" w:hAnsi="仿宋" w:eastAsia="仿宋" w:cs="仿宋"/>
          <w:color w:val="auto"/>
          <w:kern w:val="2"/>
          <w:sz w:val="28"/>
          <w:szCs w:val="28"/>
          <w:highlight w:val="none"/>
          <w:lang w:val="en-US" w:eastAsia="zh-CN" w:bidi="ar-SA"/>
        </w:rPr>
      </w:pPr>
    </w:p>
    <w:p w14:paraId="45111786">
      <w:pPr>
        <w:numPr>
          <w:ilvl w:val="0"/>
          <w:numId w:val="5"/>
        </w:num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产品性能</w:t>
      </w:r>
    </w:p>
    <w:p w14:paraId="61E640EB">
      <w:pPr>
        <w:widowControl w:val="0"/>
        <w:numPr>
          <w:ilvl w:val="0"/>
          <w:numId w:val="0"/>
        </w:numPr>
        <w:shd w:val="clear"/>
        <w:spacing w:line="360" w:lineRule="auto"/>
        <w:jc w:val="both"/>
        <w:rPr>
          <w:rFonts w:hint="eastAsia" w:ascii="仿宋" w:hAnsi="仿宋" w:eastAsia="仿宋" w:cs="仿宋"/>
          <w:color w:val="auto"/>
          <w:sz w:val="28"/>
          <w:szCs w:val="28"/>
          <w:highlight w:val="none"/>
          <w:lang w:val="en-US" w:eastAsia="zh-CN"/>
        </w:rPr>
      </w:pPr>
    </w:p>
    <w:p w14:paraId="62CAC377">
      <w:pPr>
        <w:numPr>
          <w:ilvl w:val="0"/>
          <w:numId w:val="0"/>
        </w:num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2.质量保证方案</w:t>
      </w:r>
    </w:p>
    <w:p w14:paraId="7B1B4F84">
      <w:pPr>
        <w:numPr>
          <w:ilvl w:val="0"/>
          <w:numId w:val="0"/>
        </w:numPr>
        <w:shd w:val="clear"/>
        <w:spacing w:line="360" w:lineRule="auto"/>
        <w:rPr>
          <w:rFonts w:hint="eastAsia" w:ascii="仿宋" w:hAnsi="仿宋" w:eastAsia="仿宋" w:cs="仿宋"/>
          <w:color w:val="auto"/>
          <w:sz w:val="28"/>
          <w:szCs w:val="28"/>
          <w:highlight w:val="none"/>
        </w:rPr>
      </w:pPr>
    </w:p>
    <w:p w14:paraId="2083FF8A">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售后</w:t>
      </w:r>
      <w:r>
        <w:rPr>
          <w:rFonts w:hint="eastAsia" w:ascii="仿宋" w:hAnsi="仿宋" w:eastAsia="仿宋" w:cs="仿宋"/>
          <w:color w:val="auto"/>
          <w:sz w:val="28"/>
          <w:szCs w:val="28"/>
          <w:highlight w:val="none"/>
        </w:rPr>
        <w:t>服务承诺</w:t>
      </w:r>
    </w:p>
    <w:p w14:paraId="214346ED">
      <w:pPr>
        <w:shd w:val="clear"/>
        <w:rPr>
          <w:rFonts w:hint="eastAsia" w:ascii="仿宋" w:hAnsi="仿宋" w:eastAsia="仿宋" w:cs="仿宋"/>
          <w:color w:val="auto"/>
          <w:highlight w:val="none"/>
        </w:rPr>
      </w:pPr>
    </w:p>
    <w:p w14:paraId="78AA1218">
      <w:pPr>
        <w:shd w:val="clear"/>
        <w:rPr>
          <w:rFonts w:hint="eastAsia" w:ascii="仿宋" w:hAnsi="仿宋" w:eastAsia="仿宋" w:cs="仿宋"/>
          <w:color w:val="auto"/>
          <w:highlight w:val="none"/>
        </w:rPr>
      </w:pPr>
    </w:p>
    <w:p w14:paraId="7E13702D">
      <w:pPr>
        <w:pStyle w:val="19"/>
        <w:shd w:val="clear"/>
        <w:rPr>
          <w:rFonts w:hint="eastAsia" w:ascii="仿宋" w:hAnsi="仿宋" w:eastAsia="仿宋" w:cs="仿宋"/>
          <w:color w:val="auto"/>
          <w:highlight w:val="none"/>
        </w:rPr>
      </w:pPr>
    </w:p>
    <w:p w14:paraId="180C2C47">
      <w:pPr>
        <w:shd w:val="clear"/>
        <w:rPr>
          <w:rFonts w:hint="eastAsia" w:ascii="仿宋" w:hAnsi="仿宋" w:eastAsia="仿宋" w:cs="仿宋"/>
          <w:color w:val="auto"/>
          <w:highlight w:val="none"/>
        </w:rPr>
      </w:pPr>
    </w:p>
    <w:p w14:paraId="0F97D7BE">
      <w:pPr>
        <w:rPr>
          <w:rFonts w:hint="eastAsia" w:ascii="仿宋" w:hAnsi="仿宋" w:eastAsia="仿宋" w:cs="仿宋"/>
          <w:color w:val="auto"/>
          <w:highlight w:val="none"/>
        </w:rPr>
      </w:pPr>
      <w:bookmarkStart w:id="101" w:name="_Toc66864056"/>
      <w:r>
        <w:rPr>
          <w:rFonts w:hint="eastAsia" w:ascii="仿宋" w:hAnsi="仿宋" w:eastAsia="仿宋" w:cs="仿宋"/>
          <w:color w:val="auto"/>
          <w:highlight w:val="none"/>
        </w:rPr>
        <w:br w:type="page"/>
      </w:r>
    </w:p>
    <w:bookmarkEnd w:id="88"/>
    <w:bookmarkEnd w:id="101"/>
    <w:p w14:paraId="0E8AC6B5">
      <w:pPr>
        <w:pStyle w:val="2"/>
        <w:pageBreakBefore/>
        <w:jc w:val="center"/>
        <w:rPr>
          <w:rFonts w:hint="eastAsia" w:hAnsi="宋体" w:cs="宋体"/>
          <w:highlight w:val="none"/>
        </w:rPr>
      </w:pPr>
      <w:r>
        <w:rPr>
          <w:rFonts w:hint="eastAsia" w:ascii="仿宋" w:hAnsi="仿宋" w:eastAsia="仿宋" w:cs="仿宋"/>
          <w:color w:val="auto"/>
          <w:highlight w:val="none"/>
        </w:rPr>
        <w:t>第</w:t>
      </w:r>
      <w:r>
        <w:rPr>
          <w:rFonts w:hint="eastAsia" w:ascii="仿宋" w:hAnsi="仿宋" w:eastAsia="仿宋" w:cs="仿宋"/>
          <w:color w:val="auto"/>
          <w:highlight w:val="none"/>
          <w:lang w:val="en-US" w:eastAsia="zh-CN"/>
        </w:rPr>
        <w:t>六</w:t>
      </w:r>
      <w:r>
        <w:rPr>
          <w:rFonts w:hint="eastAsia" w:ascii="仿宋" w:hAnsi="仿宋" w:eastAsia="仿宋" w:cs="仿宋"/>
          <w:color w:val="auto"/>
          <w:highlight w:val="none"/>
        </w:rPr>
        <w:t xml:space="preserve">章 </w:t>
      </w:r>
      <w:bookmarkStart w:id="102" w:name="_Toc29881"/>
      <w:bookmarkStart w:id="103" w:name="_Toc30805"/>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合 同 书 （范本）</w:t>
      </w:r>
      <w:bookmarkEnd w:id="102"/>
      <w:bookmarkEnd w:id="103"/>
    </w:p>
    <w:p w14:paraId="5938FE0F">
      <w:pPr>
        <w:ind w:firstLine="4500" w:firstLineChars="1500"/>
        <w:jc w:val="left"/>
        <w:rPr>
          <w:rFonts w:ascii="仿宋" w:hAnsi="仿宋" w:eastAsia="仿宋" w:cs="仿宋"/>
          <w:color w:val="000000"/>
          <w:sz w:val="30"/>
          <w:szCs w:val="30"/>
          <w:highlight w:val="none"/>
        </w:rPr>
      </w:pPr>
      <w:r>
        <w:rPr>
          <w:rFonts w:hint="eastAsia" w:ascii="仿宋" w:hAnsi="仿宋" w:eastAsia="仿宋" w:cs="仿宋"/>
          <w:color w:val="000000"/>
          <w:sz w:val="30"/>
          <w:szCs w:val="30"/>
          <w:highlight w:val="none"/>
        </w:rPr>
        <w:t xml:space="preserve">合同编号： </w:t>
      </w:r>
    </w:p>
    <w:p w14:paraId="78A2A7EB">
      <w:pPr>
        <w:ind w:firstLine="4500" w:firstLineChars="1500"/>
        <w:jc w:val="left"/>
        <w:rPr>
          <w:rFonts w:hint="eastAsia" w:ascii="仿宋" w:hAnsi="仿宋" w:eastAsia="仿宋" w:cs="仿宋"/>
          <w:color w:val="000000"/>
          <w:sz w:val="28"/>
          <w:szCs w:val="28"/>
          <w:highlight w:val="none"/>
        </w:rPr>
      </w:pPr>
      <w:r>
        <w:rPr>
          <w:rFonts w:hint="eastAsia" w:ascii="仿宋" w:hAnsi="仿宋" w:eastAsia="仿宋" w:cs="仿宋"/>
          <w:color w:val="000000"/>
          <w:sz w:val="30"/>
          <w:szCs w:val="30"/>
          <w:highlight w:val="none"/>
        </w:rPr>
        <w:t xml:space="preserve">招标编号： </w:t>
      </w:r>
    </w:p>
    <w:p w14:paraId="424C3188">
      <w:pPr>
        <w:pStyle w:val="52"/>
        <w:spacing w:before="0" w:beforeAutospacing="0" w:after="0" w:afterAutospacing="0" w:line="520" w:lineRule="exact"/>
        <w:jc w:val="center"/>
        <w:rPr>
          <w:rFonts w:hint="eastAsia" w:ascii="仿宋" w:hAnsi="仿宋" w:eastAsia="仿宋" w:cs="仿宋"/>
          <w:b/>
          <w:bCs/>
          <w:kern w:val="44"/>
          <w:sz w:val="36"/>
          <w:szCs w:val="36"/>
          <w:highlight w:val="none"/>
        </w:rPr>
      </w:pPr>
      <w:r>
        <w:rPr>
          <w:rFonts w:hint="eastAsia" w:ascii="仿宋" w:hAnsi="仿宋" w:eastAsia="仿宋" w:cs="仿宋"/>
          <w:b/>
          <w:bCs/>
          <w:sz w:val="36"/>
          <w:szCs w:val="36"/>
          <w:highlight w:val="none"/>
          <w:lang w:val="en-US" w:eastAsia="zh-CN"/>
        </w:rPr>
        <w:t>成大路（北虎口西红石山隧道内）供水主管道改造工程</w:t>
      </w:r>
      <w:r>
        <w:rPr>
          <w:rFonts w:hint="eastAsia" w:ascii="仿宋" w:hAnsi="仿宋" w:eastAsia="仿宋" w:cs="仿宋"/>
          <w:b/>
          <w:bCs/>
          <w:sz w:val="36"/>
          <w:szCs w:val="36"/>
          <w:highlight w:val="none"/>
          <w:lang w:eastAsia="zh-CN"/>
        </w:rPr>
        <w:t>——</w:t>
      </w:r>
      <w:r>
        <w:rPr>
          <w:rFonts w:hint="eastAsia" w:ascii="仿宋" w:hAnsi="仿宋" w:eastAsia="仿宋" w:cs="仿宋"/>
          <w:b/>
          <w:bCs/>
          <w:sz w:val="36"/>
          <w:szCs w:val="36"/>
          <w:highlight w:val="none"/>
          <w:lang w:val="en-US" w:eastAsia="zh-CN"/>
        </w:rPr>
        <w:t>PE管、管件</w:t>
      </w:r>
      <w:r>
        <w:rPr>
          <w:rFonts w:hint="eastAsia" w:ascii="仿宋" w:hAnsi="仿宋" w:eastAsia="仿宋" w:cs="仿宋"/>
          <w:b/>
          <w:bCs/>
          <w:sz w:val="36"/>
          <w:szCs w:val="36"/>
          <w:highlight w:val="none"/>
          <w:lang w:eastAsia="zh-CN"/>
        </w:rPr>
        <w:t>采购</w:t>
      </w:r>
    </w:p>
    <w:p w14:paraId="66B1C077">
      <w:pPr>
        <w:pStyle w:val="52"/>
        <w:spacing w:before="0" w:beforeAutospacing="0" w:after="0" w:afterAutospacing="0" w:line="520" w:lineRule="exact"/>
        <w:ind w:right="-340" w:rightChars="-162"/>
        <w:rPr>
          <w:rFonts w:hint="eastAsia" w:ascii="仿宋" w:hAnsi="仿宋" w:eastAsia="仿宋"/>
          <w:sz w:val="28"/>
          <w:szCs w:val="28"/>
          <w:highlight w:val="none"/>
        </w:rPr>
      </w:pPr>
      <w:r>
        <w:rPr>
          <w:rFonts w:hint="eastAsia" w:ascii="仿宋" w:hAnsi="仿宋" w:eastAsia="仿宋"/>
          <w:sz w:val="28"/>
          <w:szCs w:val="28"/>
          <w:highlight w:val="none"/>
        </w:rPr>
        <w:t>甲方（买方）：威海市水务集团给排水工程有限公司</w:t>
      </w:r>
    </w:p>
    <w:p w14:paraId="1CB0CC3D">
      <w:pPr>
        <w:pStyle w:val="52"/>
        <w:spacing w:before="0" w:beforeAutospacing="0" w:after="0" w:afterAutospacing="0" w:line="520" w:lineRule="exact"/>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负责人</w:t>
      </w:r>
      <w:r>
        <w:rPr>
          <w:rFonts w:hint="eastAsia" w:ascii="仿宋" w:hAnsi="仿宋" w:eastAsia="仿宋"/>
          <w:sz w:val="28"/>
          <w:szCs w:val="28"/>
          <w:highlight w:val="none"/>
        </w:rPr>
        <w:t>：</w:t>
      </w:r>
      <w:r>
        <w:rPr>
          <w:rFonts w:hint="eastAsia" w:ascii="仿宋" w:hAnsi="仿宋" w:eastAsia="仿宋"/>
          <w:sz w:val="28"/>
          <w:szCs w:val="28"/>
          <w:highlight w:val="none"/>
          <w:lang w:val="en-US" w:eastAsia="zh-CN"/>
        </w:rPr>
        <w:t>孙同锋</w:t>
      </w:r>
    </w:p>
    <w:p w14:paraId="588224FE">
      <w:pPr>
        <w:pStyle w:val="52"/>
        <w:spacing w:before="0" w:beforeAutospacing="0" w:after="0" w:afterAutospacing="0" w:line="520" w:lineRule="exact"/>
        <w:rPr>
          <w:rFonts w:hint="eastAsia" w:ascii="仿宋" w:hAnsi="仿宋" w:eastAsia="仿宋"/>
          <w:sz w:val="28"/>
          <w:szCs w:val="28"/>
          <w:highlight w:val="none"/>
        </w:rPr>
      </w:pPr>
      <w:r>
        <w:rPr>
          <w:rFonts w:hint="eastAsia" w:ascii="仿宋" w:hAnsi="仿宋" w:eastAsia="仿宋"/>
          <w:sz w:val="28"/>
          <w:szCs w:val="28"/>
          <w:highlight w:val="none"/>
        </w:rPr>
        <w:t>乙方（卖方）：</w:t>
      </w:r>
    </w:p>
    <w:p w14:paraId="56C46D94">
      <w:pPr>
        <w:pStyle w:val="52"/>
        <w:spacing w:before="0" w:beforeAutospacing="0" w:after="0" w:afterAutospacing="0" w:line="520" w:lineRule="exact"/>
        <w:rPr>
          <w:rFonts w:hint="eastAsia" w:ascii="仿宋" w:hAnsi="仿宋" w:eastAsia="仿宋"/>
          <w:sz w:val="28"/>
          <w:szCs w:val="28"/>
          <w:highlight w:val="none"/>
        </w:rPr>
      </w:pPr>
      <w:r>
        <w:rPr>
          <w:rFonts w:hint="eastAsia" w:ascii="仿宋" w:hAnsi="仿宋" w:eastAsia="仿宋"/>
          <w:sz w:val="28"/>
          <w:szCs w:val="28"/>
          <w:highlight w:val="none"/>
        </w:rPr>
        <w:t>法定代表人：</w:t>
      </w:r>
    </w:p>
    <w:p w14:paraId="01D724CA">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根据《中华人民共和国民法典》及其他有关法律、法规，经双方友好协商，本着平等互利的原则，就乙方向甲方供货相关事宜达成本合同。</w:t>
      </w:r>
    </w:p>
    <w:p w14:paraId="1A8DC7C7">
      <w:pPr>
        <w:numPr>
          <w:ilvl w:val="0"/>
          <w:numId w:val="0"/>
        </w:numPr>
        <w:rPr>
          <w:rFonts w:hint="eastAsia"/>
          <w:highlight w:val="none"/>
        </w:rPr>
        <w:sectPr>
          <w:pgSz w:w="11906" w:h="16838"/>
          <w:pgMar w:top="1440" w:right="1416" w:bottom="1440" w:left="1800" w:header="851" w:footer="992" w:gutter="0"/>
          <w:cols w:space="425" w:num="1"/>
          <w:docGrid w:type="lines" w:linePitch="312" w:charSpace="0"/>
        </w:sectPr>
      </w:pPr>
    </w:p>
    <w:p w14:paraId="074D1DD1">
      <w:pPr>
        <w:pStyle w:val="4"/>
        <w:numPr>
          <w:ilvl w:val="0"/>
          <w:numId w:val="6"/>
        </w:numPr>
        <w:spacing w:before="0" w:after="0" w:line="520" w:lineRule="exact"/>
        <w:ind w:right="-239" w:rightChars="-114" w:firstLine="562"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合同标的及质量标准</w:t>
      </w:r>
    </w:p>
    <w:tbl>
      <w:tblPr>
        <w:tblStyle w:val="55"/>
        <w:tblW w:w="14520" w:type="dxa"/>
        <w:tblInd w:w="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335"/>
        <w:gridCol w:w="2655"/>
        <w:gridCol w:w="1320"/>
        <w:gridCol w:w="1365"/>
        <w:gridCol w:w="1500"/>
        <w:gridCol w:w="1485"/>
        <w:gridCol w:w="660"/>
        <w:gridCol w:w="878"/>
        <w:gridCol w:w="1387"/>
        <w:gridCol w:w="885"/>
      </w:tblGrid>
      <w:tr w14:paraId="704FD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1050" w:type="dxa"/>
            <w:tcBorders>
              <w:top w:val="single" w:color="auto" w:sz="4" w:space="0"/>
              <w:left w:val="single" w:color="auto" w:sz="4" w:space="0"/>
              <w:bottom w:val="single" w:color="auto" w:sz="4" w:space="0"/>
              <w:right w:val="single" w:color="auto" w:sz="4" w:space="0"/>
            </w:tcBorders>
            <w:vAlign w:val="center"/>
          </w:tcPr>
          <w:p w14:paraId="50B2CE1B">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序号</w:t>
            </w:r>
          </w:p>
        </w:tc>
        <w:tc>
          <w:tcPr>
            <w:tcW w:w="1335" w:type="dxa"/>
            <w:tcBorders>
              <w:top w:val="single" w:color="auto" w:sz="4" w:space="0"/>
              <w:left w:val="single" w:color="auto" w:sz="4" w:space="0"/>
              <w:bottom w:val="single" w:color="auto" w:sz="4" w:space="0"/>
              <w:right w:val="single" w:color="auto" w:sz="4" w:space="0"/>
            </w:tcBorders>
            <w:vAlign w:val="center"/>
          </w:tcPr>
          <w:p w14:paraId="12C8A515">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产品名称</w:t>
            </w:r>
          </w:p>
        </w:tc>
        <w:tc>
          <w:tcPr>
            <w:tcW w:w="2655" w:type="dxa"/>
            <w:tcBorders>
              <w:top w:val="single" w:color="auto" w:sz="4" w:space="0"/>
              <w:left w:val="single" w:color="auto" w:sz="4" w:space="0"/>
              <w:bottom w:val="single" w:color="auto" w:sz="4" w:space="0"/>
              <w:right w:val="single" w:color="auto" w:sz="4" w:space="0"/>
            </w:tcBorders>
            <w:vAlign w:val="center"/>
          </w:tcPr>
          <w:p w14:paraId="19F800BA">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规格型号</w:t>
            </w:r>
          </w:p>
        </w:tc>
        <w:tc>
          <w:tcPr>
            <w:tcW w:w="1320" w:type="dxa"/>
            <w:tcBorders>
              <w:top w:val="single" w:color="auto" w:sz="4" w:space="0"/>
              <w:left w:val="single" w:color="auto" w:sz="4" w:space="0"/>
              <w:bottom w:val="single" w:color="auto" w:sz="4" w:space="0"/>
              <w:right w:val="single" w:color="auto" w:sz="4" w:space="0"/>
            </w:tcBorders>
            <w:vAlign w:val="center"/>
          </w:tcPr>
          <w:p w14:paraId="68BAA401">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单位</w:t>
            </w:r>
          </w:p>
        </w:tc>
        <w:tc>
          <w:tcPr>
            <w:tcW w:w="1365" w:type="dxa"/>
            <w:tcBorders>
              <w:top w:val="single" w:color="auto" w:sz="4" w:space="0"/>
              <w:left w:val="single" w:color="auto" w:sz="4" w:space="0"/>
              <w:bottom w:val="single" w:color="auto" w:sz="4" w:space="0"/>
              <w:right w:val="single" w:color="auto" w:sz="4" w:space="0"/>
            </w:tcBorders>
            <w:vAlign w:val="center"/>
          </w:tcPr>
          <w:p w14:paraId="56D8E7F4">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数量</w:t>
            </w:r>
          </w:p>
        </w:tc>
        <w:tc>
          <w:tcPr>
            <w:tcW w:w="1500" w:type="dxa"/>
            <w:tcBorders>
              <w:top w:val="single" w:color="auto" w:sz="4" w:space="0"/>
              <w:left w:val="single" w:color="auto" w:sz="4" w:space="0"/>
              <w:bottom w:val="single" w:color="auto" w:sz="4" w:space="0"/>
              <w:right w:val="single" w:color="auto" w:sz="4" w:space="0"/>
            </w:tcBorders>
            <w:vAlign w:val="center"/>
          </w:tcPr>
          <w:p w14:paraId="1609FD76">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除税单价（元）</w:t>
            </w:r>
          </w:p>
        </w:tc>
        <w:tc>
          <w:tcPr>
            <w:tcW w:w="1485" w:type="dxa"/>
            <w:tcBorders>
              <w:top w:val="single" w:color="auto" w:sz="4" w:space="0"/>
              <w:left w:val="single" w:color="auto" w:sz="4" w:space="0"/>
              <w:bottom w:val="single" w:color="auto" w:sz="4" w:space="0"/>
              <w:right w:val="single" w:color="auto" w:sz="4" w:space="0"/>
            </w:tcBorders>
            <w:vAlign w:val="center"/>
          </w:tcPr>
          <w:p w14:paraId="77F34D39">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除税总价（元）</w:t>
            </w:r>
          </w:p>
        </w:tc>
        <w:tc>
          <w:tcPr>
            <w:tcW w:w="660" w:type="dxa"/>
            <w:tcBorders>
              <w:top w:val="single" w:color="auto" w:sz="4" w:space="0"/>
              <w:left w:val="single" w:color="auto" w:sz="4" w:space="0"/>
              <w:bottom w:val="single" w:color="auto" w:sz="4" w:space="0"/>
              <w:right w:val="single" w:color="auto" w:sz="4" w:space="0"/>
            </w:tcBorders>
            <w:vAlign w:val="center"/>
          </w:tcPr>
          <w:p w14:paraId="56FB299A">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税率（%）</w:t>
            </w:r>
          </w:p>
        </w:tc>
        <w:tc>
          <w:tcPr>
            <w:tcW w:w="878" w:type="dxa"/>
            <w:tcBorders>
              <w:top w:val="single" w:color="auto" w:sz="4" w:space="0"/>
              <w:left w:val="single" w:color="auto" w:sz="4" w:space="0"/>
              <w:bottom w:val="single" w:color="auto" w:sz="4" w:space="0"/>
              <w:right w:val="single" w:color="auto" w:sz="4" w:space="0"/>
            </w:tcBorders>
            <w:vAlign w:val="center"/>
          </w:tcPr>
          <w:p w14:paraId="19C79BC5">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含税单价（元）</w:t>
            </w:r>
          </w:p>
        </w:tc>
        <w:tc>
          <w:tcPr>
            <w:tcW w:w="1387" w:type="dxa"/>
            <w:tcBorders>
              <w:top w:val="single" w:color="auto" w:sz="4" w:space="0"/>
              <w:left w:val="single" w:color="auto" w:sz="4" w:space="0"/>
              <w:bottom w:val="single" w:color="auto" w:sz="4" w:space="0"/>
              <w:right w:val="single" w:color="auto" w:sz="4" w:space="0"/>
            </w:tcBorders>
            <w:vAlign w:val="center"/>
          </w:tcPr>
          <w:p w14:paraId="63AE0EDE">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含税总价（元）</w:t>
            </w:r>
          </w:p>
        </w:tc>
        <w:tc>
          <w:tcPr>
            <w:tcW w:w="885" w:type="dxa"/>
            <w:tcBorders>
              <w:top w:val="single" w:color="auto" w:sz="4" w:space="0"/>
              <w:left w:val="single" w:color="auto" w:sz="4" w:space="0"/>
              <w:bottom w:val="single" w:color="auto" w:sz="4" w:space="0"/>
              <w:right w:val="single" w:color="auto" w:sz="4" w:space="0"/>
            </w:tcBorders>
            <w:vAlign w:val="center"/>
          </w:tcPr>
          <w:p w14:paraId="32E0B36C">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备注</w:t>
            </w:r>
          </w:p>
        </w:tc>
      </w:tr>
      <w:tr w14:paraId="0F3C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0" w:type="dxa"/>
            <w:tcBorders>
              <w:top w:val="single" w:color="auto" w:sz="4" w:space="0"/>
              <w:left w:val="single" w:color="auto" w:sz="4" w:space="0"/>
              <w:bottom w:val="single" w:color="auto" w:sz="4" w:space="0"/>
              <w:right w:val="single" w:color="auto" w:sz="4" w:space="0"/>
            </w:tcBorders>
            <w:vAlign w:val="center"/>
          </w:tcPr>
          <w:p w14:paraId="69F92C4F">
            <w:pPr>
              <w:pStyle w:val="52"/>
              <w:spacing w:before="0" w:beforeAutospacing="0" w:after="0" w:afterAutospacing="0" w:line="520" w:lineRule="exact"/>
              <w:jc w:val="center"/>
              <w:rPr>
                <w:rFonts w:ascii="仿宋" w:hAnsi="仿宋" w:eastAsia="仿宋"/>
                <w:kern w:val="2"/>
                <w:sz w:val="21"/>
                <w:szCs w:val="21"/>
                <w:highlight w:val="none"/>
              </w:rPr>
            </w:pPr>
            <w:r>
              <w:rPr>
                <w:rFonts w:hint="eastAsia" w:ascii="仿宋" w:hAnsi="仿宋" w:eastAsia="仿宋"/>
                <w:kern w:val="2"/>
                <w:sz w:val="21"/>
                <w:szCs w:val="21"/>
                <w:highlight w:val="none"/>
              </w:rPr>
              <w:t>1</w:t>
            </w:r>
          </w:p>
        </w:tc>
        <w:tc>
          <w:tcPr>
            <w:tcW w:w="1335" w:type="dxa"/>
            <w:tcBorders>
              <w:top w:val="single" w:color="auto" w:sz="4" w:space="0"/>
              <w:left w:val="single" w:color="auto" w:sz="4" w:space="0"/>
              <w:bottom w:val="single" w:color="auto" w:sz="4" w:space="0"/>
              <w:right w:val="single" w:color="auto" w:sz="4" w:space="0"/>
            </w:tcBorders>
            <w:vAlign w:val="center"/>
          </w:tcPr>
          <w:p w14:paraId="334C3263">
            <w:pPr>
              <w:spacing w:line="520" w:lineRule="exact"/>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PE管</w:t>
            </w:r>
          </w:p>
        </w:tc>
        <w:tc>
          <w:tcPr>
            <w:tcW w:w="2655" w:type="dxa"/>
            <w:tcBorders>
              <w:top w:val="single" w:color="auto" w:sz="4" w:space="0"/>
              <w:left w:val="single" w:color="auto" w:sz="4" w:space="0"/>
              <w:bottom w:val="single" w:color="auto" w:sz="4" w:space="0"/>
              <w:right w:val="single" w:color="auto" w:sz="4" w:space="0"/>
            </w:tcBorders>
            <w:vAlign w:val="center"/>
          </w:tcPr>
          <w:p w14:paraId="21B5E890">
            <w:pPr>
              <w:spacing w:line="520" w:lineRule="exact"/>
              <w:jc w:val="left"/>
              <w:rPr>
                <w:rFonts w:hint="eastAsia" w:ascii="仿宋" w:hAnsi="仿宋" w:eastAsia="仿宋" w:cs="宋体"/>
                <w:szCs w:val="21"/>
                <w:highlight w:val="none"/>
                <w:lang w:eastAsia="zh-CN"/>
              </w:rPr>
            </w:pPr>
          </w:p>
        </w:tc>
        <w:tc>
          <w:tcPr>
            <w:tcW w:w="1320" w:type="dxa"/>
            <w:tcBorders>
              <w:top w:val="single" w:color="auto" w:sz="4" w:space="0"/>
              <w:left w:val="single" w:color="auto" w:sz="4" w:space="0"/>
              <w:bottom w:val="single" w:color="auto" w:sz="4" w:space="0"/>
              <w:right w:val="single" w:color="auto" w:sz="4" w:space="0"/>
            </w:tcBorders>
            <w:vAlign w:val="center"/>
          </w:tcPr>
          <w:p w14:paraId="5D446E4B">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m</w:t>
            </w:r>
          </w:p>
        </w:tc>
        <w:tc>
          <w:tcPr>
            <w:tcW w:w="1365" w:type="dxa"/>
            <w:tcBorders>
              <w:top w:val="single" w:color="auto" w:sz="4" w:space="0"/>
              <w:left w:val="single" w:color="auto" w:sz="4" w:space="0"/>
              <w:bottom w:val="single" w:color="auto" w:sz="4" w:space="0"/>
              <w:right w:val="single" w:color="auto" w:sz="4" w:space="0"/>
            </w:tcBorders>
            <w:vAlign w:val="center"/>
          </w:tcPr>
          <w:p w14:paraId="63941AEA">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2831F099">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485" w:type="dxa"/>
            <w:tcBorders>
              <w:top w:val="single" w:color="auto" w:sz="4" w:space="0"/>
              <w:left w:val="single" w:color="auto" w:sz="4" w:space="0"/>
              <w:bottom w:val="single" w:color="auto" w:sz="4" w:space="0"/>
              <w:right w:val="single" w:color="auto" w:sz="4" w:space="0"/>
            </w:tcBorders>
            <w:vAlign w:val="center"/>
          </w:tcPr>
          <w:p w14:paraId="3F462361">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14:paraId="132551FC">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78" w:type="dxa"/>
            <w:tcBorders>
              <w:top w:val="single" w:color="auto" w:sz="4" w:space="0"/>
              <w:left w:val="single" w:color="auto" w:sz="4" w:space="0"/>
              <w:bottom w:val="single" w:color="auto" w:sz="4" w:space="0"/>
              <w:right w:val="single" w:color="auto" w:sz="4" w:space="0"/>
            </w:tcBorders>
            <w:vAlign w:val="center"/>
          </w:tcPr>
          <w:p w14:paraId="2E9C9814">
            <w:pPr>
              <w:pStyle w:val="52"/>
              <w:tabs>
                <w:tab w:val="left" w:pos="522"/>
              </w:tabs>
              <w:spacing w:before="0" w:beforeAutospacing="0" w:after="0" w:afterAutospacing="0" w:line="520" w:lineRule="exact"/>
              <w:jc w:val="left"/>
              <w:rPr>
                <w:rFonts w:hint="default" w:ascii="仿宋" w:hAnsi="仿宋" w:eastAsia="仿宋"/>
                <w:kern w:val="2"/>
                <w:sz w:val="21"/>
                <w:szCs w:val="21"/>
                <w:highlight w:val="none"/>
                <w:lang w:val="en-US" w:eastAsia="zh-CN"/>
              </w:rPr>
            </w:pPr>
          </w:p>
        </w:tc>
        <w:tc>
          <w:tcPr>
            <w:tcW w:w="1387" w:type="dxa"/>
            <w:tcBorders>
              <w:top w:val="single" w:color="auto" w:sz="4" w:space="0"/>
              <w:left w:val="single" w:color="auto" w:sz="4" w:space="0"/>
              <w:bottom w:val="single" w:color="auto" w:sz="4" w:space="0"/>
              <w:right w:val="single" w:color="auto" w:sz="4" w:space="0"/>
            </w:tcBorders>
            <w:vAlign w:val="center"/>
          </w:tcPr>
          <w:p w14:paraId="48EB190D">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14:paraId="62534E57">
            <w:pPr>
              <w:pStyle w:val="52"/>
              <w:spacing w:before="0" w:beforeAutospacing="0" w:after="0" w:afterAutospacing="0" w:line="520" w:lineRule="exact"/>
              <w:jc w:val="center"/>
              <w:rPr>
                <w:rFonts w:ascii="仿宋" w:hAnsi="仿宋" w:eastAsia="仿宋"/>
                <w:kern w:val="2"/>
                <w:sz w:val="21"/>
                <w:szCs w:val="21"/>
                <w:highlight w:val="none"/>
              </w:rPr>
            </w:pPr>
          </w:p>
        </w:tc>
      </w:tr>
      <w:tr w14:paraId="4B79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0" w:type="dxa"/>
            <w:tcBorders>
              <w:top w:val="single" w:color="auto" w:sz="4" w:space="0"/>
              <w:left w:val="single" w:color="auto" w:sz="4" w:space="0"/>
              <w:bottom w:val="single" w:color="auto" w:sz="4" w:space="0"/>
              <w:right w:val="single" w:color="auto" w:sz="4" w:space="0"/>
            </w:tcBorders>
            <w:vAlign w:val="center"/>
          </w:tcPr>
          <w:p w14:paraId="0DA10628">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2</w:t>
            </w:r>
          </w:p>
        </w:tc>
        <w:tc>
          <w:tcPr>
            <w:tcW w:w="1335" w:type="dxa"/>
            <w:tcBorders>
              <w:top w:val="single" w:color="auto" w:sz="4" w:space="0"/>
              <w:left w:val="single" w:color="auto" w:sz="4" w:space="0"/>
              <w:bottom w:val="single" w:color="auto" w:sz="4" w:space="0"/>
              <w:right w:val="single" w:color="auto" w:sz="4" w:space="0"/>
            </w:tcBorders>
            <w:vAlign w:val="center"/>
          </w:tcPr>
          <w:p w14:paraId="60E35CBB">
            <w:pPr>
              <w:tabs>
                <w:tab w:val="left" w:pos="461"/>
              </w:tabs>
              <w:spacing w:line="520" w:lineRule="exact"/>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PE弯头</w:t>
            </w:r>
          </w:p>
        </w:tc>
        <w:tc>
          <w:tcPr>
            <w:tcW w:w="2655" w:type="dxa"/>
            <w:tcBorders>
              <w:top w:val="single" w:color="auto" w:sz="4" w:space="0"/>
              <w:left w:val="single" w:color="auto" w:sz="4" w:space="0"/>
              <w:bottom w:val="single" w:color="auto" w:sz="4" w:space="0"/>
              <w:right w:val="single" w:color="auto" w:sz="4" w:space="0"/>
            </w:tcBorders>
            <w:vAlign w:val="center"/>
          </w:tcPr>
          <w:p w14:paraId="6C1DDBF4">
            <w:pPr>
              <w:spacing w:line="520" w:lineRule="exact"/>
              <w:jc w:val="left"/>
              <w:rPr>
                <w:rFonts w:hint="eastAsia" w:ascii="仿宋" w:hAnsi="仿宋" w:eastAsia="仿宋" w:cs="宋体"/>
                <w:szCs w:val="21"/>
                <w:highlight w:val="none"/>
                <w:lang w:eastAsia="zh-CN"/>
              </w:rPr>
            </w:pPr>
          </w:p>
        </w:tc>
        <w:tc>
          <w:tcPr>
            <w:tcW w:w="1320" w:type="dxa"/>
            <w:tcBorders>
              <w:top w:val="single" w:color="auto" w:sz="4" w:space="0"/>
              <w:left w:val="single" w:color="auto" w:sz="4" w:space="0"/>
              <w:bottom w:val="single" w:color="auto" w:sz="4" w:space="0"/>
              <w:right w:val="single" w:color="auto" w:sz="4" w:space="0"/>
            </w:tcBorders>
            <w:vAlign w:val="center"/>
          </w:tcPr>
          <w:p w14:paraId="3F01F0B3">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1365" w:type="dxa"/>
            <w:tcBorders>
              <w:top w:val="single" w:color="auto" w:sz="4" w:space="0"/>
              <w:left w:val="single" w:color="auto" w:sz="4" w:space="0"/>
              <w:bottom w:val="single" w:color="auto" w:sz="4" w:space="0"/>
              <w:right w:val="single" w:color="auto" w:sz="4" w:space="0"/>
            </w:tcBorders>
            <w:vAlign w:val="center"/>
          </w:tcPr>
          <w:p w14:paraId="251D8CF6">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78F14F77">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485" w:type="dxa"/>
            <w:tcBorders>
              <w:top w:val="single" w:color="auto" w:sz="4" w:space="0"/>
              <w:left w:val="single" w:color="auto" w:sz="4" w:space="0"/>
              <w:bottom w:val="single" w:color="auto" w:sz="4" w:space="0"/>
              <w:right w:val="single" w:color="auto" w:sz="4" w:space="0"/>
            </w:tcBorders>
            <w:vAlign w:val="center"/>
          </w:tcPr>
          <w:p w14:paraId="2A1514AE">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14:paraId="765326EF">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78" w:type="dxa"/>
            <w:tcBorders>
              <w:top w:val="single" w:color="auto" w:sz="4" w:space="0"/>
              <w:left w:val="single" w:color="auto" w:sz="4" w:space="0"/>
              <w:bottom w:val="single" w:color="auto" w:sz="4" w:space="0"/>
              <w:right w:val="single" w:color="auto" w:sz="4" w:space="0"/>
            </w:tcBorders>
            <w:vAlign w:val="center"/>
          </w:tcPr>
          <w:p w14:paraId="0F14D284">
            <w:pPr>
              <w:pStyle w:val="52"/>
              <w:tabs>
                <w:tab w:val="left" w:pos="522"/>
              </w:tabs>
              <w:spacing w:before="0" w:beforeAutospacing="0" w:after="0" w:afterAutospacing="0" w:line="520" w:lineRule="exact"/>
              <w:jc w:val="left"/>
              <w:rPr>
                <w:rFonts w:hint="default" w:ascii="仿宋" w:hAnsi="仿宋" w:eastAsia="仿宋"/>
                <w:kern w:val="2"/>
                <w:sz w:val="21"/>
                <w:szCs w:val="21"/>
                <w:highlight w:val="none"/>
                <w:lang w:val="en-US" w:eastAsia="zh-CN"/>
              </w:rPr>
            </w:pPr>
          </w:p>
        </w:tc>
        <w:tc>
          <w:tcPr>
            <w:tcW w:w="1387" w:type="dxa"/>
            <w:tcBorders>
              <w:top w:val="single" w:color="auto" w:sz="4" w:space="0"/>
              <w:left w:val="single" w:color="auto" w:sz="4" w:space="0"/>
              <w:bottom w:val="single" w:color="auto" w:sz="4" w:space="0"/>
              <w:right w:val="single" w:color="auto" w:sz="4" w:space="0"/>
            </w:tcBorders>
            <w:vAlign w:val="center"/>
          </w:tcPr>
          <w:p w14:paraId="69372925">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14:paraId="7E7AED84">
            <w:pPr>
              <w:pStyle w:val="52"/>
              <w:spacing w:before="0" w:beforeAutospacing="0" w:after="0" w:afterAutospacing="0" w:line="520" w:lineRule="exact"/>
              <w:jc w:val="center"/>
              <w:rPr>
                <w:rFonts w:ascii="仿宋" w:hAnsi="仿宋" w:eastAsia="仿宋"/>
                <w:kern w:val="2"/>
                <w:sz w:val="21"/>
                <w:szCs w:val="21"/>
                <w:highlight w:val="none"/>
              </w:rPr>
            </w:pPr>
          </w:p>
        </w:tc>
      </w:tr>
      <w:tr w14:paraId="3A62D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0" w:type="dxa"/>
            <w:tcBorders>
              <w:top w:val="single" w:color="auto" w:sz="4" w:space="0"/>
              <w:left w:val="single" w:color="auto" w:sz="4" w:space="0"/>
              <w:bottom w:val="single" w:color="auto" w:sz="4" w:space="0"/>
              <w:right w:val="single" w:color="auto" w:sz="4" w:space="0"/>
            </w:tcBorders>
            <w:vAlign w:val="center"/>
          </w:tcPr>
          <w:p w14:paraId="65392F4D">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3</w:t>
            </w:r>
          </w:p>
        </w:tc>
        <w:tc>
          <w:tcPr>
            <w:tcW w:w="1335" w:type="dxa"/>
            <w:tcBorders>
              <w:top w:val="single" w:color="auto" w:sz="4" w:space="0"/>
              <w:left w:val="single" w:color="auto" w:sz="4" w:space="0"/>
              <w:bottom w:val="single" w:color="auto" w:sz="4" w:space="0"/>
              <w:right w:val="single" w:color="auto" w:sz="4" w:space="0"/>
            </w:tcBorders>
            <w:vAlign w:val="center"/>
          </w:tcPr>
          <w:p w14:paraId="1555951A">
            <w:pPr>
              <w:spacing w:line="520" w:lineRule="exact"/>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PE三通</w:t>
            </w:r>
          </w:p>
        </w:tc>
        <w:tc>
          <w:tcPr>
            <w:tcW w:w="2655" w:type="dxa"/>
            <w:tcBorders>
              <w:top w:val="single" w:color="auto" w:sz="4" w:space="0"/>
              <w:left w:val="single" w:color="auto" w:sz="4" w:space="0"/>
              <w:bottom w:val="single" w:color="auto" w:sz="4" w:space="0"/>
              <w:right w:val="single" w:color="auto" w:sz="4" w:space="0"/>
            </w:tcBorders>
            <w:vAlign w:val="center"/>
          </w:tcPr>
          <w:p w14:paraId="1B3EEC22">
            <w:pPr>
              <w:spacing w:line="520" w:lineRule="exact"/>
              <w:jc w:val="left"/>
              <w:rPr>
                <w:rFonts w:hint="eastAsia" w:ascii="仿宋" w:hAnsi="仿宋" w:eastAsia="仿宋" w:cs="宋体"/>
                <w:szCs w:val="21"/>
                <w:highlight w:val="none"/>
                <w:lang w:eastAsia="zh-CN"/>
              </w:rPr>
            </w:pPr>
          </w:p>
        </w:tc>
        <w:tc>
          <w:tcPr>
            <w:tcW w:w="1320" w:type="dxa"/>
            <w:tcBorders>
              <w:top w:val="single" w:color="auto" w:sz="4" w:space="0"/>
              <w:left w:val="single" w:color="auto" w:sz="4" w:space="0"/>
              <w:bottom w:val="single" w:color="auto" w:sz="4" w:space="0"/>
              <w:right w:val="single" w:color="auto" w:sz="4" w:space="0"/>
            </w:tcBorders>
            <w:vAlign w:val="center"/>
          </w:tcPr>
          <w:p w14:paraId="634A9987">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1365" w:type="dxa"/>
            <w:tcBorders>
              <w:top w:val="single" w:color="auto" w:sz="4" w:space="0"/>
              <w:left w:val="single" w:color="auto" w:sz="4" w:space="0"/>
              <w:bottom w:val="single" w:color="auto" w:sz="4" w:space="0"/>
              <w:right w:val="single" w:color="auto" w:sz="4" w:space="0"/>
            </w:tcBorders>
            <w:vAlign w:val="center"/>
          </w:tcPr>
          <w:p w14:paraId="4F2B0FA1">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67284832">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485" w:type="dxa"/>
            <w:tcBorders>
              <w:top w:val="single" w:color="auto" w:sz="4" w:space="0"/>
              <w:left w:val="single" w:color="auto" w:sz="4" w:space="0"/>
              <w:bottom w:val="single" w:color="auto" w:sz="4" w:space="0"/>
              <w:right w:val="single" w:color="auto" w:sz="4" w:space="0"/>
            </w:tcBorders>
            <w:vAlign w:val="center"/>
          </w:tcPr>
          <w:p w14:paraId="47384800">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14:paraId="7304C4AE">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78" w:type="dxa"/>
            <w:tcBorders>
              <w:top w:val="single" w:color="auto" w:sz="4" w:space="0"/>
              <w:left w:val="single" w:color="auto" w:sz="4" w:space="0"/>
              <w:bottom w:val="single" w:color="auto" w:sz="4" w:space="0"/>
              <w:right w:val="single" w:color="auto" w:sz="4" w:space="0"/>
            </w:tcBorders>
            <w:vAlign w:val="center"/>
          </w:tcPr>
          <w:p w14:paraId="2ACC37CD">
            <w:pPr>
              <w:pStyle w:val="52"/>
              <w:tabs>
                <w:tab w:val="left" w:pos="522"/>
              </w:tabs>
              <w:spacing w:before="0" w:beforeAutospacing="0" w:after="0" w:afterAutospacing="0" w:line="520" w:lineRule="exact"/>
              <w:jc w:val="left"/>
              <w:rPr>
                <w:rFonts w:hint="default" w:ascii="仿宋" w:hAnsi="仿宋" w:eastAsia="仿宋"/>
                <w:kern w:val="2"/>
                <w:sz w:val="21"/>
                <w:szCs w:val="21"/>
                <w:highlight w:val="none"/>
                <w:lang w:val="en-US" w:eastAsia="zh-CN"/>
              </w:rPr>
            </w:pPr>
          </w:p>
        </w:tc>
        <w:tc>
          <w:tcPr>
            <w:tcW w:w="1387" w:type="dxa"/>
            <w:tcBorders>
              <w:top w:val="single" w:color="auto" w:sz="4" w:space="0"/>
              <w:left w:val="single" w:color="auto" w:sz="4" w:space="0"/>
              <w:bottom w:val="single" w:color="auto" w:sz="4" w:space="0"/>
              <w:right w:val="single" w:color="auto" w:sz="4" w:space="0"/>
            </w:tcBorders>
            <w:vAlign w:val="center"/>
          </w:tcPr>
          <w:p w14:paraId="4F94C9D6">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14:paraId="129FD906">
            <w:pPr>
              <w:pStyle w:val="52"/>
              <w:spacing w:before="0" w:beforeAutospacing="0" w:after="0" w:afterAutospacing="0" w:line="520" w:lineRule="exact"/>
              <w:jc w:val="center"/>
              <w:rPr>
                <w:rFonts w:ascii="仿宋" w:hAnsi="仿宋" w:eastAsia="仿宋"/>
                <w:kern w:val="2"/>
                <w:sz w:val="21"/>
                <w:szCs w:val="21"/>
                <w:highlight w:val="none"/>
              </w:rPr>
            </w:pPr>
          </w:p>
        </w:tc>
      </w:tr>
      <w:tr w14:paraId="56B4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0" w:type="dxa"/>
            <w:tcBorders>
              <w:top w:val="single" w:color="auto" w:sz="4" w:space="0"/>
              <w:left w:val="single" w:color="auto" w:sz="4" w:space="0"/>
              <w:bottom w:val="single" w:color="auto" w:sz="4" w:space="0"/>
              <w:right w:val="single" w:color="auto" w:sz="4" w:space="0"/>
            </w:tcBorders>
            <w:vAlign w:val="center"/>
          </w:tcPr>
          <w:p w14:paraId="50D24B8D">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vAlign w:val="center"/>
          </w:tcPr>
          <w:p w14:paraId="713900BC">
            <w:pPr>
              <w:spacing w:line="520" w:lineRule="exact"/>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PE法兰</w:t>
            </w:r>
          </w:p>
        </w:tc>
        <w:tc>
          <w:tcPr>
            <w:tcW w:w="2655" w:type="dxa"/>
            <w:tcBorders>
              <w:top w:val="single" w:color="auto" w:sz="4" w:space="0"/>
              <w:left w:val="single" w:color="auto" w:sz="4" w:space="0"/>
              <w:bottom w:val="single" w:color="auto" w:sz="4" w:space="0"/>
              <w:right w:val="single" w:color="auto" w:sz="4" w:space="0"/>
            </w:tcBorders>
            <w:vAlign w:val="center"/>
          </w:tcPr>
          <w:p w14:paraId="11D31DBC">
            <w:pPr>
              <w:spacing w:line="520" w:lineRule="exact"/>
              <w:jc w:val="left"/>
              <w:rPr>
                <w:rFonts w:hint="eastAsia" w:ascii="仿宋" w:hAnsi="仿宋" w:eastAsia="仿宋" w:cs="宋体"/>
                <w:szCs w:val="21"/>
                <w:highlight w:val="none"/>
                <w:lang w:eastAsia="zh-CN"/>
              </w:rPr>
            </w:pPr>
          </w:p>
        </w:tc>
        <w:tc>
          <w:tcPr>
            <w:tcW w:w="1320" w:type="dxa"/>
            <w:tcBorders>
              <w:top w:val="single" w:color="auto" w:sz="4" w:space="0"/>
              <w:left w:val="single" w:color="auto" w:sz="4" w:space="0"/>
              <w:bottom w:val="single" w:color="auto" w:sz="4" w:space="0"/>
              <w:right w:val="single" w:color="auto" w:sz="4" w:space="0"/>
            </w:tcBorders>
            <w:vAlign w:val="center"/>
          </w:tcPr>
          <w:p w14:paraId="6867CE97">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1365" w:type="dxa"/>
            <w:tcBorders>
              <w:top w:val="single" w:color="auto" w:sz="4" w:space="0"/>
              <w:left w:val="single" w:color="auto" w:sz="4" w:space="0"/>
              <w:bottom w:val="single" w:color="auto" w:sz="4" w:space="0"/>
              <w:right w:val="single" w:color="auto" w:sz="4" w:space="0"/>
            </w:tcBorders>
            <w:vAlign w:val="center"/>
          </w:tcPr>
          <w:p w14:paraId="2C3471CB">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4246583B">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485" w:type="dxa"/>
            <w:tcBorders>
              <w:top w:val="single" w:color="auto" w:sz="4" w:space="0"/>
              <w:left w:val="single" w:color="auto" w:sz="4" w:space="0"/>
              <w:bottom w:val="single" w:color="auto" w:sz="4" w:space="0"/>
              <w:right w:val="single" w:color="auto" w:sz="4" w:space="0"/>
            </w:tcBorders>
            <w:vAlign w:val="center"/>
          </w:tcPr>
          <w:p w14:paraId="6C8DF4DE">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14:paraId="05A3EBC5">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78" w:type="dxa"/>
            <w:tcBorders>
              <w:top w:val="single" w:color="auto" w:sz="4" w:space="0"/>
              <w:left w:val="single" w:color="auto" w:sz="4" w:space="0"/>
              <w:bottom w:val="single" w:color="auto" w:sz="4" w:space="0"/>
              <w:right w:val="single" w:color="auto" w:sz="4" w:space="0"/>
            </w:tcBorders>
            <w:vAlign w:val="center"/>
          </w:tcPr>
          <w:p w14:paraId="6F667341">
            <w:pPr>
              <w:pStyle w:val="52"/>
              <w:tabs>
                <w:tab w:val="left" w:pos="522"/>
              </w:tabs>
              <w:spacing w:before="0" w:beforeAutospacing="0" w:after="0" w:afterAutospacing="0" w:line="520" w:lineRule="exact"/>
              <w:jc w:val="left"/>
              <w:rPr>
                <w:rFonts w:hint="default" w:ascii="仿宋" w:hAnsi="仿宋" w:eastAsia="仿宋"/>
                <w:kern w:val="2"/>
                <w:sz w:val="21"/>
                <w:szCs w:val="21"/>
                <w:highlight w:val="none"/>
                <w:lang w:val="en-US" w:eastAsia="zh-CN"/>
              </w:rPr>
            </w:pPr>
          </w:p>
        </w:tc>
        <w:tc>
          <w:tcPr>
            <w:tcW w:w="1387" w:type="dxa"/>
            <w:tcBorders>
              <w:top w:val="single" w:color="auto" w:sz="4" w:space="0"/>
              <w:left w:val="single" w:color="auto" w:sz="4" w:space="0"/>
              <w:bottom w:val="single" w:color="auto" w:sz="4" w:space="0"/>
              <w:right w:val="single" w:color="auto" w:sz="4" w:space="0"/>
            </w:tcBorders>
            <w:vAlign w:val="center"/>
          </w:tcPr>
          <w:p w14:paraId="37A2C9B6">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14:paraId="6F6A9EAB">
            <w:pPr>
              <w:pStyle w:val="52"/>
              <w:spacing w:before="0" w:beforeAutospacing="0" w:after="0" w:afterAutospacing="0" w:line="520" w:lineRule="exact"/>
              <w:jc w:val="center"/>
              <w:rPr>
                <w:rFonts w:ascii="仿宋" w:hAnsi="仿宋" w:eastAsia="仿宋"/>
                <w:kern w:val="2"/>
                <w:sz w:val="21"/>
                <w:szCs w:val="21"/>
                <w:highlight w:val="none"/>
              </w:rPr>
            </w:pPr>
          </w:p>
        </w:tc>
      </w:tr>
      <w:tr w14:paraId="240EE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0" w:type="dxa"/>
            <w:tcBorders>
              <w:top w:val="single" w:color="auto" w:sz="4" w:space="0"/>
              <w:left w:val="single" w:color="auto" w:sz="4" w:space="0"/>
              <w:bottom w:val="single" w:color="auto" w:sz="4" w:space="0"/>
              <w:right w:val="single" w:color="auto" w:sz="4" w:space="0"/>
            </w:tcBorders>
            <w:vAlign w:val="center"/>
          </w:tcPr>
          <w:p w14:paraId="69EFFD2A">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5</w:t>
            </w:r>
          </w:p>
        </w:tc>
        <w:tc>
          <w:tcPr>
            <w:tcW w:w="1335" w:type="dxa"/>
            <w:tcBorders>
              <w:top w:val="single" w:color="auto" w:sz="4" w:space="0"/>
              <w:left w:val="single" w:color="auto" w:sz="4" w:space="0"/>
              <w:bottom w:val="single" w:color="auto" w:sz="4" w:space="0"/>
              <w:right w:val="single" w:color="auto" w:sz="4" w:space="0"/>
            </w:tcBorders>
            <w:vAlign w:val="center"/>
          </w:tcPr>
          <w:p w14:paraId="4D7E75C3">
            <w:pPr>
              <w:spacing w:line="520" w:lineRule="exact"/>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PE法兰</w:t>
            </w:r>
          </w:p>
        </w:tc>
        <w:tc>
          <w:tcPr>
            <w:tcW w:w="2655" w:type="dxa"/>
            <w:tcBorders>
              <w:top w:val="single" w:color="auto" w:sz="4" w:space="0"/>
              <w:left w:val="single" w:color="auto" w:sz="4" w:space="0"/>
              <w:bottom w:val="single" w:color="auto" w:sz="4" w:space="0"/>
              <w:right w:val="single" w:color="auto" w:sz="4" w:space="0"/>
            </w:tcBorders>
            <w:vAlign w:val="center"/>
          </w:tcPr>
          <w:p w14:paraId="445DB7E2">
            <w:pPr>
              <w:spacing w:line="520" w:lineRule="exact"/>
              <w:jc w:val="left"/>
              <w:rPr>
                <w:rFonts w:hint="eastAsia" w:ascii="仿宋" w:hAnsi="仿宋" w:eastAsia="仿宋" w:cs="宋体"/>
                <w:szCs w:val="21"/>
                <w:highlight w:val="none"/>
                <w:lang w:eastAsia="zh-CN"/>
              </w:rPr>
            </w:pPr>
          </w:p>
        </w:tc>
        <w:tc>
          <w:tcPr>
            <w:tcW w:w="1320" w:type="dxa"/>
            <w:tcBorders>
              <w:top w:val="single" w:color="auto" w:sz="4" w:space="0"/>
              <w:left w:val="single" w:color="auto" w:sz="4" w:space="0"/>
              <w:bottom w:val="single" w:color="auto" w:sz="4" w:space="0"/>
              <w:right w:val="single" w:color="auto" w:sz="4" w:space="0"/>
            </w:tcBorders>
            <w:vAlign w:val="center"/>
          </w:tcPr>
          <w:p w14:paraId="3CD6D6B5">
            <w:pPr>
              <w:pStyle w:val="52"/>
              <w:spacing w:before="0" w:beforeAutospacing="0" w:after="0" w:afterAutospacing="0" w:line="520" w:lineRule="exact"/>
              <w:jc w:val="center"/>
              <w:rPr>
                <w:rFonts w:hint="eastAsia" w:ascii="仿宋" w:hAnsi="仿宋" w:eastAsia="仿宋"/>
                <w:kern w:val="2"/>
                <w:sz w:val="21"/>
                <w:szCs w:val="21"/>
                <w:highlight w:val="none"/>
                <w:lang w:val="en-US" w:eastAsia="zh-CN"/>
              </w:rPr>
            </w:pPr>
            <w:r>
              <w:rPr>
                <w:rFonts w:hint="eastAsia" w:ascii="仿宋" w:hAnsi="仿宋" w:eastAsia="仿宋"/>
                <w:kern w:val="2"/>
                <w:sz w:val="21"/>
                <w:szCs w:val="21"/>
                <w:highlight w:val="none"/>
                <w:lang w:val="en-US" w:eastAsia="zh-CN"/>
              </w:rPr>
              <w:t>个</w:t>
            </w:r>
          </w:p>
        </w:tc>
        <w:tc>
          <w:tcPr>
            <w:tcW w:w="1365" w:type="dxa"/>
            <w:tcBorders>
              <w:top w:val="single" w:color="auto" w:sz="4" w:space="0"/>
              <w:left w:val="single" w:color="auto" w:sz="4" w:space="0"/>
              <w:bottom w:val="single" w:color="auto" w:sz="4" w:space="0"/>
              <w:right w:val="single" w:color="auto" w:sz="4" w:space="0"/>
            </w:tcBorders>
            <w:vAlign w:val="center"/>
          </w:tcPr>
          <w:p w14:paraId="28964C7A">
            <w:pPr>
              <w:pStyle w:val="52"/>
              <w:spacing w:before="0" w:beforeAutospacing="0" w:after="0" w:afterAutospacing="0" w:line="520" w:lineRule="exact"/>
              <w:jc w:val="center"/>
              <w:rPr>
                <w:rFonts w:hint="default" w:ascii="仿宋" w:hAnsi="仿宋" w:eastAsia="仿宋"/>
                <w:kern w:val="2"/>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01899748">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1485" w:type="dxa"/>
            <w:tcBorders>
              <w:top w:val="single" w:color="auto" w:sz="4" w:space="0"/>
              <w:left w:val="single" w:color="auto" w:sz="4" w:space="0"/>
              <w:bottom w:val="single" w:color="auto" w:sz="4" w:space="0"/>
              <w:right w:val="single" w:color="auto" w:sz="4" w:space="0"/>
            </w:tcBorders>
            <w:vAlign w:val="center"/>
          </w:tcPr>
          <w:p w14:paraId="050DDE60">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14:paraId="5EE8EADC">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78" w:type="dxa"/>
            <w:tcBorders>
              <w:top w:val="single" w:color="auto" w:sz="4" w:space="0"/>
              <w:left w:val="single" w:color="auto" w:sz="4" w:space="0"/>
              <w:bottom w:val="single" w:color="auto" w:sz="4" w:space="0"/>
              <w:right w:val="single" w:color="auto" w:sz="4" w:space="0"/>
            </w:tcBorders>
            <w:vAlign w:val="center"/>
          </w:tcPr>
          <w:p w14:paraId="459F5E76">
            <w:pPr>
              <w:pStyle w:val="52"/>
              <w:tabs>
                <w:tab w:val="left" w:pos="522"/>
              </w:tabs>
              <w:spacing w:before="0" w:beforeAutospacing="0" w:after="0" w:afterAutospacing="0" w:line="520" w:lineRule="exact"/>
              <w:jc w:val="left"/>
              <w:rPr>
                <w:rFonts w:hint="default" w:ascii="仿宋" w:hAnsi="仿宋" w:eastAsia="仿宋"/>
                <w:kern w:val="2"/>
                <w:sz w:val="21"/>
                <w:szCs w:val="21"/>
                <w:highlight w:val="none"/>
                <w:lang w:val="en-US" w:eastAsia="zh-CN"/>
              </w:rPr>
            </w:pPr>
          </w:p>
        </w:tc>
        <w:tc>
          <w:tcPr>
            <w:tcW w:w="1387" w:type="dxa"/>
            <w:tcBorders>
              <w:top w:val="single" w:color="auto" w:sz="4" w:space="0"/>
              <w:left w:val="single" w:color="auto" w:sz="4" w:space="0"/>
              <w:bottom w:val="single" w:color="auto" w:sz="4" w:space="0"/>
              <w:right w:val="single" w:color="auto" w:sz="4" w:space="0"/>
            </w:tcBorders>
            <w:vAlign w:val="center"/>
          </w:tcPr>
          <w:p w14:paraId="16842797">
            <w:pPr>
              <w:pStyle w:val="52"/>
              <w:spacing w:before="0" w:beforeAutospacing="0" w:after="0" w:afterAutospacing="0" w:line="520" w:lineRule="exact"/>
              <w:jc w:val="both"/>
              <w:rPr>
                <w:rFonts w:hint="default" w:ascii="仿宋" w:hAnsi="仿宋" w:eastAsia="仿宋"/>
                <w:kern w:val="2"/>
                <w:sz w:val="21"/>
                <w:szCs w:val="21"/>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14:paraId="14017E5D">
            <w:pPr>
              <w:pStyle w:val="52"/>
              <w:spacing w:before="0" w:beforeAutospacing="0" w:after="0" w:afterAutospacing="0" w:line="520" w:lineRule="exact"/>
              <w:jc w:val="center"/>
              <w:rPr>
                <w:rFonts w:ascii="仿宋" w:hAnsi="仿宋" w:eastAsia="仿宋"/>
                <w:kern w:val="2"/>
                <w:sz w:val="21"/>
                <w:szCs w:val="21"/>
                <w:highlight w:val="none"/>
              </w:rPr>
            </w:pPr>
          </w:p>
        </w:tc>
      </w:tr>
      <w:tr w14:paraId="7A0CE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0" w:type="dxa"/>
            <w:tcBorders>
              <w:top w:val="single" w:color="auto" w:sz="4" w:space="0"/>
              <w:left w:val="single" w:color="auto" w:sz="4" w:space="0"/>
              <w:bottom w:val="single" w:color="auto" w:sz="4" w:space="0"/>
              <w:right w:val="single" w:color="auto" w:sz="4" w:space="0"/>
            </w:tcBorders>
            <w:vAlign w:val="center"/>
          </w:tcPr>
          <w:p w14:paraId="598761E3">
            <w:pPr>
              <w:spacing w:line="520" w:lineRule="exact"/>
              <w:jc w:val="center"/>
              <w:rPr>
                <w:rFonts w:ascii="仿宋" w:hAnsi="仿宋" w:eastAsia="仿宋" w:cs="宋体"/>
                <w:szCs w:val="21"/>
                <w:highlight w:val="none"/>
              </w:rPr>
            </w:pPr>
            <w:r>
              <w:rPr>
                <w:rFonts w:hint="eastAsia" w:ascii="仿宋" w:hAnsi="仿宋" w:eastAsia="仿宋" w:cs="宋体"/>
                <w:szCs w:val="21"/>
                <w:highlight w:val="none"/>
              </w:rPr>
              <w:t>合计</w:t>
            </w:r>
          </w:p>
        </w:tc>
        <w:tc>
          <w:tcPr>
            <w:tcW w:w="13470" w:type="dxa"/>
            <w:gridSpan w:val="10"/>
            <w:tcBorders>
              <w:top w:val="single" w:color="auto" w:sz="4" w:space="0"/>
              <w:left w:val="single" w:color="auto" w:sz="4" w:space="0"/>
              <w:bottom w:val="single" w:color="auto" w:sz="4" w:space="0"/>
              <w:right w:val="single" w:color="auto" w:sz="4" w:space="0"/>
            </w:tcBorders>
            <w:vAlign w:val="center"/>
          </w:tcPr>
          <w:p w14:paraId="5AA2467D">
            <w:pPr>
              <w:spacing w:line="520" w:lineRule="exact"/>
              <w:jc w:val="center"/>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除税合计：（¥：元）</w:t>
            </w:r>
          </w:p>
          <w:p w14:paraId="6CC47A5E">
            <w:pPr>
              <w:pStyle w:val="20"/>
              <w:jc w:val="center"/>
              <w:rPr>
                <w:rFonts w:hint="default"/>
                <w:highlight w:val="none"/>
                <w:lang w:val="en-US" w:eastAsia="zh-CN"/>
              </w:rPr>
            </w:pPr>
            <w:r>
              <w:rPr>
                <w:rFonts w:hint="eastAsia" w:ascii="仿宋" w:hAnsi="仿宋" w:eastAsia="仿宋"/>
                <w:sz w:val="24"/>
                <w:szCs w:val="24"/>
                <w:highlight w:val="none"/>
                <w:lang w:val="en-US" w:eastAsia="zh-CN"/>
              </w:rPr>
              <w:t>含税合计：（¥：元）</w:t>
            </w:r>
          </w:p>
        </w:tc>
      </w:tr>
      <w:tr w14:paraId="5DE7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0" w:type="dxa"/>
            <w:tcBorders>
              <w:top w:val="single" w:color="auto" w:sz="4" w:space="0"/>
              <w:left w:val="single" w:color="auto" w:sz="4" w:space="0"/>
              <w:bottom w:val="single" w:color="auto" w:sz="4" w:space="0"/>
              <w:right w:val="single" w:color="auto" w:sz="4" w:space="0"/>
            </w:tcBorders>
            <w:vAlign w:val="center"/>
          </w:tcPr>
          <w:p w14:paraId="1141CEE3">
            <w:pPr>
              <w:spacing w:line="520" w:lineRule="exact"/>
              <w:jc w:val="center"/>
              <w:rPr>
                <w:rFonts w:ascii="仿宋" w:hAnsi="仿宋" w:eastAsia="仿宋" w:cs="宋体"/>
                <w:szCs w:val="21"/>
                <w:highlight w:val="none"/>
              </w:rPr>
            </w:pPr>
            <w:r>
              <w:rPr>
                <w:rFonts w:hint="eastAsia" w:ascii="仿宋" w:hAnsi="仿宋" w:eastAsia="仿宋" w:cs="宋体"/>
                <w:szCs w:val="21"/>
                <w:highlight w:val="none"/>
              </w:rPr>
              <w:t>备注</w:t>
            </w:r>
          </w:p>
        </w:tc>
        <w:tc>
          <w:tcPr>
            <w:tcW w:w="13470" w:type="dxa"/>
            <w:gridSpan w:val="10"/>
            <w:tcBorders>
              <w:top w:val="single" w:color="auto" w:sz="4" w:space="0"/>
              <w:left w:val="single" w:color="auto" w:sz="4" w:space="0"/>
              <w:bottom w:val="single" w:color="auto" w:sz="4" w:space="0"/>
              <w:right w:val="single" w:color="auto" w:sz="4" w:space="0"/>
            </w:tcBorders>
            <w:vAlign w:val="center"/>
          </w:tcPr>
          <w:p w14:paraId="4D84744F">
            <w:pPr>
              <w:spacing w:line="520" w:lineRule="exact"/>
              <w:jc w:val="left"/>
              <w:rPr>
                <w:rFonts w:ascii="仿宋" w:hAnsi="仿宋" w:eastAsia="仿宋" w:cs="宋体"/>
                <w:szCs w:val="21"/>
                <w:highlight w:val="none"/>
              </w:rPr>
            </w:pPr>
          </w:p>
        </w:tc>
      </w:tr>
    </w:tbl>
    <w:p w14:paraId="3B759B42">
      <w:pPr>
        <w:pStyle w:val="52"/>
        <w:spacing w:before="0" w:beforeAutospacing="0" w:after="0" w:afterAutospacing="0" w:line="520" w:lineRule="exact"/>
        <w:ind w:firstLine="560" w:firstLineChars="200"/>
        <w:rPr>
          <w:rFonts w:hint="eastAsia" w:ascii="仿宋" w:hAnsi="仿宋" w:eastAsia="仿宋"/>
          <w:sz w:val="28"/>
          <w:szCs w:val="28"/>
          <w:highlight w:val="none"/>
        </w:rPr>
      </w:pPr>
    </w:p>
    <w:p w14:paraId="10C16374">
      <w:pPr>
        <w:pStyle w:val="52"/>
        <w:spacing w:before="0" w:beforeAutospacing="0" w:after="0" w:afterAutospacing="0" w:line="520" w:lineRule="exact"/>
        <w:ind w:firstLine="560" w:firstLineChars="200"/>
        <w:rPr>
          <w:rFonts w:hint="eastAsia" w:ascii="仿宋" w:hAnsi="仿宋" w:eastAsia="仿宋"/>
          <w:sz w:val="28"/>
          <w:szCs w:val="28"/>
          <w:highlight w:val="none"/>
        </w:rPr>
      </w:pPr>
    </w:p>
    <w:p w14:paraId="341BAE23">
      <w:pPr>
        <w:pStyle w:val="52"/>
        <w:spacing w:before="0" w:beforeAutospacing="0" w:after="0" w:afterAutospacing="0" w:line="520" w:lineRule="exact"/>
        <w:ind w:firstLine="560" w:firstLineChars="200"/>
        <w:rPr>
          <w:rFonts w:hint="eastAsia" w:ascii="仿宋" w:hAnsi="仿宋" w:eastAsia="仿宋"/>
          <w:sz w:val="28"/>
          <w:szCs w:val="28"/>
          <w:highlight w:val="none"/>
        </w:rPr>
      </w:pPr>
    </w:p>
    <w:p w14:paraId="013069A4">
      <w:pPr>
        <w:pStyle w:val="52"/>
        <w:spacing w:before="0" w:beforeAutospacing="0" w:after="0" w:afterAutospacing="0" w:line="520" w:lineRule="exact"/>
        <w:rPr>
          <w:rFonts w:hint="eastAsia" w:ascii="仿宋" w:hAnsi="仿宋" w:eastAsia="仿宋"/>
          <w:sz w:val="28"/>
          <w:szCs w:val="28"/>
          <w:highlight w:val="none"/>
        </w:rPr>
        <w:sectPr>
          <w:pgSz w:w="16838" w:h="11906" w:orient="landscape"/>
          <w:pgMar w:top="1800" w:right="1440" w:bottom="1416" w:left="1440" w:header="851" w:footer="992" w:gutter="0"/>
          <w:cols w:space="425" w:num="1"/>
          <w:docGrid w:type="lines" w:linePitch="312" w:charSpace="0"/>
        </w:sectPr>
      </w:pPr>
    </w:p>
    <w:p w14:paraId="7DB112BE">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1.1产品的质量标准按照国家标准、行业标准或制造厂家企业标准确定，上述标准不一致的，以严格的标准为准。没有国家标准、行业标准和企业标准的，按照通常标准或者符合合同目的的特定标准确定，甲方有技术要求的按甲方技术标准的要求执行。</w:t>
      </w:r>
    </w:p>
    <w:p w14:paraId="100F4B7A">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1.2乙方向甲方提供的产品应当符合本合同约定的要求及《产品质量法》的有关规定并且应当是全新的、未使用过的、原厂生产的合格产品。</w:t>
      </w:r>
    </w:p>
    <w:p w14:paraId="0DCAD05A">
      <w:pPr>
        <w:pStyle w:val="4"/>
        <w:spacing w:before="0" w:after="0" w:line="520" w:lineRule="exact"/>
        <w:ind w:firstLine="562"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第二条 合同价款及付款方式</w:t>
      </w:r>
    </w:p>
    <w:p w14:paraId="65BB07AB">
      <w:pPr>
        <w:pStyle w:val="52"/>
        <w:spacing w:before="0" w:beforeAutospacing="0" w:after="0" w:afterAutospacing="0" w:line="520" w:lineRule="exact"/>
        <w:ind w:left="1399" w:leftChars="266" w:hanging="840" w:hangingChars="300"/>
        <w:rPr>
          <w:rFonts w:hint="eastAsia" w:ascii="仿宋" w:hAnsi="仿宋" w:eastAsia="仿宋"/>
          <w:sz w:val="28"/>
          <w:szCs w:val="28"/>
          <w:highlight w:val="none"/>
        </w:rPr>
      </w:pPr>
      <w:r>
        <w:rPr>
          <w:rFonts w:hint="eastAsia" w:ascii="仿宋" w:hAnsi="仿宋" w:eastAsia="仿宋"/>
          <w:sz w:val="28"/>
          <w:szCs w:val="28"/>
          <w:highlight w:val="none"/>
        </w:rPr>
        <w:t>2.1本合同除税总价款：人民币</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rPr>
        <w:t>（大写）（</w:t>
      </w:r>
      <w:r>
        <w:rPr>
          <w:rFonts w:hint="eastAsia" w:eastAsia="仿宋"/>
          <w:sz w:val="28"/>
          <w:szCs w:val="28"/>
          <w:highlight w:val="none"/>
        </w:rPr>
        <w:t>¥</w:t>
      </w:r>
      <w:r>
        <w:rPr>
          <w:rFonts w:hint="eastAsia" w:ascii="仿宋" w:hAnsi="仿宋" w:eastAsia="仿宋"/>
          <w:sz w:val="28"/>
          <w:szCs w:val="28"/>
          <w:highlight w:val="none"/>
        </w:rPr>
        <w:t>：</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rPr>
        <w:t>元）。</w:t>
      </w:r>
    </w:p>
    <w:p w14:paraId="284F936D">
      <w:pPr>
        <w:pStyle w:val="52"/>
        <w:spacing w:before="0" w:beforeAutospacing="0" w:after="0" w:afterAutospacing="0" w:line="520" w:lineRule="exact"/>
        <w:ind w:firstLine="560" w:firstLineChars="200"/>
        <w:rPr>
          <w:rFonts w:hint="eastAsia" w:ascii="仿宋" w:hAnsi="仿宋" w:eastAsia="仿宋"/>
          <w:b/>
          <w:bCs/>
          <w:sz w:val="28"/>
          <w:szCs w:val="28"/>
          <w:highlight w:val="none"/>
        </w:rPr>
      </w:pPr>
      <w:r>
        <w:rPr>
          <w:rFonts w:hint="eastAsia" w:ascii="仿宋" w:hAnsi="仿宋" w:eastAsia="仿宋"/>
          <w:sz w:val="28"/>
          <w:szCs w:val="28"/>
          <w:highlight w:val="none"/>
        </w:rPr>
        <w:t>2.2</w:t>
      </w:r>
      <w:r>
        <w:rPr>
          <w:rFonts w:hint="eastAsia" w:ascii="仿宋" w:hAnsi="仿宋" w:eastAsia="仿宋"/>
          <w:b w:val="0"/>
          <w:bCs w:val="0"/>
          <w:sz w:val="28"/>
          <w:szCs w:val="28"/>
          <w:highlight w:val="none"/>
        </w:rPr>
        <w:t>验收合格后，甲方每年付款三次，每次支付应付账款的约</w:t>
      </w:r>
      <w:r>
        <w:rPr>
          <w:rFonts w:hint="eastAsia" w:ascii="仿宋" w:hAnsi="仿宋" w:eastAsia="仿宋"/>
          <w:b w:val="0"/>
          <w:bCs w:val="0"/>
          <w:sz w:val="28"/>
          <w:szCs w:val="28"/>
          <w:highlight w:val="none"/>
          <w:u w:val="single"/>
          <w:lang w:val="en-US" w:eastAsia="zh-CN"/>
        </w:rPr>
        <w:t>25</w:t>
      </w:r>
      <w:r>
        <w:rPr>
          <w:rFonts w:hint="eastAsia" w:ascii="仿宋" w:hAnsi="仿宋" w:eastAsia="仿宋"/>
          <w:b w:val="0"/>
          <w:bCs w:val="0"/>
          <w:sz w:val="28"/>
          <w:szCs w:val="28"/>
          <w:highlight w:val="none"/>
          <w:u w:val="single"/>
        </w:rPr>
        <w:t>%</w:t>
      </w:r>
      <w:r>
        <w:rPr>
          <w:rFonts w:hint="eastAsia" w:ascii="仿宋" w:hAnsi="仿宋" w:eastAsia="仿宋"/>
          <w:b w:val="0"/>
          <w:bCs w:val="0"/>
          <w:sz w:val="28"/>
          <w:szCs w:val="28"/>
          <w:highlight w:val="none"/>
        </w:rPr>
        <w:t>。</w:t>
      </w:r>
    </w:p>
    <w:p w14:paraId="0B9F1860">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2.3乙方收款前须提供增值税专用发票，税率为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最终结算值=不含税造价*（1+实际开具的增值税发票税率）】。否则甲方的付款期限顺延。乙方应当确保发票真实无误且合法有效，如发票出现任何问题由乙方承担责任，赔偿甲方由此遭受的全部损失。如因乙方发票未按期提供或发票不合规等原因，导致甲方增值税无法正常抵扣的，乙方同意承担由此对甲方造成的一切损失（包括但不限于因票据问题导致甲方无法抵扣的税款，以及由此产生的须由甲方支付的滞纳金、行政罚款等）。</w:t>
      </w:r>
    </w:p>
    <w:p w14:paraId="30DDD633">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2.4在本合同履行过程中，甲方增减采购产品数量的，价格按本合同约定价格执行，合同期内产品单价不因任何原因而调整。</w:t>
      </w:r>
    </w:p>
    <w:p w14:paraId="385E0CD1">
      <w:pPr>
        <w:pStyle w:val="52"/>
        <w:spacing w:before="0" w:beforeAutospacing="0" w:after="0" w:afterAutospacing="0" w:line="520" w:lineRule="exact"/>
        <w:ind w:firstLine="562" w:firstLineChars="200"/>
        <w:rPr>
          <w:rFonts w:hint="eastAsia" w:ascii="仿宋" w:hAnsi="仿宋" w:eastAsia="仿宋"/>
          <w:b/>
          <w:kern w:val="2"/>
          <w:sz w:val="28"/>
          <w:szCs w:val="28"/>
          <w:highlight w:val="none"/>
        </w:rPr>
      </w:pPr>
      <w:r>
        <w:rPr>
          <w:rFonts w:hint="eastAsia" w:ascii="仿宋" w:hAnsi="仿宋" w:eastAsia="仿宋"/>
          <w:b/>
          <w:kern w:val="2"/>
          <w:sz w:val="28"/>
          <w:szCs w:val="28"/>
          <w:highlight w:val="none"/>
        </w:rPr>
        <w:t>第三条 产品的交付</w:t>
      </w:r>
    </w:p>
    <w:p w14:paraId="1023089F">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3.1</w:t>
      </w:r>
      <w:r>
        <w:rPr>
          <w:rFonts w:hint="eastAsia" w:ascii="仿宋" w:hAnsi="仿宋" w:eastAsia="仿宋"/>
          <w:b w:val="0"/>
          <w:bCs w:val="0"/>
          <w:sz w:val="28"/>
          <w:szCs w:val="28"/>
          <w:highlight w:val="none"/>
        </w:rPr>
        <w:t>本合同签订后，自接到甲方通知之日起</w:t>
      </w:r>
      <w:r>
        <w:rPr>
          <w:rFonts w:hint="eastAsia" w:ascii="仿宋" w:hAnsi="仿宋" w:eastAsia="仿宋"/>
          <w:b w:val="0"/>
          <w:bCs w:val="0"/>
          <w:sz w:val="28"/>
          <w:szCs w:val="28"/>
          <w:highlight w:val="none"/>
          <w:u w:val="single"/>
          <w:lang w:val="en-US" w:eastAsia="zh-CN"/>
        </w:rPr>
        <w:t xml:space="preserve">     </w:t>
      </w:r>
      <w:r>
        <w:rPr>
          <w:rFonts w:hint="eastAsia" w:ascii="仿宋" w:hAnsi="仿宋" w:eastAsia="仿宋"/>
          <w:b w:val="0"/>
          <w:bCs w:val="0"/>
          <w:sz w:val="28"/>
          <w:szCs w:val="28"/>
          <w:highlight w:val="none"/>
        </w:rPr>
        <w:t>日内，</w:t>
      </w:r>
      <w:r>
        <w:rPr>
          <w:rFonts w:hint="eastAsia" w:ascii="仿宋" w:hAnsi="仿宋" w:eastAsia="仿宋" w:cs="宋体"/>
          <w:color w:val="000000"/>
          <w:sz w:val="28"/>
          <w:szCs w:val="28"/>
          <w:highlight w:val="none"/>
        </w:rPr>
        <w:t>乙方应完成产品交付、</w:t>
      </w:r>
      <w:r>
        <w:rPr>
          <w:rFonts w:hint="eastAsia" w:ascii="仿宋" w:hAnsi="仿宋" w:eastAsia="仿宋" w:cs="宋体"/>
          <w:color w:val="000000"/>
          <w:sz w:val="28"/>
          <w:szCs w:val="28"/>
          <w:highlight w:val="none"/>
          <w:lang w:val="en-US" w:eastAsia="zh-CN"/>
        </w:rPr>
        <w:t>提供焊机、配合施工</w:t>
      </w:r>
      <w:r>
        <w:rPr>
          <w:rFonts w:hint="eastAsia" w:ascii="仿宋" w:hAnsi="仿宋" w:eastAsia="仿宋" w:cs="宋体"/>
          <w:color w:val="000000"/>
          <w:sz w:val="28"/>
          <w:szCs w:val="28"/>
          <w:highlight w:val="none"/>
        </w:rPr>
        <w:t>、并验收合格</w:t>
      </w:r>
      <w:r>
        <w:rPr>
          <w:rFonts w:hint="eastAsia" w:ascii="仿宋" w:hAnsi="仿宋" w:eastAsia="仿宋"/>
          <w:sz w:val="28"/>
          <w:szCs w:val="28"/>
          <w:highlight w:val="none"/>
        </w:rPr>
        <w:t>。乙方应严格执行合同约定的供货周期，保质、保量地完成产品的供货。交货同时向甲方提交产品的各类认证证明、质量检测报告、产品合格证书、保修单、使用说明书、授权代理书、服务指南等随附单证。同时，乙方确认提供的相关所有材料的真实性，否则造成的一切后果以及产生的相关费用均由乙方承担。</w:t>
      </w:r>
    </w:p>
    <w:p w14:paraId="02A79679">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3.2乙方负责产品的包装，包装应确保产品安全，装卸、运输方便，符合安全、环保、卫生标准要求，由此产生的费用由乙方承担，且包装物不予回收。</w:t>
      </w:r>
    </w:p>
    <w:p w14:paraId="522DF121">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3.3交货地点：</w:t>
      </w:r>
      <w:r>
        <w:rPr>
          <w:rFonts w:hint="eastAsia" w:ascii="仿宋" w:hAnsi="仿宋" w:eastAsia="仿宋"/>
          <w:sz w:val="28"/>
          <w:szCs w:val="28"/>
          <w:highlight w:val="none"/>
          <w:u w:val="single"/>
        </w:rPr>
        <w:t xml:space="preserve"> 甲方指定地点 </w:t>
      </w:r>
      <w:r>
        <w:rPr>
          <w:rFonts w:hint="eastAsia" w:ascii="仿宋" w:hAnsi="仿宋" w:eastAsia="仿宋"/>
          <w:sz w:val="28"/>
          <w:szCs w:val="28"/>
          <w:highlight w:val="none"/>
        </w:rPr>
        <w:t>。</w:t>
      </w:r>
    </w:p>
    <w:p w14:paraId="125CCDFC">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3.4</w:t>
      </w:r>
      <w:r>
        <w:rPr>
          <w:rFonts w:hint="eastAsia" w:ascii="仿宋" w:hAnsi="仿宋" w:eastAsia="仿宋" w:cs="宋体"/>
          <w:color w:val="000000"/>
          <w:sz w:val="28"/>
          <w:szCs w:val="28"/>
          <w:highlight w:val="none"/>
          <w:lang w:val="en-US" w:eastAsia="zh-CN"/>
        </w:rPr>
        <w:t>工程</w:t>
      </w:r>
      <w:r>
        <w:rPr>
          <w:rFonts w:hint="eastAsia" w:ascii="仿宋" w:hAnsi="仿宋" w:eastAsia="仿宋"/>
          <w:sz w:val="28"/>
          <w:szCs w:val="28"/>
          <w:highlight w:val="none"/>
        </w:rPr>
        <w:t>完成后，甲方验收合格前货物毁损、灭失的风险均由乙方承担。</w:t>
      </w:r>
    </w:p>
    <w:p w14:paraId="0CEAD249">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3.5货到现场后，乙方从接到甲方通知之日起开始进行</w:t>
      </w:r>
      <w:r>
        <w:rPr>
          <w:rFonts w:hint="eastAsia" w:ascii="仿宋" w:hAnsi="仿宋" w:eastAsia="仿宋" w:cs="宋体"/>
          <w:color w:val="000000"/>
          <w:sz w:val="28"/>
          <w:szCs w:val="28"/>
          <w:highlight w:val="none"/>
          <w:lang w:val="en-US" w:eastAsia="zh-CN"/>
        </w:rPr>
        <w:t>配合施工</w:t>
      </w:r>
      <w:r>
        <w:rPr>
          <w:rFonts w:hint="eastAsia" w:ascii="仿宋" w:hAnsi="仿宋" w:eastAsia="仿宋"/>
          <w:sz w:val="28"/>
          <w:szCs w:val="28"/>
          <w:highlight w:val="none"/>
        </w:rPr>
        <w:t>，</w:t>
      </w:r>
      <w:r>
        <w:rPr>
          <w:rFonts w:hint="eastAsia" w:ascii="仿宋" w:hAnsi="仿宋" w:eastAsia="仿宋"/>
          <w:sz w:val="28"/>
          <w:szCs w:val="28"/>
          <w:highlight w:val="none"/>
          <w:lang w:val="en-US" w:eastAsia="zh-CN"/>
        </w:rPr>
        <w:t>工程</w:t>
      </w:r>
      <w:r>
        <w:rPr>
          <w:rFonts w:hint="eastAsia" w:ascii="仿宋" w:hAnsi="仿宋" w:eastAsia="仿宋"/>
          <w:sz w:val="28"/>
          <w:szCs w:val="28"/>
          <w:highlight w:val="none"/>
        </w:rPr>
        <w:t>进度需满足甲方要求，</w:t>
      </w:r>
      <w:r>
        <w:rPr>
          <w:rFonts w:hint="eastAsia" w:ascii="仿宋" w:hAnsi="仿宋" w:eastAsia="仿宋" w:cs="宋体"/>
          <w:color w:val="000000"/>
          <w:sz w:val="28"/>
          <w:szCs w:val="28"/>
          <w:highlight w:val="none"/>
          <w:lang w:val="en-US" w:eastAsia="zh-CN"/>
        </w:rPr>
        <w:t>工程</w:t>
      </w:r>
      <w:r>
        <w:rPr>
          <w:rFonts w:hint="eastAsia" w:ascii="仿宋" w:hAnsi="仿宋" w:eastAsia="仿宋"/>
          <w:sz w:val="28"/>
          <w:szCs w:val="28"/>
          <w:highlight w:val="none"/>
        </w:rPr>
        <w:t>完成之后需配合甲方进行验收。</w:t>
      </w:r>
      <w:r>
        <w:rPr>
          <w:rFonts w:hint="eastAsia" w:ascii="仿宋" w:hAnsi="仿宋" w:eastAsia="仿宋" w:cs="宋体"/>
          <w:color w:val="000000"/>
          <w:sz w:val="28"/>
          <w:szCs w:val="28"/>
          <w:highlight w:val="none"/>
          <w:lang w:val="en-US" w:eastAsia="zh-CN"/>
        </w:rPr>
        <w:t>配合施工</w:t>
      </w:r>
      <w:r>
        <w:rPr>
          <w:rFonts w:hint="eastAsia" w:ascii="仿宋" w:hAnsi="仿宋" w:eastAsia="仿宋"/>
          <w:sz w:val="28"/>
          <w:szCs w:val="28"/>
          <w:highlight w:val="none"/>
        </w:rPr>
        <w:t>前需提供施工方案，技术交底，进度计划，</w:t>
      </w:r>
      <w:r>
        <w:rPr>
          <w:rFonts w:hint="eastAsia" w:ascii="仿宋" w:hAnsi="仿宋" w:eastAsia="仿宋" w:cs="宋体"/>
          <w:color w:val="000000"/>
          <w:sz w:val="28"/>
          <w:szCs w:val="28"/>
          <w:highlight w:val="none"/>
          <w:lang w:val="en-US" w:eastAsia="zh-CN"/>
        </w:rPr>
        <w:t>配合施工</w:t>
      </w:r>
      <w:r>
        <w:rPr>
          <w:rFonts w:hint="eastAsia" w:ascii="仿宋" w:hAnsi="仿宋" w:eastAsia="仿宋"/>
          <w:sz w:val="28"/>
          <w:szCs w:val="28"/>
          <w:highlight w:val="none"/>
        </w:rPr>
        <w:t>人员的保险证明（具体保额由招标人与中标人共同商议决定，并在安全生产协议中落实），签署安全文明生产协议。</w:t>
      </w:r>
    </w:p>
    <w:p w14:paraId="566E35EB">
      <w:pPr>
        <w:pStyle w:val="4"/>
        <w:spacing w:before="0" w:after="0" w:line="520" w:lineRule="exact"/>
        <w:ind w:firstLine="562"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第四条 产品的验收</w:t>
      </w:r>
    </w:p>
    <w:p w14:paraId="2825C738">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4.1在每批次产品到达指定地点后，甲、乙双方代表应清点产品的数量、包装、规格、品牌、质量、随附单证等。按照本合同标准进行检验，验收合格的，双方签署《产品到货验收单》。</w:t>
      </w:r>
    </w:p>
    <w:p w14:paraId="2C9D41E1">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4.2对甲方提出的质量异议，乙方有权将相关产品送甲方认可的国家检测部门检测。如检测合格的，检测费用由甲方承担；如检测不合格的，则检测费用由乙方承担，并承担由此给甲方造成的损失。</w:t>
      </w:r>
    </w:p>
    <w:p w14:paraId="4E0821AA">
      <w:pPr>
        <w:pStyle w:val="4"/>
        <w:spacing w:before="0" w:after="0" w:line="520" w:lineRule="exact"/>
        <w:ind w:firstLine="562" w:firstLineChars="200"/>
        <w:rPr>
          <w:rFonts w:hint="eastAsia" w:ascii="仿宋" w:hAnsi="仿宋" w:eastAsia="仿宋" w:cs="宋体"/>
          <w:b w:val="0"/>
          <w:sz w:val="28"/>
          <w:szCs w:val="28"/>
          <w:highlight w:val="none"/>
        </w:rPr>
      </w:pPr>
      <w:r>
        <w:rPr>
          <w:rFonts w:hint="eastAsia" w:ascii="仿宋" w:hAnsi="仿宋" w:eastAsia="仿宋" w:cs="宋体"/>
          <w:sz w:val="28"/>
          <w:szCs w:val="28"/>
          <w:highlight w:val="none"/>
        </w:rPr>
        <w:t>第五条 质量保证及售后服务</w:t>
      </w:r>
    </w:p>
    <w:p w14:paraId="2EF93079">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5.1</w:t>
      </w:r>
      <w:r>
        <w:rPr>
          <w:rFonts w:hint="eastAsia" w:ascii="仿宋" w:hAnsi="仿宋" w:eastAsia="仿宋"/>
          <w:b w:val="0"/>
          <w:bCs w:val="0"/>
          <w:sz w:val="28"/>
          <w:szCs w:val="28"/>
          <w:highlight w:val="none"/>
        </w:rPr>
        <w:t>本合同产品的保修期为自完成验收合格之日起</w:t>
      </w:r>
      <w:r>
        <w:rPr>
          <w:rFonts w:hint="eastAsia" w:ascii="仿宋" w:hAnsi="仿宋" w:eastAsia="仿宋"/>
          <w:b w:val="0"/>
          <w:bCs w:val="0"/>
          <w:strike w:val="0"/>
          <w:dstrike w:val="0"/>
          <w:sz w:val="28"/>
          <w:szCs w:val="28"/>
          <w:highlight w:val="none"/>
          <w:u w:val="single"/>
        </w:rPr>
        <w:t xml:space="preserve"> </w:t>
      </w:r>
      <w:r>
        <w:rPr>
          <w:rFonts w:hint="eastAsia" w:ascii="仿宋" w:hAnsi="仿宋" w:eastAsia="仿宋"/>
          <w:b w:val="0"/>
          <w:bCs w:val="0"/>
          <w:strike w:val="0"/>
          <w:dstrike w:val="0"/>
          <w:sz w:val="28"/>
          <w:szCs w:val="28"/>
          <w:highlight w:val="none"/>
          <w:u w:val="single"/>
          <w:lang w:val="en-US" w:eastAsia="zh-CN"/>
        </w:rPr>
        <w:t xml:space="preserve">    </w:t>
      </w:r>
      <w:r>
        <w:rPr>
          <w:rFonts w:hint="eastAsia" w:ascii="仿宋" w:hAnsi="仿宋" w:eastAsia="仿宋"/>
          <w:b w:val="0"/>
          <w:bCs w:val="0"/>
          <w:sz w:val="28"/>
          <w:szCs w:val="28"/>
          <w:highlight w:val="none"/>
        </w:rPr>
        <w:t>个月，</w:t>
      </w:r>
      <w:r>
        <w:rPr>
          <w:rFonts w:hint="eastAsia" w:ascii="仿宋" w:hAnsi="仿宋" w:eastAsia="仿宋"/>
          <w:sz w:val="28"/>
          <w:szCs w:val="28"/>
          <w:highlight w:val="none"/>
        </w:rPr>
        <w:t>在保修期内，产品出现质量问题，乙方应当在甲方通知之日起</w:t>
      </w:r>
      <w:r>
        <w:rPr>
          <w:rFonts w:hint="eastAsia" w:eastAsia="仿宋"/>
          <w:sz w:val="28"/>
          <w:szCs w:val="28"/>
          <w:highlight w:val="none"/>
          <w:u w:val="single"/>
        </w:rPr>
        <w:t xml:space="preserve"> 12  </w:t>
      </w:r>
      <w:r>
        <w:rPr>
          <w:rFonts w:hint="eastAsia" w:ascii="仿宋" w:hAnsi="仿宋" w:eastAsia="仿宋"/>
          <w:sz w:val="28"/>
          <w:szCs w:val="28"/>
          <w:highlight w:val="none"/>
        </w:rPr>
        <w:t>小时内免费上门进行维修、更换，如产品质量问题严重，影响甲方正常使用的，甲方有权要求乙方无条件退货。乙方逾期未按本条约定进行维修、更换或维修、更换后仍不符合合同约定的，甲方有权自行或委托第三人进行维修、更换，由此产生的费用由乙方承担。经过甲方或第三人维修、更换后的产品，乙方继续按本合同约定承担质量保修责任。乙方未及时履行保修义务导致的损失均由乙方承担。</w:t>
      </w:r>
    </w:p>
    <w:p w14:paraId="55BC7A09">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5.2产品经过维修后，自维修合格送还甲方之日起，保修期重新开始计算。</w:t>
      </w:r>
    </w:p>
    <w:p w14:paraId="6D1C3D52">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5.3若产品发生可疑不良事件（甲方或第三方认为，乙方的产品可能存在质量问题，或在使用过程中可能造成使用者身体或财产损害的情况），乙方有义务协同甲方进行事件的追查及后期处理、培训，若乙方存有推脱、不及时提供售后服务。甲方有权利立即终止本合约，并根据对甲方造成的影响，追究乙方违约赔偿的权利。</w:t>
      </w:r>
    </w:p>
    <w:p w14:paraId="33763729">
      <w:pPr>
        <w:pStyle w:val="52"/>
        <w:spacing w:before="0" w:beforeAutospacing="0" w:after="0" w:afterAutospacing="0" w:line="520" w:lineRule="exact"/>
        <w:ind w:firstLine="560" w:firstLineChars="200"/>
        <w:rPr>
          <w:rFonts w:hint="eastAsia" w:ascii="仿宋" w:hAnsi="仿宋" w:eastAsia="仿宋"/>
          <w:b/>
          <w:bCs/>
          <w:sz w:val="28"/>
          <w:szCs w:val="28"/>
          <w:highlight w:val="none"/>
        </w:rPr>
      </w:pPr>
      <w:r>
        <w:rPr>
          <w:rFonts w:hint="eastAsia" w:ascii="仿宋" w:hAnsi="仿宋" w:eastAsia="仿宋"/>
          <w:sz w:val="28"/>
          <w:szCs w:val="28"/>
          <w:highlight w:val="none"/>
        </w:rPr>
        <w:t>5.4若甲方要求，乙方需提供产品样本供甲方留存，该样本作为本合同的附件。若产品交付后其质量或规格与合同要求或样本不符，或证实其是有缺陷的，包括潜在的缺陷或使用不符合要求的材料等，乙方应按甲方要求负责采用符合合同约定的规格、质量和性能要求的新产品来更换有缺陷的部分或修补缺陷部分，其费用由乙方负担。</w:t>
      </w:r>
    </w:p>
    <w:p w14:paraId="3BE41002">
      <w:pPr>
        <w:pStyle w:val="4"/>
        <w:spacing w:before="0" w:after="0" w:line="520" w:lineRule="exact"/>
        <w:ind w:firstLine="562"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第六条 违约责任</w:t>
      </w:r>
    </w:p>
    <w:p w14:paraId="4044E654">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6.1若乙方未按本合同约定或甲方通知要求的期限交货或完成本合同约定的其他工作的，每逾期一天，乙方应按本合同总价款的</w:t>
      </w:r>
      <w:r>
        <w:rPr>
          <w:rFonts w:hint="eastAsia" w:ascii="仿宋" w:hAnsi="仿宋" w:eastAsia="仿宋"/>
          <w:sz w:val="28"/>
          <w:szCs w:val="28"/>
          <w:highlight w:val="none"/>
          <w:u w:val="single"/>
        </w:rPr>
        <w:t>0.3%</w:t>
      </w:r>
      <w:r>
        <w:rPr>
          <w:rFonts w:hint="eastAsia" w:ascii="仿宋" w:hAnsi="仿宋" w:eastAsia="仿宋"/>
          <w:sz w:val="28"/>
          <w:szCs w:val="28"/>
          <w:highlight w:val="none"/>
        </w:rPr>
        <w:t>向甲方支付违约金；逾期</w:t>
      </w:r>
      <w:r>
        <w:rPr>
          <w:rFonts w:hint="eastAsia" w:ascii="仿宋" w:hAnsi="仿宋" w:eastAsia="仿宋"/>
          <w:sz w:val="28"/>
          <w:szCs w:val="28"/>
          <w:highlight w:val="none"/>
          <w:u w:val="single"/>
        </w:rPr>
        <w:t xml:space="preserve"> 15 </w:t>
      </w:r>
      <w:r>
        <w:rPr>
          <w:rFonts w:hint="eastAsia" w:ascii="仿宋" w:hAnsi="仿宋" w:eastAsia="仿宋"/>
          <w:sz w:val="28"/>
          <w:szCs w:val="28"/>
          <w:highlight w:val="none"/>
        </w:rPr>
        <w:t>天，甲方有权选择单方解除本合同。如因乙方原因导致交货日期延误造成甲方相关工程工期延误的，乙方应赔偿甲方工期延误的损失。</w:t>
      </w:r>
    </w:p>
    <w:p w14:paraId="021163E5">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6.2经过甲方验收，乙方交付的产品数量、包装、规格、品牌、质量、随附单证等与合同约定不一致的，视为交付不合格，甲方有权采取下列任何一种措施追究乙方违约责任：</w:t>
      </w:r>
    </w:p>
    <w:p w14:paraId="18282DEA">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（1）拒绝接收不合格产品，乙方按照甲方要求无条件更换、补足或修理、重做，由此产生的费用由乙方承担，因此延误交货期的乙方承担相应的违约责任，逾期</w:t>
      </w:r>
      <w:r>
        <w:rPr>
          <w:rFonts w:hint="eastAsia" w:ascii="仿宋" w:hAnsi="仿宋" w:eastAsia="仿宋"/>
          <w:sz w:val="28"/>
          <w:szCs w:val="28"/>
          <w:highlight w:val="none"/>
          <w:u w:val="single"/>
        </w:rPr>
        <w:t xml:space="preserve"> 5 </w:t>
      </w:r>
      <w:r>
        <w:rPr>
          <w:rFonts w:hint="eastAsia" w:ascii="仿宋" w:hAnsi="仿宋" w:eastAsia="仿宋"/>
          <w:sz w:val="28"/>
          <w:szCs w:val="28"/>
          <w:highlight w:val="none"/>
        </w:rPr>
        <w:t>日仍未更换、补足或更换、补足后仍不符合合同约定的，甲方有权选择单方解除本合同或部分解除本合同；</w:t>
      </w:r>
    </w:p>
    <w:p w14:paraId="304F0333">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（2）已经接收的产品要求乙方在</w:t>
      </w:r>
      <w:r>
        <w:rPr>
          <w:rFonts w:hint="eastAsia" w:ascii="仿宋" w:hAnsi="仿宋" w:eastAsia="仿宋"/>
          <w:sz w:val="28"/>
          <w:szCs w:val="28"/>
          <w:highlight w:val="none"/>
          <w:u w:val="single"/>
        </w:rPr>
        <w:t>5</w:t>
      </w:r>
      <w:r>
        <w:rPr>
          <w:rFonts w:hint="eastAsia" w:ascii="仿宋" w:hAnsi="仿宋" w:eastAsia="仿宋"/>
          <w:sz w:val="28"/>
          <w:szCs w:val="28"/>
          <w:highlight w:val="none"/>
        </w:rPr>
        <w:t>日内无条件退货并退还甲方已支付的全部价款；</w:t>
      </w:r>
    </w:p>
    <w:p w14:paraId="69D1C786">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（3）无法退货的，乙方应当向甲方支付本合同总金额的</w:t>
      </w:r>
      <w:r>
        <w:rPr>
          <w:rFonts w:hint="eastAsia" w:ascii="仿宋" w:hAnsi="仿宋" w:eastAsia="仿宋"/>
          <w:sz w:val="28"/>
          <w:szCs w:val="28"/>
          <w:highlight w:val="none"/>
          <w:u w:val="single"/>
        </w:rPr>
        <w:t>10%</w:t>
      </w:r>
      <w:r>
        <w:rPr>
          <w:rFonts w:hint="eastAsia" w:ascii="仿宋" w:hAnsi="仿宋" w:eastAsia="仿宋"/>
          <w:sz w:val="28"/>
          <w:szCs w:val="28"/>
          <w:highlight w:val="none"/>
        </w:rPr>
        <w:t>作为违约金。</w:t>
      </w:r>
    </w:p>
    <w:p w14:paraId="225CB518">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6.3乙方对其交付产品的质量承担保证责任，因产品生产工艺、材料缺陷等原因发生质量故障的，无论产品是否在质保期内，均由乙方承担责任，赔偿由此给甲方、第三人造成的全部损失。</w:t>
      </w:r>
    </w:p>
    <w:p w14:paraId="55469F28">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6.4乙方应当保证有权销售本合同的所有产品，不会因此侵犯到第三人的所有权、知识产权等一切权利也未对产品设置任何负担，属于第三人拥有知识产权的已经取得第三人合法授权，甲方有权不受限制地使用。若因违反本款约定引起的第三方权利纠纷的由乙方负责解决，包括甲方使用该产品所需的授权费以及解决争议发生的一切费用均由乙方承担。如果不能取得使用许可需要另行购买产品的，所需费用由乙方承担，并赔偿甲方因此受到的损失。</w:t>
      </w:r>
    </w:p>
    <w:p w14:paraId="1D0AAB53">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6.5本合同签订及履行过程中，未经甲方书面同意，乙方不得将本合同的权利义务以任何方式转让给第三人，否则甲方有权选择单方解除本合同并要求乙方支付合同总金额</w:t>
      </w:r>
      <w:r>
        <w:rPr>
          <w:rFonts w:hint="eastAsia" w:ascii="仿宋" w:hAnsi="仿宋" w:eastAsia="仿宋"/>
          <w:sz w:val="28"/>
          <w:szCs w:val="28"/>
          <w:highlight w:val="none"/>
          <w:u w:val="single"/>
        </w:rPr>
        <w:t>20%</w:t>
      </w:r>
      <w:r>
        <w:rPr>
          <w:rFonts w:hint="eastAsia" w:ascii="仿宋" w:hAnsi="仿宋" w:eastAsia="仿宋"/>
          <w:sz w:val="28"/>
          <w:szCs w:val="28"/>
          <w:highlight w:val="none"/>
        </w:rPr>
        <w:t>的违约金。</w:t>
      </w:r>
    </w:p>
    <w:p w14:paraId="3CDE8613">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6.6本合同签订后，乙方要求提前解除合同的，应向甲方支付本合同总价款</w:t>
      </w:r>
      <w:r>
        <w:rPr>
          <w:rFonts w:hint="eastAsia" w:ascii="仿宋" w:hAnsi="仿宋" w:eastAsia="仿宋"/>
          <w:sz w:val="28"/>
          <w:szCs w:val="28"/>
          <w:highlight w:val="none"/>
          <w:u w:val="single"/>
        </w:rPr>
        <w:t>20%</w:t>
      </w:r>
      <w:r>
        <w:rPr>
          <w:rFonts w:hint="eastAsia" w:ascii="仿宋" w:hAnsi="仿宋" w:eastAsia="仿宋"/>
          <w:sz w:val="28"/>
          <w:szCs w:val="28"/>
          <w:highlight w:val="none"/>
        </w:rPr>
        <w:t>的违约金，退还甲方已支付的全部费用并赔偿由此给甲方造成的全部损失。</w:t>
      </w:r>
    </w:p>
    <w:p w14:paraId="6D9E1F2F">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6.7乙方应当支付给甲方的违约金、赔偿金，甲方有权从未支付的货款中扣除，违约金不足以赔偿给甲方造成损失的，甲方仍有权向乙方进行追偿。</w:t>
      </w:r>
    </w:p>
    <w:p w14:paraId="01A9F48C">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6.8按本合同约定甲方选择解除合同的，自甲方解除合同的书面通知送达乙方之日起合同解除，乙方应赔偿由此给甲方造成的全部损失。甲方不支付乙方任何费用，乙方对解除合同有异议的异议期为</w:t>
      </w:r>
      <w:r>
        <w:rPr>
          <w:rFonts w:hint="eastAsia" w:ascii="仿宋" w:hAnsi="仿宋" w:eastAsia="仿宋"/>
          <w:sz w:val="28"/>
          <w:szCs w:val="28"/>
          <w:highlight w:val="none"/>
          <w:u w:val="single"/>
        </w:rPr>
        <w:t>7</w:t>
      </w:r>
      <w:r>
        <w:rPr>
          <w:rFonts w:hint="eastAsia" w:ascii="仿宋" w:hAnsi="仿宋" w:eastAsia="仿宋"/>
          <w:sz w:val="28"/>
          <w:szCs w:val="28"/>
          <w:highlight w:val="none"/>
        </w:rPr>
        <w:t>日。乙方应当在合同解除后</w:t>
      </w:r>
      <w:r>
        <w:rPr>
          <w:rFonts w:hint="eastAsia" w:ascii="仿宋" w:hAnsi="仿宋" w:eastAsia="仿宋"/>
          <w:sz w:val="28"/>
          <w:szCs w:val="28"/>
          <w:highlight w:val="none"/>
          <w:u w:val="single"/>
        </w:rPr>
        <w:t>5</w:t>
      </w:r>
      <w:r>
        <w:rPr>
          <w:rFonts w:hint="eastAsia" w:ascii="仿宋" w:hAnsi="仿宋" w:eastAsia="仿宋"/>
          <w:sz w:val="28"/>
          <w:szCs w:val="28"/>
          <w:highlight w:val="none"/>
        </w:rPr>
        <w:t>日内退还甲方支付的所有费用（如有），自费运回所交付的产品，付清违约金、赔偿金。</w:t>
      </w:r>
    </w:p>
    <w:p w14:paraId="4F382C37">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6.9乙方违反本合同约定或法律规定的，应当赔偿给甲方造成的全部损失，包括但不限于直接损失、预期利益损失、甲方向第三人支付的违约金、赔偿金及甲方为索赔支出的诉讼费、律师费、公证费、保全费、担保费、鉴定费、评估费等全部费用。</w:t>
      </w:r>
    </w:p>
    <w:p w14:paraId="79B17B46">
      <w:pPr>
        <w:pStyle w:val="4"/>
        <w:spacing w:before="0" w:after="0" w:line="520" w:lineRule="exact"/>
        <w:ind w:firstLine="562"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第七条</w:t>
      </w:r>
      <w:r>
        <w:rPr>
          <w:rFonts w:hint="eastAsia" w:ascii="宋体" w:hAnsi="宋体" w:cs="宋体"/>
          <w:sz w:val="28"/>
          <w:szCs w:val="28"/>
          <w:highlight w:val="none"/>
        </w:rPr>
        <w:t> </w:t>
      </w:r>
      <w:r>
        <w:rPr>
          <w:rFonts w:hint="eastAsia" w:ascii="仿宋" w:hAnsi="仿宋" w:eastAsia="仿宋" w:cs="宋体"/>
          <w:sz w:val="28"/>
          <w:szCs w:val="28"/>
          <w:highlight w:val="none"/>
        </w:rPr>
        <w:t>争议解决</w:t>
      </w:r>
    </w:p>
    <w:p w14:paraId="5EC67B8C">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7.1本合同的签订、解释及其在履行过程中出现的，或与本合同有关的纠纷之解决，受中华人民共和国现行有效的法律约束。</w:t>
      </w:r>
    </w:p>
    <w:p w14:paraId="420648DE">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7.2因本合同引起的或与本合同有关的任何争议，由合同各方协商解决，也可由有关部门调解。协商或调解不成的，按下列第</w:t>
      </w:r>
      <w:r>
        <w:rPr>
          <w:rFonts w:hint="eastAsia" w:ascii="仿宋" w:hAnsi="仿宋" w:eastAsia="仿宋"/>
          <w:sz w:val="28"/>
          <w:szCs w:val="28"/>
          <w:highlight w:val="none"/>
          <w:u w:val="single"/>
        </w:rPr>
        <w:t>（2）</w:t>
      </w:r>
      <w:r>
        <w:rPr>
          <w:rFonts w:hint="eastAsia" w:ascii="仿宋" w:hAnsi="仿宋" w:eastAsia="仿宋"/>
          <w:sz w:val="28"/>
          <w:szCs w:val="28"/>
          <w:highlight w:val="none"/>
        </w:rPr>
        <w:t>种方式解决：</w:t>
      </w:r>
    </w:p>
    <w:p w14:paraId="057CEE5C">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（1）提交位于</w:t>
      </w:r>
      <w:r>
        <w:rPr>
          <w:rFonts w:hint="eastAsia"/>
          <w:sz w:val="28"/>
          <w:szCs w:val="28"/>
          <w:highlight w:val="none"/>
          <w:u w:val="single"/>
        </w:rPr>
        <w:t> </w:t>
      </w:r>
      <w:r>
        <w:rPr>
          <w:rFonts w:hint="eastAsia" w:ascii="仿宋" w:hAnsi="仿宋" w:eastAsia="仿宋"/>
          <w:sz w:val="28"/>
          <w:szCs w:val="28"/>
          <w:highlight w:val="none"/>
          <w:u w:val="single"/>
        </w:rPr>
        <w:t xml:space="preserve"> </w:t>
      </w:r>
      <w:r>
        <w:rPr>
          <w:rFonts w:hint="eastAsia"/>
          <w:sz w:val="28"/>
          <w:szCs w:val="28"/>
          <w:highlight w:val="none"/>
          <w:u w:val="single"/>
        </w:rPr>
        <w:t>   </w:t>
      </w:r>
      <w:r>
        <w:rPr>
          <w:rFonts w:hint="eastAsia" w:ascii="仿宋" w:hAnsi="仿宋" w:eastAsia="仿宋"/>
          <w:sz w:val="28"/>
          <w:szCs w:val="28"/>
          <w:highlight w:val="none"/>
          <w:u w:val="single"/>
        </w:rPr>
        <w:t xml:space="preserve"> </w:t>
      </w:r>
      <w:r>
        <w:rPr>
          <w:rFonts w:hint="eastAsia"/>
          <w:sz w:val="28"/>
          <w:szCs w:val="28"/>
          <w:highlight w:val="none"/>
          <w:u w:val="single"/>
        </w:rPr>
        <w:t>  </w:t>
      </w:r>
      <w:r>
        <w:rPr>
          <w:rFonts w:hint="eastAsia" w:ascii="仿宋" w:hAnsi="仿宋" w:eastAsia="仿宋"/>
          <w:sz w:val="28"/>
          <w:szCs w:val="28"/>
          <w:highlight w:val="none"/>
        </w:rPr>
        <w:t>（地点）的</w:t>
      </w:r>
      <w:r>
        <w:rPr>
          <w:rFonts w:hint="eastAsia"/>
          <w:sz w:val="28"/>
          <w:szCs w:val="28"/>
          <w:highlight w:val="none"/>
          <w:u w:val="single"/>
        </w:rPr>
        <w:t> </w:t>
      </w:r>
      <w:r>
        <w:rPr>
          <w:rFonts w:hint="eastAsia" w:ascii="仿宋" w:hAnsi="仿宋" w:eastAsia="仿宋"/>
          <w:sz w:val="28"/>
          <w:szCs w:val="28"/>
          <w:highlight w:val="none"/>
          <w:u w:val="single"/>
        </w:rPr>
        <w:t xml:space="preserve"> </w:t>
      </w:r>
      <w:r>
        <w:rPr>
          <w:rFonts w:hint="eastAsia"/>
          <w:sz w:val="28"/>
          <w:szCs w:val="28"/>
          <w:highlight w:val="none"/>
          <w:u w:val="single"/>
        </w:rPr>
        <w:t>   </w:t>
      </w:r>
      <w:r>
        <w:rPr>
          <w:rFonts w:hint="eastAsia" w:ascii="仿宋" w:hAnsi="仿宋" w:eastAsia="仿宋"/>
          <w:sz w:val="28"/>
          <w:szCs w:val="28"/>
          <w:highlight w:val="none"/>
          <w:u w:val="single"/>
        </w:rPr>
        <w:t xml:space="preserve"> </w:t>
      </w:r>
      <w:r>
        <w:rPr>
          <w:rFonts w:hint="eastAsia"/>
          <w:sz w:val="28"/>
          <w:szCs w:val="28"/>
          <w:highlight w:val="none"/>
          <w:u w:val="single"/>
        </w:rPr>
        <w:t>  </w:t>
      </w:r>
      <w:r>
        <w:rPr>
          <w:rFonts w:hint="eastAsia" w:ascii="仿宋" w:hAnsi="仿宋" w:eastAsia="仿宋"/>
          <w:sz w:val="28"/>
          <w:szCs w:val="28"/>
          <w:highlight w:val="none"/>
        </w:rPr>
        <w:t>仲裁委员会仲裁。仲裁裁决是终局的，对各方均有约束力；</w:t>
      </w:r>
    </w:p>
    <w:p w14:paraId="26AC118A">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（2）依法向</w:t>
      </w:r>
      <w:r>
        <w:rPr>
          <w:rFonts w:hint="eastAsia" w:ascii="仿宋" w:hAnsi="仿宋" w:eastAsia="仿宋"/>
          <w:sz w:val="28"/>
          <w:szCs w:val="28"/>
          <w:highlight w:val="none"/>
          <w:u w:val="single"/>
        </w:rPr>
        <w:t xml:space="preserve"> 甲方 </w:t>
      </w:r>
      <w:r>
        <w:rPr>
          <w:rFonts w:hint="eastAsia" w:ascii="仿宋" w:hAnsi="仿宋" w:eastAsia="仿宋"/>
          <w:sz w:val="28"/>
          <w:szCs w:val="28"/>
          <w:highlight w:val="none"/>
        </w:rPr>
        <w:t>所在地有管辖权的人民法院起诉。</w:t>
      </w:r>
    </w:p>
    <w:p w14:paraId="7CDB06D3">
      <w:pPr>
        <w:pStyle w:val="4"/>
        <w:spacing w:before="0" w:after="0" w:line="520" w:lineRule="exact"/>
        <w:ind w:firstLine="562"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第八条</w:t>
      </w:r>
      <w:r>
        <w:rPr>
          <w:rFonts w:hint="eastAsia" w:ascii="宋体" w:hAnsi="宋体" w:cs="宋体"/>
          <w:sz w:val="28"/>
          <w:szCs w:val="28"/>
          <w:highlight w:val="none"/>
        </w:rPr>
        <w:t> </w:t>
      </w:r>
      <w:r>
        <w:rPr>
          <w:rFonts w:hint="eastAsia" w:ascii="仿宋" w:hAnsi="仿宋" w:eastAsia="仿宋" w:cs="宋体"/>
          <w:sz w:val="28"/>
          <w:szCs w:val="28"/>
          <w:highlight w:val="none"/>
        </w:rPr>
        <w:t>通知送达</w:t>
      </w:r>
    </w:p>
    <w:p w14:paraId="518C8EE6">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为更好地履行本合同，双方提供如下联系方式：</w:t>
      </w:r>
    </w:p>
    <w:p w14:paraId="531120B0">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（1）甲方联系方式</w:t>
      </w:r>
    </w:p>
    <w:p w14:paraId="29EE27A9">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邮寄地址： </w:t>
      </w:r>
      <w:r>
        <w:rPr>
          <w:rFonts w:hint="eastAsia" w:ascii="仿宋" w:hAnsi="仿宋" w:eastAsia="仿宋"/>
          <w:sz w:val="28"/>
          <w:szCs w:val="28"/>
          <w:highlight w:val="none"/>
          <w:u w:val="single"/>
        </w:rPr>
        <w:t>威海市温泉西路柳林东街228号 </w:t>
      </w:r>
      <w:r>
        <w:rPr>
          <w:rFonts w:hint="eastAsia" w:ascii="仿宋" w:hAnsi="仿宋" w:eastAsia="仿宋"/>
          <w:sz w:val="28"/>
          <w:szCs w:val="28"/>
          <w:highlight w:val="none"/>
        </w:rPr>
        <w:t>。</w:t>
      </w:r>
    </w:p>
    <w:p w14:paraId="0F013CC7">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联系人： </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rPr>
        <w:t>。</w:t>
      </w:r>
    </w:p>
    <w:p w14:paraId="13EDBB6A">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电话： </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rPr>
        <w:t>。</w:t>
      </w:r>
    </w:p>
    <w:p w14:paraId="0EE90A68">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（2）乙方联系方式</w:t>
      </w:r>
    </w:p>
    <w:p w14:paraId="784CB33E">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邮寄地址：</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p>
    <w:p w14:paraId="0A36FF86">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联系人：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p>
    <w:p w14:paraId="590992D9">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电话：</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p>
    <w:p w14:paraId="669E4CB0">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双方通过上述联系方式就本合同有关事项向对方发送相关通知等，均视为有效送达与告知对方，无论对方是否实际查阅。上述邮寄送达地址同时作为有效司法送达地址。一方变更通知或通讯地址，应自变更之日起三日内，以书面形式通知对方；否则，由未通知方承担由此而引起的相关责任。</w:t>
      </w:r>
    </w:p>
    <w:p w14:paraId="5891583C">
      <w:pPr>
        <w:pStyle w:val="4"/>
        <w:spacing w:before="0" w:after="0" w:line="520" w:lineRule="exact"/>
        <w:ind w:firstLine="562"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第九条 其他约定</w:t>
      </w:r>
    </w:p>
    <w:p w14:paraId="06FBD285">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9.1 本合同一式</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rPr>
        <w:t>份，甲方执</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rPr>
        <w:t>份，乙方执</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 xml:space="preserve">  </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份。各份合同文本具有同等法律效力。</w:t>
      </w:r>
    </w:p>
    <w:p w14:paraId="6EE571B9">
      <w:pPr>
        <w:pStyle w:val="52"/>
        <w:spacing w:before="0" w:beforeAutospacing="0" w:after="0" w:afterAutospacing="0" w:line="52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9.2 本合同经各方签署后生效。</w:t>
      </w:r>
    </w:p>
    <w:p w14:paraId="6E824569">
      <w:pPr>
        <w:pStyle w:val="52"/>
        <w:spacing w:before="0" w:beforeAutospacing="0" w:after="0" w:afterAutospacing="0" w:line="520" w:lineRule="exact"/>
        <w:rPr>
          <w:rFonts w:hint="eastAsia"/>
          <w:sz w:val="28"/>
          <w:szCs w:val="28"/>
          <w:highlight w:val="none"/>
        </w:rPr>
      </w:pPr>
      <w:r>
        <w:rPr>
          <w:rFonts w:hint="eastAsia" w:ascii="仿宋" w:hAnsi="仿宋" w:eastAsia="仿宋"/>
          <w:sz w:val="28"/>
          <w:szCs w:val="28"/>
          <w:highlight w:val="none"/>
        </w:rPr>
        <w:t>签署时间：</w:t>
      </w:r>
      <w:r>
        <w:rPr>
          <w:rFonts w:hint="eastAsia"/>
          <w:sz w:val="28"/>
          <w:szCs w:val="28"/>
          <w:highlight w:val="none"/>
        </w:rPr>
        <w:t xml:space="preserve">    </w:t>
      </w:r>
      <w:r>
        <w:rPr>
          <w:rFonts w:hint="eastAsia" w:ascii="仿宋" w:hAnsi="仿宋" w:eastAsia="仿宋"/>
          <w:sz w:val="28"/>
          <w:szCs w:val="28"/>
          <w:highlight w:val="none"/>
        </w:rPr>
        <w:t>年</w:t>
      </w:r>
      <w:r>
        <w:rPr>
          <w:rFonts w:hint="eastAsia"/>
          <w:sz w:val="28"/>
          <w:szCs w:val="28"/>
          <w:highlight w:val="none"/>
        </w:rPr>
        <w:t xml:space="preserve">    </w:t>
      </w:r>
      <w:r>
        <w:rPr>
          <w:rFonts w:hint="eastAsia" w:ascii="仿宋" w:hAnsi="仿宋" w:eastAsia="仿宋"/>
          <w:sz w:val="28"/>
          <w:szCs w:val="28"/>
          <w:highlight w:val="none"/>
        </w:rPr>
        <w:t>月</w:t>
      </w:r>
      <w:r>
        <w:rPr>
          <w:rFonts w:hint="eastAsia"/>
          <w:sz w:val="28"/>
          <w:szCs w:val="28"/>
          <w:highlight w:val="none"/>
        </w:rPr>
        <w:t xml:space="preserve">    </w:t>
      </w:r>
      <w:r>
        <w:rPr>
          <w:rFonts w:hint="eastAsia" w:ascii="仿宋" w:hAnsi="仿宋" w:eastAsia="仿宋"/>
          <w:sz w:val="28"/>
          <w:szCs w:val="28"/>
          <w:highlight w:val="none"/>
        </w:rPr>
        <w:t>日</w:t>
      </w:r>
    </w:p>
    <w:p w14:paraId="76ECD51E">
      <w:pPr>
        <w:pStyle w:val="52"/>
        <w:spacing w:before="0" w:beforeAutospacing="0" w:after="0" w:afterAutospacing="0" w:line="520" w:lineRule="exact"/>
        <w:rPr>
          <w:rFonts w:hint="eastAsia" w:ascii="仿宋" w:hAnsi="仿宋" w:eastAsia="仿宋"/>
          <w:sz w:val="28"/>
          <w:szCs w:val="28"/>
          <w:highlight w:val="none"/>
        </w:rPr>
      </w:pPr>
      <w:r>
        <w:rPr>
          <w:rStyle w:val="58"/>
          <w:rFonts w:hint="eastAsia" w:ascii="仿宋" w:hAnsi="仿宋" w:eastAsia="仿宋"/>
          <w:sz w:val="28"/>
          <w:szCs w:val="28"/>
          <w:highlight w:val="none"/>
        </w:rPr>
        <w:t>甲方（盖章）：</w:t>
      </w:r>
    </w:p>
    <w:p w14:paraId="733C8BB9">
      <w:pPr>
        <w:pStyle w:val="52"/>
        <w:spacing w:before="0" w:beforeAutospacing="0" w:after="0" w:afterAutospacing="0" w:line="520" w:lineRule="exact"/>
        <w:rPr>
          <w:rFonts w:hint="eastAsia" w:ascii="仿宋" w:hAnsi="仿宋" w:eastAsia="仿宋"/>
          <w:sz w:val="28"/>
          <w:szCs w:val="28"/>
          <w:highlight w:val="none"/>
        </w:rPr>
      </w:pPr>
      <w:r>
        <w:rPr>
          <w:rFonts w:hint="eastAsia" w:ascii="仿宋" w:hAnsi="仿宋" w:eastAsia="仿宋"/>
          <w:sz w:val="28"/>
          <w:szCs w:val="28"/>
          <w:highlight w:val="none"/>
        </w:rPr>
        <w:t>法定代表人或授权代表（签字）：</w:t>
      </w:r>
    </w:p>
    <w:p w14:paraId="19187BD2">
      <w:pPr>
        <w:pStyle w:val="52"/>
        <w:spacing w:before="0" w:beforeAutospacing="0" w:after="0" w:afterAutospacing="0" w:line="520" w:lineRule="exact"/>
        <w:rPr>
          <w:rFonts w:hint="eastAsia" w:ascii="仿宋" w:hAnsi="仿宋" w:eastAsia="仿宋"/>
          <w:sz w:val="28"/>
          <w:szCs w:val="28"/>
          <w:highlight w:val="none"/>
        </w:rPr>
      </w:pPr>
      <w:r>
        <w:rPr>
          <w:rStyle w:val="58"/>
          <w:rFonts w:hint="eastAsia" w:ascii="仿宋" w:hAnsi="仿宋" w:eastAsia="仿宋"/>
          <w:sz w:val="28"/>
          <w:szCs w:val="28"/>
          <w:highlight w:val="none"/>
        </w:rPr>
        <w:t>乙方（盖章）：</w:t>
      </w:r>
    </w:p>
    <w:p w14:paraId="70A1AA45">
      <w:pPr>
        <w:spacing w:line="520" w:lineRule="exact"/>
        <w:rPr>
          <w:rFonts w:hint="eastAsia" w:ascii="仿宋" w:hAnsi="仿宋" w:eastAsia="仿宋"/>
          <w:sz w:val="28"/>
          <w:szCs w:val="28"/>
          <w:highlight w:val="none"/>
        </w:rPr>
      </w:pPr>
      <w:r>
        <w:rPr>
          <w:rFonts w:hint="eastAsia" w:ascii="仿宋" w:hAnsi="仿宋" w:eastAsia="仿宋" w:cs="宋体"/>
          <w:sz w:val="28"/>
          <w:szCs w:val="28"/>
          <w:highlight w:val="none"/>
        </w:rPr>
        <w:t>法定代表人或授权代表（签字）</w:t>
      </w:r>
      <w:r>
        <w:rPr>
          <w:rFonts w:hint="eastAsia" w:ascii="仿宋" w:hAnsi="仿宋" w:eastAsia="仿宋" w:cs="宋体"/>
          <w:kern w:val="0"/>
          <w:sz w:val="28"/>
          <w:szCs w:val="28"/>
          <w:highlight w:val="none"/>
          <w:lang w:val="en-US" w:eastAsia="zh-CN" w:bidi="ar-SA"/>
        </w:rPr>
        <w:t>：</w:t>
      </w:r>
    </w:p>
    <w:p w14:paraId="259D2BED">
      <w:pPr>
        <w:rPr>
          <w:highlight w:val="none"/>
        </w:rPr>
      </w:pPr>
    </w:p>
    <w:p w14:paraId="53CC3BB7">
      <w:pPr>
        <w:rPr>
          <w:highlight w:val="none"/>
        </w:rPr>
      </w:pPr>
    </w:p>
    <w:p w14:paraId="6B34E21F">
      <w:pPr>
        <w:pStyle w:val="31"/>
        <w:pageBreakBefore w:val="0"/>
        <w:kinsoku/>
        <w:wordWrap/>
        <w:overflowPunct/>
        <w:topLinePunct w:val="0"/>
        <w:autoSpaceDE/>
        <w:autoSpaceDN/>
        <w:bidi w:val="0"/>
        <w:adjustRightInd/>
        <w:snapToGrid/>
        <w:spacing w:line="480" w:lineRule="exact"/>
        <w:jc w:val="both"/>
        <w:rPr>
          <w:rStyle w:val="58"/>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kern w:val="0"/>
          <w:sz w:val="24"/>
          <w:szCs w:val="24"/>
          <w:highlight w:val="none"/>
          <w:lang w:val="en-US" w:eastAsia="zh-CN" w:bidi="ar-SA"/>
        </w:rPr>
        <w:t>附件</w:t>
      </w:r>
    </w:p>
    <w:p w14:paraId="57C0FFCF">
      <w:pPr>
        <w:pStyle w:val="31"/>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2"/>
          <w:sz w:val="32"/>
          <w:szCs w:val="32"/>
          <w:highlight w:val="none"/>
        </w:rPr>
      </w:pPr>
      <w:r>
        <w:rPr>
          <w:rFonts w:hint="eastAsia" w:ascii="仿宋" w:hAnsi="仿宋" w:eastAsia="仿宋" w:cs="仿宋"/>
          <w:b/>
          <w:bCs w:val="0"/>
          <w:color w:val="auto"/>
          <w:kern w:val="2"/>
          <w:sz w:val="32"/>
          <w:szCs w:val="32"/>
          <w:highlight w:val="none"/>
        </w:rPr>
        <w:t>信用承诺书</w:t>
      </w:r>
    </w:p>
    <w:p w14:paraId="37785E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0D31BA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活动中申报的所有资料都是真实、准确完整的，如发现提供虚假资料，或与事实不符而导致</w:t>
      </w:r>
      <w:r>
        <w:rPr>
          <w:rFonts w:hint="eastAsia" w:ascii="仿宋" w:hAnsi="仿宋" w:eastAsia="仿宋" w:cs="仿宋"/>
          <w:color w:val="auto"/>
          <w:kern w:val="0"/>
          <w:sz w:val="28"/>
          <w:szCs w:val="28"/>
          <w:highlight w:val="none"/>
          <w:lang w:val="en-US" w:eastAsia="zh-CN"/>
        </w:rPr>
        <w:t>投标（</w:t>
      </w:r>
      <w:r>
        <w:rPr>
          <w:rFonts w:hint="eastAsia" w:ascii="仿宋" w:hAnsi="仿宋" w:eastAsia="仿宋" w:cs="仿宋"/>
          <w:color w:val="auto"/>
          <w:kern w:val="0"/>
          <w:sz w:val="28"/>
          <w:szCs w:val="28"/>
          <w:highlight w:val="none"/>
        </w:rPr>
        <w:t>报价</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无效，甚至造成任何法律和经济责任，完全由我方负责。</w:t>
      </w:r>
    </w:p>
    <w:p w14:paraId="08ABA2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中绝无资质挂靠、串标、围标情形，若经贵方查出，立即取消我方</w:t>
      </w:r>
      <w:r>
        <w:rPr>
          <w:rFonts w:hint="eastAsia" w:ascii="仿宋" w:hAnsi="仿宋" w:eastAsia="仿宋" w:cs="仿宋"/>
          <w:color w:val="auto"/>
          <w:kern w:val="0"/>
          <w:sz w:val="28"/>
          <w:szCs w:val="28"/>
          <w:highlight w:val="none"/>
          <w:lang w:val="en-US" w:eastAsia="zh-CN"/>
        </w:rPr>
        <w:t>中标（成交）</w:t>
      </w:r>
      <w:r>
        <w:rPr>
          <w:rFonts w:hint="eastAsia" w:ascii="仿宋" w:hAnsi="仿宋" w:eastAsia="仿宋" w:cs="仿宋"/>
          <w:color w:val="auto"/>
          <w:kern w:val="0"/>
          <w:sz w:val="28"/>
          <w:szCs w:val="28"/>
          <w:highlight w:val="none"/>
        </w:rPr>
        <w:t>资格并承担相应的法律责任。</w:t>
      </w:r>
    </w:p>
    <w:p w14:paraId="5B2E0F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中，无重大违法、违规的不良记录；或虽有不良记录，但已超过处理期限。</w:t>
      </w:r>
    </w:p>
    <w:p w14:paraId="2F1C57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，将按规定及时与</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签订合同，严格按照投标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文件中所承诺的报价、质量、服务期等内容组织实施。</w:t>
      </w:r>
    </w:p>
    <w:p w14:paraId="10BF35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5EF268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rPr>
        <w:t>规定，积极参与社会信用体系建设，</w:t>
      </w:r>
      <w:r>
        <w:rPr>
          <w:rFonts w:hint="eastAsia" w:ascii="仿宋" w:hAnsi="仿宋" w:eastAsia="仿宋" w:cs="仿宋"/>
          <w:color w:val="auto"/>
          <w:kern w:val="0"/>
          <w:sz w:val="28"/>
          <w:szCs w:val="28"/>
          <w:highlight w:val="none"/>
          <w:lang w:val="en-US" w:eastAsia="zh-CN"/>
        </w:rPr>
        <w:t>倡导树立</w:t>
      </w:r>
      <w:r>
        <w:rPr>
          <w:rFonts w:hint="eastAsia" w:ascii="仿宋" w:hAnsi="仿宋" w:eastAsia="仿宋" w:cs="仿宋"/>
          <w:color w:val="auto"/>
          <w:kern w:val="0"/>
          <w:sz w:val="28"/>
          <w:szCs w:val="28"/>
          <w:highlight w:val="none"/>
        </w:rPr>
        <w:t>以信笃行，以诚兴业的传统美德，争当信用市民，争创信用企业。</w:t>
      </w:r>
    </w:p>
    <w:p w14:paraId="7F63E1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w:t>
      </w:r>
      <w:r>
        <w:rPr>
          <w:rFonts w:hint="eastAsia" w:ascii="仿宋" w:hAnsi="仿宋" w:eastAsia="仿宋" w:cs="仿宋"/>
          <w:color w:val="auto"/>
          <w:kern w:val="0"/>
          <w:sz w:val="28"/>
          <w:szCs w:val="28"/>
          <w:highlight w:val="none"/>
          <w:lang w:val="en-US" w:eastAsia="zh-CN"/>
        </w:rPr>
        <w:t>我单位</w:t>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lang w:val="en-US" w:eastAsia="zh-CN"/>
        </w:rPr>
        <w:t>授权委托人</w:t>
      </w:r>
      <w:r>
        <w:rPr>
          <w:rFonts w:hint="eastAsia" w:ascii="仿宋" w:hAnsi="仿宋" w:eastAsia="仿宋" w:cs="仿宋"/>
          <w:color w:val="auto"/>
          <w:kern w:val="0"/>
          <w:sz w:val="28"/>
          <w:szCs w:val="28"/>
          <w:highlight w:val="none"/>
        </w:rPr>
        <w:t>近三年内无行贿犯罪记录。如有不实，愿意承担一切后果。</w:t>
      </w:r>
    </w:p>
    <w:p w14:paraId="3D878C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八、我方或代理人承诺不向贵方工作人员提供正常业务接待以外的宴请、度假、旅游、娱乐（包括但不限于到营业性的会所、夜总会、桑拿、按摩和高尔夫球场）等消费，不参加贵方工作人员的婚丧喜庆等活动。</w:t>
      </w:r>
    </w:p>
    <w:p w14:paraId="31C110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九、我方或代理人承诺不向贵方工作人员支付应由其个人支付的各项费用（包括但不限于住宅装修、婚丧嫁娶、旅游、度假、食宿、购物、学费、子女出国留学等）。</w:t>
      </w:r>
    </w:p>
    <w:p w14:paraId="3B9D86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u w:val="none"/>
          <w:lang w:val="en-US" w:eastAsia="zh-CN"/>
        </w:rPr>
      </w:pPr>
      <w:r>
        <w:rPr>
          <w:rFonts w:hint="eastAsia" w:ascii="仿宋" w:hAnsi="仿宋" w:eastAsia="仿宋" w:cs="仿宋"/>
          <w:color w:val="auto"/>
          <w:kern w:val="0"/>
          <w:sz w:val="28"/>
          <w:szCs w:val="28"/>
          <w:highlight w:val="none"/>
          <w:lang w:val="en-US" w:eastAsia="zh-CN"/>
        </w:rPr>
        <w:t>十、 我方或代理人承诺</w:t>
      </w:r>
      <w:r>
        <w:rPr>
          <w:rFonts w:hint="eastAsia" w:ascii="仿宋" w:hAnsi="仿宋" w:eastAsia="仿宋" w:cs="仿宋"/>
          <w:color w:val="auto"/>
          <w:kern w:val="0"/>
          <w:sz w:val="28"/>
          <w:szCs w:val="28"/>
          <w:highlight w:val="none"/>
          <w:u w:val="none"/>
          <w:lang w:val="en-US" w:eastAsia="zh-CN"/>
        </w:rPr>
        <w:t>不接受贵方工作人员介绍、指定或限定的工程分包单位、物资供应商、物资设备等。</w:t>
      </w:r>
    </w:p>
    <w:p w14:paraId="383376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十一</w:t>
      </w:r>
      <w:r>
        <w:rPr>
          <w:rFonts w:hint="eastAsia" w:ascii="仿宋" w:hAnsi="仿宋" w:eastAsia="仿宋" w:cs="仿宋"/>
          <w:color w:val="auto"/>
          <w:kern w:val="0"/>
          <w:sz w:val="28"/>
          <w:szCs w:val="28"/>
          <w:highlight w:val="none"/>
        </w:rPr>
        <w:t>、我方的股东、直接投资人、负责人、法定代表人以及高管并无贵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离职或退休后3年内干部职工。在与贵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及所属任何单位交易活动中若存在上述情况，贵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有权对我</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采取禁止参与新的采购活动、取消</w:t>
      </w:r>
      <w:r>
        <w:rPr>
          <w:rFonts w:hint="eastAsia" w:ascii="仿宋" w:hAnsi="仿宋" w:eastAsia="仿宋" w:cs="仿宋"/>
          <w:color w:val="auto"/>
          <w:kern w:val="0"/>
          <w:sz w:val="28"/>
          <w:szCs w:val="28"/>
          <w:highlight w:val="none"/>
          <w:lang w:val="en-US" w:eastAsia="zh-CN"/>
        </w:rPr>
        <w:t>中标（</w:t>
      </w:r>
      <w:r>
        <w:rPr>
          <w:rFonts w:hint="eastAsia" w:ascii="仿宋" w:hAnsi="仿宋" w:eastAsia="仿宋" w:cs="仿宋"/>
          <w:color w:val="auto"/>
          <w:kern w:val="0"/>
          <w:sz w:val="28"/>
          <w:szCs w:val="28"/>
          <w:highlight w:val="none"/>
        </w:rPr>
        <w:t>成交</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资格、终止合同等限制交易措施。贵方有权采取列入供应商黑名单、终止采购合作、经济索赔等措施，我方将无条件接受。</w:t>
      </w:r>
    </w:p>
    <w:p w14:paraId="1B153C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w:t>
      </w:r>
      <w:r>
        <w:rPr>
          <w:rFonts w:hint="eastAsia" w:ascii="仿宋" w:hAnsi="仿宋" w:eastAsia="仿宋" w:cs="仿宋"/>
          <w:color w:val="auto"/>
          <w:kern w:val="0"/>
          <w:sz w:val="28"/>
          <w:szCs w:val="28"/>
          <w:highlight w:val="none"/>
        </w:rPr>
        <w:t>我方知晓并充分理解贵方的《供应商管理办法》《供应商黑名单管理</w:t>
      </w:r>
      <w:r>
        <w:rPr>
          <w:rFonts w:hint="eastAsia" w:ascii="仿宋" w:hAnsi="仿宋" w:eastAsia="仿宋" w:cs="仿宋"/>
          <w:color w:val="auto"/>
          <w:kern w:val="0"/>
          <w:sz w:val="28"/>
          <w:szCs w:val="28"/>
          <w:highlight w:val="none"/>
          <w:lang w:val="en-US" w:eastAsia="zh-CN"/>
        </w:rPr>
        <w:t>办法》</w:t>
      </w:r>
      <w:r>
        <w:rPr>
          <w:rFonts w:hint="eastAsia" w:ascii="仿宋" w:hAnsi="仿宋" w:eastAsia="仿宋" w:cs="仿宋"/>
          <w:color w:val="auto"/>
          <w:kern w:val="0"/>
          <w:sz w:val="28"/>
          <w:szCs w:val="28"/>
          <w:highlight w:val="none"/>
        </w:rPr>
        <w:t>。</w:t>
      </w:r>
    </w:p>
    <w:p w14:paraId="42E442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十三、</w:t>
      </w:r>
      <w:r>
        <w:rPr>
          <w:rFonts w:hint="eastAsia" w:ascii="仿宋" w:hAnsi="仿宋" w:eastAsia="仿宋" w:cs="仿宋"/>
          <w:color w:val="auto"/>
          <w:kern w:val="0"/>
          <w:sz w:val="28"/>
          <w:szCs w:val="28"/>
          <w:highlight w:val="none"/>
        </w:rPr>
        <w:t>本《信用承诺书》同意向社会公开。</w:t>
      </w:r>
    </w:p>
    <w:p w14:paraId="2DD850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特别声明：上述《信用承诺书》系我单位真实意思表示，我单位已仔细阅读，充分理解并认识到须承担的法律责任和义务，自愿承担相应的法律风险。</w:t>
      </w:r>
    </w:p>
    <w:p w14:paraId="48DECF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p>
    <w:p w14:paraId="10654B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p>
    <w:p w14:paraId="77B96541">
      <w:pPr>
        <w:keepNext w:val="0"/>
        <w:keepLines w:val="0"/>
        <w:pageBreakBefore w:val="0"/>
        <w:widowControl w:val="0"/>
        <w:kinsoku/>
        <w:wordWrap/>
        <w:overflowPunct/>
        <w:topLinePunct w:val="0"/>
        <w:autoSpaceDE/>
        <w:autoSpaceDN/>
        <w:bidi w:val="0"/>
        <w:adjustRightInd/>
        <w:snapToGrid/>
        <w:spacing w:line="360" w:lineRule="auto"/>
        <w:ind w:firstLine="3080" w:firstLineChars="11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lang w:val="en-US" w:eastAsia="zh-CN"/>
        </w:rPr>
        <w:t>名称及</w:t>
      </w:r>
      <w:r>
        <w:rPr>
          <w:rFonts w:hint="eastAsia" w:ascii="仿宋" w:hAnsi="仿宋" w:eastAsia="仿宋" w:cs="仿宋"/>
          <w:color w:val="auto"/>
          <w:kern w:val="0"/>
          <w:sz w:val="28"/>
          <w:szCs w:val="28"/>
          <w:highlight w:val="none"/>
        </w:rPr>
        <w:t>盖章）</w:t>
      </w:r>
    </w:p>
    <w:p w14:paraId="7606B955">
      <w:pPr>
        <w:keepNext w:val="0"/>
        <w:keepLines w:val="0"/>
        <w:pageBreakBefore w:val="0"/>
        <w:widowControl w:val="0"/>
        <w:kinsoku/>
        <w:wordWrap/>
        <w:overflowPunct/>
        <w:topLinePunct w:val="0"/>
        <w:autoSpaceDE/>
        <w:autoSpaceDN/>
        <w:bidi w:val="0"/>
        <w:adjustRightInd/>
        <w:snapToGrid/>
        <w:spacing w:line="360" w:lineRule="auto"/>
        <w:ind w:firstLine="3080" w:firstLineChars="11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企业负责人：              （签字）</w:t>
      </w:r>
    </w:p>
    <w:p w14:paraId="53B48F8D">
      <w:pPr>
        <w:keepNext w:val="0"/>
        <w:keepLines w:val="0"/>
        <w:pageBreakBefore w:val="0"/>
        <w:widowControl w:val="0"/>
        <w:kinsoku/>
        <w:wordWrap/>
        <w:overflowPunct/>
        <w:topLinePunct w:val="0"/>
        <w:autoSpaceDE/>
        <w:autoSpaceDN/>
        <w:bidi w:val="0"/>
        <w:adjustRightInd/>
        <w:snapToGrid/>
        <w:spacing w:line="360" w:lineRule="auto"/>
        <w:ind w:firstLine="3920" w:firstLineChars="1400"/>
        <w:textAlignment w:val="auto"/>
        <w:rPr>
          <w:rFonts w:hint="eastAsia" w:ascii="仿宋" w:hAnsi="仿宋" w:eastAsia="仿宋" w:cs="仿宋"/>
          <w:sz w:val="28"/>
          <w:szCs w:val="28"/>
          <w:highlight w:val="none"/>
        </w:rPr>
      </w:pP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月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sectPr>
      <w:pgSz w:w="11906" w:h="16838"/>
      <w:pgMar w:top="1440" w:right="1083" w:bottom="1440" w:left="1083" w:header="851" w:footer="992" w:gutter="0"/>
      <w:pgNumType w:fmt="decimal"/>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方正楷体简体">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381E7">
    <w:pPr>
      <w:pStyle w:val="36"/>
      <w:rPr>
        <w:rFonts w:hint="eastAsia"/>
        <w:lang w:eastAsia="zh-CN"/>
      </w:rPr>
    </w:pPr>
    <w:r>
      <w:rPr>
        <w:sz w:val="18"/>
      </w:rPr>
      <w:pict>
        <v:shape id="_x0000_s4098" o:spid="_x0000_s4098"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C2C6BD">
                <w:pPr>
                  <w:pStyle w:val="36"/>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1C38">
    <w:pPr>
      <w:pStyle w:val="36"/>
      <w:jc w:val="center"/>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aspectratio="f"/>
          <v:textbox inset="0mm,0mm,0mm,0mm" style="mso-fit-shape-to-text:t;">
            <w:txbxContent>
              <w:p w14:paraId="19DEB5EB">
                <w:pPr>
                  <w:pStyle w:val="36"/>
                  <w:jc w:val="center"/>
                </w:pPr>
                <w:r>
                  <w:fldChar w:fldCharType="begin"/>
                </w:r>
                <w:r>
                  <w:instrText xml:space="preserve"> PAGE   \* MERGEFORMAT </w:instrText>
                </w:r>
                <w:r>
                  <w:fldChar w:fldCharType="separate"/>
                </w:r>
                <w:r>
                  <w:rPr>
                    <w:lang w:val="zh-CN"/>
                  </w:rPr>
                  <w:t>30</w:t>
                </w:r>
                <w:r>
                  <w:fldChar w:fldCharType="end"/>
                </w:r>
              </w:p>
            </w:txbxContent>
          </v:textbox>
        </v:shape>
      </w:pict>
    </w:r>
  </w:p>
  <w:p w14:paraId="3D26E7F3">
    <w:pPr>
      <w:pStyle w:val="3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31C92">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AF574">
    <w:pPr>
      <w:spacing w:after="120" w:afterLines="50" w:line="360" w:lineRule="auto"/>
      <w:jc w:val="left"/>
      <w:rPr>
        <w:rFonts w:ascii="仿宋" w:hAnsi="仿宋" w:eastAsia="仿宋"/>
        <w:color w:val="80808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2AF6">
    <w:pPr>
      <w:pStyle w:val="37"/>
    </w:pPr>
  </w:p>
  <w:p w14:paraId="4E41A4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E727B">
    <w:pPr>
      <w:pStyle w:val="37"/>
    </w:pPr>
  </w:p>
  <w:p w14:paraId="42377E0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882D">
    <w:pPr>
      <w:pStyle w:val="37"/>
      <w:pBdr>
        <w:bottom w:val="none" w:color="auto" w:sz="0" w:space="0"/>
      </w:pBdr>
      <w:jc w:val="righ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F62CB">
    <w:pPr>
      <w:pStyle w:val="37"/>
    </w:pPr>
  </w:p>
  <w:p w14:paraId="3E18695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EA1F5">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C69F2F"/>
    <w:multiLevelType w:val="singleLevel"/>
    <w:tmpl w:val="95C69F2F"/>
    <w:lvl w:ilvl="0" w:tentative="0">
      <w:start w:val="1"/>
      <w:numFmt w:val="chineseCounting"/>
      <w:suff w:val="space"/>
      <w:lvlText w:val="第%1条"/>
      <w:lvlJc w:val="left"/>
      <w:rPr>
        <w:rFonts w:hint="eastAsia" w:ascii="仿宋" w:hAnsi="仿宋" w:eastAsia="仿宋" w:cs="仿宋"/>
        <w:sz w:val="28"/>
        <w:szCs w:val="28"/>
      </w:rPr>
    </w:lvl>
  </w:abstractNum>
  <w:abstractNum w:abstractNumId="1">
    <w:nsid w:val="22161244"/>
    <w:multiLevelType w:val="singleLevel"/>
    <w:tmpl w:val="22161244"/>
    <w:lvl w:ilvl="0" w:tentative="0">
      <w:start w:val="1"/>
      <w:numFmt w:val="decimal"/>
      <w:lvlText w:val="%1."/>
      <w:lvlJc w:val="left"/>
      <w:pPr>
        <w:tabs>
          <w:tab w:val="left" w:pos="312"/>
        </w:tabs>
      </w:pPr>
    </w:lvl>
  </w:abstractNum>
  <w:abstractNum w:abstractNumId="2">
    <w:nsid w:val="224B6DBC"/>
    <w:multiLevelType w:val="singleLevel"/>
    <w:tmpl w:val="224B6DBC"/>
    <w:lvl w:ilvl="0" w:tentative="0">
      <w:start w:val="1"/>
      <w:numFmt w:val="decimal"/>
      <w:lvlText w:val="%1."/>
      <w:lvlJc w:val="left"/>
      <w:pPr>
        <w:tabs>
          <w:tab w:val="left" w:pos="312"/>
        </w:tabs>
      </w:pPr>
    </w:lvl>
  </w:abstractNum>
  <w:abstractNum w:abstractNumId="3">
    <w:nsid w:val="3D4ECF9D"/>
    <w:multiLevelType w:val="singleLevel"/>
    <w:tmpl w:val="3D4ECF9D"/>
    <w:lvl w:ilvl="0" w:tentative="0">
      <w:start w:val="1"/>
      <w:numFmt w:val="decimal"/>
      <w:lvlText w:val="%1."/>
      <w:lvlJc w:val="left"/>
      <w:pPr>
        <w:tabs>
          <w:tab w:val="left" w:pos="312"/>
        </w:tabs>
      </w:pPr>
    </w:lvl>
  </w:abstractNum>
  <w:abstractNum w:abstractNumId="4">
    <w:nsid w:val="4B1D6644"/>
    <w:multiLevelType w:val="singleLevel"/>
    <w:tmpl w:val="4B1D6644"/>
    <w:lvl w:ilvl="0" w:tentative="0">
      <w:start w:val="1"/>
      <w:numFmt w:val="decimal"/>
      <w:lvlText w:val="%1."/>
      <w:lvlJc w:val="left"/>
      <w:pPr>
        <w:tabs>
          <w:tab w:val="left" w:pos="312"/>
        </w:tabs>
      </w:pPr>
    </w:lvl>
  </w:abstractNum>
  <w:abstractNum w:abstractNumId="5">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2"/>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8C1"/>
    <w:rsid w:val="00003E1B"/>
    <w:rsid w:val="00004586"/>
    <w:rsid w:val="000045DD"/>
    <w:rsid w:val="00004B4B"/>
    <w:rsid w:val="00004EFA"/>
    <w:rsid w:val="000057DC"/>
    <w:rsid w:val="00006451"/>
    <w:rsid w:val="00007AE7"/>
    <w:rsid w:val="00011721"/>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63B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34E7"/>
    <w:rsid w:val="000A4D68"/>
    <w:rsid w:val="000A5000"/>
    <w:rsid w:val="000A518E"/>
    <w:rsid w:val="000A5591"/>
    <w:rsid w:val="000A6BF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1DF"/>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0AA5"/>
    <w:rsid w:val="001F108F"/>
    <w:rsid w:val="001F173C"/>
    <w:rsid w:val="001F2F91"/>
    <w:rsid w:val="001F367A"/>
    <w:rsid w:val="001F39CA"/>
    <w:rsid w:val="001F3BC0"/>
    <w:rsid w:val="001F3DA9"/>
    <w:rsid w:val="001F52D4"/>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3115"/>
    <w:rsid w:val="0030422B"/>
    <w:rsid w:val="00304AD3"/>
    <w:rsid w:val="00305AAE"/>
    <w:rsid w:val="00305DAA"/>
    <w:rsid w:val="00307063"/>
    <w:rsid w:val="0031045E"/>
    <w:rsid w:val="003107EB"/>
    <w:rsid w:val="00310A47"/>
    <w:rsid w:val="0031126E"/>
    <w:rsid w:val="00311515"/>
    <w:rsid w:val="00311C38"/>
    <w:rsid w:val="00312135"/>
    <w:rsid w:val="0031240A"/>
    <w:rsid w:val="00313528"/>
    <w:rsid w:val="003135AC"/>
    <w:rsid w:val="00313781"/>
    <w:rsid w:val="003139B6"/>
    <w:rsid w:val="00313D72"/>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B53"/>
    <w:rsid w:val="00336CD3"/>
    <w:rsid w:val="00337D92"/>
    <w:rsid w:val="00337FB7"/>
    <w:rsid w:val="0034003C"/>
    <w:rsid w:val="003401AC"/>
    <w:rsid w:val="00340388"/>
    <w:rsid w:val="003407FB"/>
    <w:rsid w:val="00340800"/>
    <w:rsid w:val="00341444"/>
    <w:rsid w:val="00341621"/>
    <w:rsid w:val="00342720"/>
    <w:rsid w:val="00342AAC"/>
    <w:rsid w:val="00343373"/>
    <w:rsid w:val="00344C07"/>
    <w:rsid w:val="00344EBD"/>
    <w:rsid w:val="0034524D"/>
    <w:rsid w:val="00346121"/>
    <w:rsid w:val="00347BE8"/>
    <w:rsid w:val="00347F7F"/>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5267"/>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1BF7"/>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5BD2"/>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4BE5"/>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11B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766"/>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5F28"/>
    <w:rsid w:val="0050605A"/>
    <w:rsid w:val="00506C43"/>
    <w:rsid w:val="0050751D"/>
    <w:rsid w:val="00507911"/>
    <w:rsid w:val="00507CA4"/>
    <w:rsid w:val="00510F19"/>
    <w:rsid w:val="00511C27"/>
    <w:rsid w:val="00512290"/>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3E1F"/>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5630"/>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87CCA"/>
    <w:rsid w:val="00690952"/>
    <w:rsid w:val="00690C65"/>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C6576"/>
    <w:rsid w:val="006D0144"/>
    <w:rsid w:val="006D04E6"/>
    <w:rsid w:val="006D06F3"/>
    <w:rsid w:val="006D1060"/>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67A"/>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5F3"/>
    <w:rsid w:val="00762612"/>
    <w:rsid w:val="007626D5"/>
    <w:rsid w:val="00762CD1"/>
    <w:rsid w:val="007636D8"/>
    <w:rsid w:val="0076416A"/>
    <w:rsid w:val="00764A83"/>
    <w:rsid w:val="00764BCC"/>
    <w:rsid w:val="007650D2"/>
    <w:rsid w:val="007655D2"/>
    <w:rsid w:val="007656FD"/>
    <w:rsid w:val="00765D50"/>
    <w:rsid w:val="00765E30"/>
    <w:rsid w:val="007664A0"/>
    <w:rsid w:val="0076662B"/>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5817"/>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6D"/>
    <w:rsid w:val="008A1E8C"/>
    <w:rsid w:val="008A1FED"/>
    <w:rsid w:val="008A243D"/>
    <w:rsid w:val="008A2AFF"/>
    <w:rsid w:val="008A2CB1"/>
    <w:rsid w:val="008A37E0"/>
    <w:rsid w:val="008A38C2"/>
    <w:rsid w:val="008A3C25"/>
    <w:rsid w:val="008A4072"/>
    <w:rsid w:val="008A49D5"/>
    <w:rsid w:val="008A4A98"/>
    <w:rsid w:val="008A746C"/>
    <w:rsid w:val="008B02A5"/>
    <w:rsid w:val="008B086D"/>
    <w:rsid w:val="008B0B36"/>
    <w:rsid w:val="008B111D"/>
    <w:rsid w:val="008B2135"/>
    <w:rsid w:val="008B2201"/>
    <w:rsid w:val="008B2596"/>
    <w:rsid w:val="008B27C4"/>
    <w:rsid w:val="008B3DD9"/>
    <w:rsid w:val="008B5C73"/>
    <w:rsid w:val="008B5FE6"/>
    <w:rsid w:val="008B67D4"/>
    <w:rsid w:val="008B6BDB"/>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58EA"/>
    <w:rsid w:val="008C6069"/>
    <w:rsid w:val="008C6813"/>
    <w:rsid w:val="008C6E70"/>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08"/>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322F"/>
    <w:rsid w:val="0096397B"/>
    <w:rsid w:val="00966ACE"/>
    <w:rsid w:val="0096763E"/>
    <w:rsid w:val="00967A31"/>
    <w:rsid w:val="00967CF5"/>
    <w:rsid w:val="0097089D"/>
    <w:rsid w:val="0097101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97ACE"/>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253"/>
    <w:rsid w:val="009D1498"/>
    <w:rsid w:val="009D2620"/>
    <w:rsid w:val="009D4668"/>
    <w:rsid w:val="009D7EA2"/>
    <w:rsid w:val="009E0E9C"/>
    <w:rsid w:val="009E1181"/>
    <w:rsid w:val="009E1AA7"/>
    <w:rsid w:val="009E23C6"/>
    <w:rsid w:val="009E3234"/>
    <w:rsid w:val="009E3276"/>
    <w:rsid w:val="009E4E3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004"/>
    <w:rsid w:val="00A1479E"/>
    <w:rsid w:val="00A14E44"/>
    <w:rsid w:val="00A15198"/>
    <w:rsid w:val="00A15EFF"/>
    <w:rsid w:val="00A15FF1"/>
    <w:rsid w:val="00A16042"/>
    <w:rsid w:val="00A16967"/>
    <w:rsid w:val="00A17697"/>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100"/>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2FB3"/>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993"/>
    <w:rsid w:val="00B41DF8"/>
    <w:rsid w:val="00B4241B"/>
    <w:rsid w:val="00B42E29"/>
    <w:rsid w:val="00B4343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8A7"/>
    <w:rsid w:val="00B61F29"/>
    <w:rsid w:val="00B627D4"/>
    <w:rsid w:val="00B62C57"/>
    <w:rsid w:val="00B66639"/>
    <w:rsid w:val="00B66944"/>
    <w:rsid w:val="00B66DBA"/>
    <w:rsid w:val="00B67018"/>
    <w:rsid w:val="00B67324"/>
    <w:rsid w:val="00B67339"/>
    <w:rsid w:val="00B67880"/>
    <w:rsid w:val="00B70DC4"/>
    <w:rsid w:val="00B719EF"/>
    <w:rsid w:val="00B71FB4"/>
    <w:rsid w:val="00B7211A"/>
    <w:rsid w:val="00B72576"/>
    <w:rsid w:val="00B728D5"/>
    <w:rsid w:val="00B72F0C"/>
    <w:rsid w:val="00B73168"/>
    <w:rsid w:val="00B7340A"/>
    <w:rsid w:val="00B739BD"/>
    <w:rsid w:val="00B73DD2"/>
    <w:rsid w:val="00B73E96"/>
    <w:rsid w:val="00B75CFC"/>
    <w:rsid w:val="00B761CA"/>
    <w:rsid w:val="00B770D4"/>
    <w:rsid w:val="00B772EA"/>
    <w:rsid w:val="00B77854"/>
    <w:rsid w:val="00B77B70"/>
    <w:rsid w:val="00B77B99"/>
    <w:rsid w:val="00B816C5"/>
    <w:rsid w:val="00B81D7B"/>
    <w:rsid w:val="00B81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6CA"/>
    <w:rsid w:val="00BF3AD2"/>
    <w:rsid w:val="00BF40C9"/>
    <w:rsid w:val="00BF47F7"/>
    <w:rsid w:val="00BF481A"/>
    <w:rsid w:val="00BF5318"/>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287"/>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841"/>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A7DE9"/>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E72AE"/>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E72"/>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C7E3D"/>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66D3"/>
    <w:rsid w:val="00EA6AC0"/>
    <w:rsid w:val="00EA6D0E"/>
    <w:rsid w:val="00EB031D"/>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9AA"/>
    <w:rsid w:val="00F33C7A"/>
    <w:rsid w:val="00F349EB"/>
    <w:rsid w:val="00F35696"/>
    <w:rsid w:val="00F35B17"/>
    <w:rsid w:val="00F36F3F"/>
    <w:rsid w:val="00F36FD7"/>
    <w:rsid w:val="00F37490"/>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4FC6"/>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190"/>
    <w:rsid w:val="00F8537E"/>
    <w:rsid w:val="00F85A10"/>
    <w:rsid w:val="00F871CD"/>
    <w:rsid w:val="00F87C4A"/>
    <w:rsid w:val="00F87E8F"/>
    <w:rsid w:val="00F904EB"/>
    <w:rsid w:val="00F90533"/>
    <w:rsid w:val="00F9054F"/>
    <w:rsid w:val="00F9078C"/>
    <w:rsid w:val="00F907DB"/>
    <w:rsid w:val="00F91E1F"/>
    <w:rsid w:val="00F92130"/>
    <w:rsid w:val="00F9247F"/>
    <w:rsid w:val="00F929CE"/>
    <w:rsid w:val="00F9350D"/>
    <w:rsid w:val="00F93696"/>
    <w:rsid w:val="00F938FB"/>
    <w:rsid w:val="00F93BC0"/>
    <w:rsid w:val="00F94C35"/>
    <w:rsid w:val="00F966A9"/>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D75F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0931"/>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1253ED"/>
    <w:rsid w:val="01353AE6"/>
    <w:rsid w:val="013B22BF"/>
    <w:rsid w:val="014838DC"/>
    <w:rsid w:val="014C3FD7"/>
    <w:rsid w:val="01883182"/>
    <w:rsid w:val="01B17C21"/>
    <w:rsid w:val="01F70FD8"/>
    <w:rsid w:val="01FC4995"/>
    <w:rsid w:val="021119E1"/>
    <w:rsid w:val="0257529A"/>
    <w:rsid w:val="02B01361"/>
    <w:rsid w:val="02D436B7"/>
    <w:rsid w:val="02D768EE"/>
    <w:rsid w:val="02E01C47"/>
    <w:rsid w:val="03027A29"/>
    <w:rsid w:val="03196F07"/>
    <w:rsid w:val="03433A17"/>
    <w:rsid w:val="034D0F5A"/>
    <w:rsid w:val="036024F9"/>
    <w:rsid w:val="039E57AB"/>
    <w:rsid w:val="03B35391"/>
    <w:rsid w:val="03C52BEB"/>
    <w:rsid w:val="03DD552C"/>
    <w:rsid w:val="03F84D6E"/>
    <w:rsid w:val="043B2C36"/>
    <w:rsid w:val="044A27C6"/>
    <w:rsid w:val="044C0C16"/>
    <w:rsid w:val="044C2800"/>
    <w:rsid w:val="045D203A"/>
    <w:rsid w:val="047409B7"/>
    <w:rsid w:val="047B6C88"/>
    <w:rsid w:val="04B022C0"/>
    <w:rsid w:val="04E15802"/>
    <w:rsid w:val="04FE7F15"/>
    <w:rsid w:val="053A4855"/>
    <w:rsid w:val="05876466"/>
    <w:rsid w:val="05A56F81"/>
    <w:rsid w:val="05AF02CF"/>
    <w:rsid w:val="05B475CC"/>
    <w:rsid w:val="05C515F4"/>
    <w:rsid w:val="05E23C57"/>
    <w:rsid w:val="06001B27"/>
    <w:rsid w:val="060C2D53"/>
    <w:rsid w:val="061F5354"/>
    <w:rsid w:val="06212C74"/>
    <w:rsid w:val="062D4F46"/>
    <w:rsid w:val="06562220"/>
    <w:rsid w:val="067032E2"/>
    <w:rsid w:val="06761D63"/>
    <w:rsid w:val="068218E0"/>
    <w:rsid w:val="06A25842"/>
    <w:rsid w:val="06AF5670"/>
    <w:rsid w:val="06B331CE"/>
    <w:rsid w:val="06E6356C"/>
    <w:rsid w:val="06E710CA"/>
    <w:rsid w:val="06E76218"/>
    <w:rsid w:val="06EC66E0"/>
    <w:rsid w:val="070847D0"/>
    <w:rsid w:val="07252F8A"/>
    <w:rsid w:val="07283BBC"/>
    <w:rsid w:val="072B0FB7"/>
    <w:rsid w:val="073D0B74"/>
    <w:rsid w:val="0768045D"/>
    <w:rsid w:val="07846919"/>
    <w:rsid w:val="079A5979"/>
    <w:rsid w:val="07A50A58"/>
    <w:rsid w:val="07A63DF9"/>
    <w:rsid w:val="07B80611"/>
    <w:rsid w:val="085631C9"/>
    <w:rsid w:val="085D3B02"/>
    <w:rsid w:val="088257A5"/>
    <w:rsid w:val="08917F93"/>
    <w:rsid w:val="08F1113D"/>
    <w:rsid w:val="08F11A25"/>
    <w:rsid w:val="08FE2AB1"/>
    <w:rsid w:val="093E0880"/>
    <w:rsid w:val="0970461D"/>
    <w:rsid w:val="097F4AD0"/>
    <w:rsid w:val="09A0026F"/>
    <w:rsid w:val="09D34CA3"/>
    <w:rsid w:val="09EF3306"/>
    <w:rsid w:val="0A122F35"/>
    <w:rsid w:val="0A455201"/>
    <w:rsid w:val="0A545D73"/>
    <w:rsid w:val="0A590531"/>
    <w:rsid w:val="0A6601F9"/>
    <w:rsid w:val="0A8D4287"/>
    <w:rsid w:val="0A9E1C57"/>
    <w:rsid w:val="0ACB5664"/>
    <w:rsid w:val="0AFC3827"/>
    <w:rsid w:val="0B183F48"/>
    <w:rsid w:val="0B1B044E"/>
    <w:rsid w:val="0B1F0E32"/>
    <w:rsid w:val="0B9121BF"/>
    <w:rsid w:val="0B977C2D"/>
    <w:rsid w:val="0BCD4AD4"/>
    <w:rsid w:val="0BCE4606"/>
    <w:rsid w:val="0BF95130"/>
    <w:rsid w:val="0C060244"/>
    <w:rsid w:val="0C1A6E93"/>
    <w:rsid w:val="0C4501CE"/>
    <w:rsid w:val="0C5E0B8C"/>
    <w:rsid w:val="0C60163F"/>
    <w:rsid w:val="0C6142E8"/>
    <w:rsid w:val="0C822C5E"/>
    <w:rsid w:val="0CBA1E31"/>
    <w:rsid w:val="0CCB3E38"/>
    <w:rsid w:val="0CDD0BB5"/>
    <w:rsid w:val="0CE42333"/>
    <w:rsid w:val="0D1F336B"/>
    <w:rsid w:val="0D2B508F"/>
    <w:rsid w:val="0D2D79BF"/>
    <w:rsid w:val="0D374AC5"/>
    <w:rsid w:val="0D4B42C1"/>
    <w:rsid w:val="0D7877E1"/>
    <w:rsid w:val="0DA10224"/>
    <w:rsid w:val="0DE40111"/>
    <w:rsid w:val="0E155384"/>
    <w:rsid w:val="0E16317A"/>
    <w:rsid w:val="0E185CCA"/>
    <w:rsid w:val="0E5232CD"/>
    <w:rsid w:val="0E62693A"/>
    <w:rsid w:val="0E813BB2"/>
    <w:rsid w:val="0E892E41"/>
    <w:rsid w:val="0EA8373B"/>
    <w:rsid w:val="0EFB2DE2"/>
    <w:rsid w:val="0F01314F"/>
    <w:rsid w:val="0F0D2F2C"/>
    <w:rsid w:val="0F133F84"/>
    <w:rsid w:val="0F1D3C3E"/>
    <w:rsid w:val="0F2018AB"/>
    <w:rsid w:val="0F375DC4"/>
    <w:rsid w:val="0F75673E"/>
    <w:rsid w:val="0F8B5083"/>
    <w:rsid w:val="0F9D1F37"/>
    <w:rsid w:val="0FB660D7"/>
    <w:rsid w:val="0FD8210B"/>
    <w:rsid w:val="0FF035AC"/>
    <w:rsid w:val="0FF7237E"/>
    <w:rsid w:val="0FF81642"/>
    <w:rsid w:val="10692390"/>
    <w:rsid w:val="108F017F"/>
    <w:rsid w:val="10B25F8F"/>
    <w:rsid w:val="10D21EAF"/>
    <w:rsid w:val="10E16068"/>
    <w:rsid w:val="10F0590C"/>
    <w:rsid w:val="110F36F7"/>
    <w:rsid w:val="11397FF2"/>
    <w:rsid w:val="114A39B7"/>
    <w:rsid w:val="115033EF"/>
    <w:rsid w:val="1167581E"/>
    <w:rsid w:val="116E2B13"/>
    <w:rsid w:val="118C2F9A"/>
    <w:rsid w:val="11A93670"/>
    <w:rsid w:val="11C646FD"/>
    <w:rsid w:val="11CF045F"/>
    <w:rsid w:val="1254505F"/>
    <w:rsid w:val="127001C5"/>
    <w:rsid w:val="12720E51"/>
    <w:rsid w:val="12776333"/>
    <w:rsid w:val="127E31B5"/>
    <w:rsid w:val="1280341C"/>
    <w:rsid w:val="128C1186"/>
    <w:rsid w:val="12A14542"/>
    <w:rsid w:val="12C16C73"/>
    <w:rsid w:val="12DE15D3"/>
    <w:rsid w:val="12E51F30"/>
    <w:rsid w:val="130D399B"/>
    <w:rsid w:val="136D5594"/>
    <w:rsid w:val="13B83351"/>
    <w:rsid w:val="13CA2479"/>
    <w:rsid w:val="13F14D41"/>
    <w:rsid w:val="13F47F5B"/>
    <w:rsid w:val="143174A5"/>
    <w:rsid w:val="147E3368"/>
    <w:rsid w:val="14A97630"/>
    <w:rsid w:val="14BD7728"/>
    <w:rsid w:val="14D87C97"/>
    <w:rsid w:val="14E804E7"/>
    <w:rsid w:val="151F2C18"/>
    <w:rsid w:val="158F7CD8"/>
    <w:rsid w:val="15D53161"/>
    <w:rsid w:val="15DF7948"/>
    <w:rsid w:val="15F64745"/>
    <w:rsid w:val="1601481A"/>
    <w:rsid w:val="16113335"/>
    <w:rsid w:val="16186717"/>
    <w:rsid w:val="162D1CE2"/>
    <w:rsid w:val="165357D3"/>
    <w:rsid w:val="166A76FB"/>
    <w:rsid w:val="166C73ED"/>
    <w:rsid w:val="169522D7"/>
    <w:rsid w:val="16967BC5"/>
    <w:rsid w:val="169E79F7"/>
    <w:rsid w:val="16E1154B"/>
    <w:rsid w:val="16ED5EB7"/>
    <w:rsid w:val="170752CB"/>
    <w:rsid w:val="174325C2"/>
    <w:rsid w:val="175554DF"/>
    <w:rsid w:val="175A62B6"/>
    <w:rsid w:val="17810C39"/>
    <w:rsid w:val="178B5F49"/>
    <w:rsid w:val="179273AC"/>
    <w:rsid w:val="179E1EC6"/>
    <w:rsid w:val="17AC7EF2"/>
    <w:rsid w:val="17B90EAB"/>
    <w:rsid w:val="17C330B1"/>
    <w:rsid w:val="17E1192A"/>
    <w:rsid w:val="17E14091"/>
    <w:rsid w:val="17FC5942"/>
    <w:rsid w:val="18135ED6"/>
    <w:rsid w:val="183738B6"/>
    <w:rsid w:val="18396477"/>
    <w:rsid w:val="189C3747"/>
    <w:rsid w:val="18A64B89"/>
    <w:rsid w:val="18B8199E"/>
    <w:rsid w:val="18CD2331"/>
    <w:rsid w:val="18D06062"/>
    <w:rsid w:val="18F97167"/>
    <w:rsid w:val="18FB50C6"/>
    <w:rsid w:val="19353CD3"/>
    <w:rsid w:val="19A277FE"/>
    <w:rsid w:val="19EF2318"/>
    <w:rsid w:val="19F55F5E"/>
    <w:rsid w:val="1A104088"/>
    <w:rsid w:val="1A1D4A30"/>
    <w:rsid w:val="1A203696"/>
    <w:rsid w:val="1A330456"/>
    <w:rsid w:val="1A4A28F5"/>
    <w:rsid w:val="1A5D1524"/>
    <w:rsid w:val="1A616039"/>
    <w:rsid w:val="1A710F7F"/>
    <w:rsid w:val="1AA13EF9"/>
    <w:rsid w:val="1AAC476F"/>
    <w:rsid w:val="1ABB145A"/>
    <w:rsid w:val="1B167EE4"/>
    <w:rsid w:val="1B1C7F55"/>
    <w:rsid w:val="1B1E07FF"/>
    <w:rsid w:val="1B1F4E7E"/>
    <w:rsid w:val="1B474C7C"/>
    <w:rsid w:val="1B5F5A93"/>
    <w:rsid w:val="1B644941"/>
    <w:rsid w:val="1BA34642"/>
    <w:rsid w:val="1BF666C0"/>
    <w:rsid w:val="1C116575"/>
    <w:rsid w:val="1C377B09"/>
    <w:rsid w:val="1C504E03"/>
    <w:rsid w:val="1C7B0D9F"/>
    <w:rsid w:val="1C7B4336"/>
    <w:rsid w:val="1CD67AA5"/>
    <w:rsid w:val="1D3B16ED"/>
    <w:rsid w:val="1D6E655D"/>
    <w:rsid w:val="1D792777"/>
    <w:rsid w:val="1D8A5D38"/>
    <w:rsid w:val="1DAA2521"/>
    <w:rsid w:val="1DB26718"/>
    <w:rsid w:val="1DC02695"/>
    <w:rsid w:val="1E0072AB"/>
    <w:rsid w:val="1E0D442D"/>
    <w:rsid w:val="1E1E4201"/>
    <w:rsid w:val="1E280FE5"/>
    <w:rsid w:val="1E2B5DA6"/>
    <w:rsid w:val="1E5D26EB"/>
    <w:rsid w:val="1E780B2E"/>
    <w:rsid w:val="1E796654"/>
    <w:rsid w:val="1EA44ABF"/>
    <w:rsid w:val="1EB34CBB"/>
    <w:rsid w:val="1ED513BA"/>
    <w:rsid w:val="1F1F544D"/>
    <w:rsid w:val="1F214722"/>
    <w:rsid w:val="1F2C479B"/>
    <w:rsid w:val="1F334A54"/>
    <w:rsid w:val="1F3D3B25"/>
    <w:rsid w:val="1F3D5393"/>
    <w:rsid w:val="1F6751C9"/>
    <w:rsid w:val="1FD81F13"/>
    <w:rsid w:val="1FE725CB"/>
    <w:rsid w:val="20224D55"/>
    <w:rsid w:val="204B1492"/>
    <w:rsid w:val="20531475"/>
    <w:rsid w:val="206B7B39"/>
    <w:rsid w:val="20A06EA1"/>
    <w:rsid w:val="20C004F1"/>
    <w:rsid w:val="20D87EC1"/>
    <w:rsid w:val="20FF591B"/>
    <w:rsid w:val="21135D3D"/>
    <w:rsid w:val="21144747"/>
    <w:rsid w:val="21152AEA"/>
    <w:rsid w:val="211F6B56"/>
    <w:rsid w:val="212B5A64"/>
    <w:rsid w:val="213A031C"/>
    <w:rsid w:val="21417A0D"/>
    <w:rsid w:val="214379DD"/>
    <w:rsid w:val="216A2BF9"/>
    <w:rsid w:val="217764B1"/>
    <w:rsid w:val="21D02A2F"/>
    <w:rsid w:val="21F726B1"/>
    <w:rsid w:val="220F481B"/>
    <w:rsid w:val="221E0366"/>
    <w:rsid w:val="22344A81"/>
    <w:rsid w:val="224376A4"/>
    <w:rsid w:val="224B4DCD"/>
    <w:rsid w:val="22531CF7"/>
    <w:rsid w:val="225517D6"/>
    <w:rsid w:val="226E178F"/>
    <w:rsid w:val="227B6E4F"/>
    <w:rsid w:val="22D0340F"/>
    <w:rsid w:val="23005595"/>
    <w:rsid w:val="2302547A"/>
    <w:rsid w:val="2322129E"/>
    <w:rsid w:val="23313782"/>
    <w:rsid w:val="234250F6"/>
    <w:rsid w:val="23494431"/>
    <w:rsid w:val="23501E59"/>
    <w:rsid w:val="235651B5"/>
    <w:rsid w:val="2357354F"/>
    <w:rsid w:val="238842C0"/>
    <w:rsid w:val="23AE718D"/>
    <w:rsid w:val="23C545F4"/>
    <w:rsid w:val="23CE3F10"/>
    <w:rsid w:val="23DD70FB"/>
    <w:rsid w:val="23E2718D"/>
    <w:rsid w:val="23E71222"/>
    <w:rsid w:val="23EC0881"/>
    <w:rsid w:val="24082FAE"/>
    <w:rsid w:val="24677424"/>
    <w:rsid w:val="247A734D"/>
    <w:rsid w:val="247D4C67"/>
    <w:rsid w:val="248A15BB"/>
    <w:rsid w:val="24DE5462"/>
    <w:rsid w:val="250A129B"/>
    <w:rsid w:val="25175BEE"/>
    <w:rsid w:val="2582731D"/>
    <w:rsid w:val="2593449F"/>
    <w:rsid w:val="25A0096A"/>
    <w:rsid w:val="26054766"/>
    <w:rsid w:val="2614728A"/>
    <w:rsid w:val="26307354"/>
    <w:rsid w:val="26347A30"/>
    <w:rsid w:val="26610781"/>
    <w:rsid w:val="26AF355A"/>
    <w:rsid w:val="27112EF7"/>
    <w:rsid w:val="27133AC9"/>
    <w:rsid w:val="275D2FB6"/>
    <w:rsid w:val="27893DAB"/>
    <w:rsid w:val="278C10BD"/>
    <w:rsid w:val="278E13C2"/>
    <w:rsid w:val="27A750B0"/>
    <w:rsid w:val="27BE2280"/>
    <w:rsid w:val="27E37B96"/>
    <w:rsid w:val="27FF6E20"/>
    <w:rsid w:val="283105E9"/>
    <w:rsid w:val="285940DB"/>
    <w:rsid w:val="285C5C0E"/>
    <w:rsid w:val="28717B2F"/>
    <w:rsid w:val="28800F1F"/>
    <w:rsid w:val="288528F2"/>
    <w:rsid w:val="28AD1D1C"/>
    <w:rsid w:val="28C407FC"/>
    <w:rsid w:val="28C933DC"/>
    <w:rsid w:val="28D27225"/>
    <w:rsid w:val="28E54779"/>
    <w:rsid w:val="28EF3807"/>
    <w:rsid w:val="290635E7"/>
    <w:rsid w:val="29235E38"/>
    <w:rsid w:val="29372DC9"/>
    <w:rsid w:val="29412387"/>
    <w:rsid w:val="294B3490"/>
    <w:rsid w:val="29516ED1"/>
    <w:rsid w:val="29783213"/>
    <w:rsid w:val="29946A38"/>
    <w:rsid w:val="29A313AF"/>
    <w:rsid w:val="29A551D4"/>
    <w:rsid w:val="29B136FE"/>
    <w:rsid w:val="29C15E01"/>
    <w:rsid w:val="29D543D2"/>
    <w:rsid w:val="29D62BAC"/>
    <w:rsid w:val="29E65834"/>
    <w:rsid w:val="2A3049B2"/>
    <w:rsid w:val="2A9E7061"/>
    <w:rsid w:val="2AE40825"/>
    <w:rsid w:val="2AED1FC6"/>
    <w:rsid w:val="2B1C4080"/>
    <w:rsid w:val="2B2E3ACB"/>
    <w:rsid w:val="2B4324C3"/>
    <w:rsid w:val="2B511252"/>
    <w:rsid w:val="2B52449D"/>
    <w:rsid w:val="2B5B3D53"/>
    <w:rsid w:val="2B6D0EA0"/>
    <w:rsid w:val="2B7B0BE8"/>
    <w:rsid w:val="2BA74568"/>
    <w:rsid w:val="2BC47876"/>
    <w:rsid w:val="2BD9671E"/>
    <w:rsid w:val="2BF4630C"/>
    <w:rsid w:val="2C016FFC"/>
    <w:rsid w:val="2C0954BB"/>
    <w:rsid w:val="2C1F16F1"/>
    <w:rsid w:val="2C326895"/>
    <w:rsid w:val="2C3E381E"/>
    <w:rsid w:val="2C466C2E"/>
    <w:rsid w:val="2C4B7881"/>
    <w:rsid w:val="2C51298A"/>
    <w:rsid w:val="2C546594"/>
    <w:rsid w:val="2C627955"/>
    <w:rsid w:val="2C7A1F15"/>
    <w:rsid w:val="2CC1070D"/>
    <w:rsid w:val="2CCA2EB4"/>
    <w:rsid w:val="2CD7666F"/>
    <w:rsid w:val="2CED0939"/>
    <w:rsid w:val="2D10148D"/>
    <w:rsid w:val="2D151291"/>
    <w:rsid w:val="2D2E06DC"/>
    <w:rsid w:val="2D473EB8"/>
    <w:rsid w:val="2D665AAB"/>
    <w:rsid w:val="2D7C0986"/>
    <w:rsid w:val="2D7E3C87"/>
    <w:rsid w:val="2DD31B4E"/>
    <w:rsid w:val="2DE91CDA"/>
    <w:rsid w:val="2DF8268C"/>
    <w:rsid w:val="2E2F01FA"/>
    <w:rsid w:val="2E67471B"/>
    <w:rsid w:val="2E7344B1"/>
    <w:rsid w:val="2E8E4B4E"/>
    <w:rsid w:val="2EC21BE6"/>
    <w:rsid w:val="2F060DD2"/>
    <w:rsid w:val="2F086C26"/>
    <w:rsid w:val="2F181BAE"/>
    <w:rsid w:val="2F181F65"/>
    <w:rsid w:val="2F22078C"/>
    <w:rsid w:val="2F261EE0"/>
    <w:rsid w:val="2F2F5238"/>
    <w:rsid w:val="2F3A2817"/>
    <w:rsid w:val="2F4528EF"/>
    <w:rsid w:val="2F6649D2"/>
    <w:rsid w:val="2F6A46BB"/>
    <w:rsid w:val="2F724F35"/>
    <w:rsid w:val="2FCB0514"/>
    <w:rsid w:val="2FD302BA"/>
    <w:rsid w:val="2FD85612"/>
    <w:rsid w:val="30054923"/>
    <w:rsid w:val="303E14AB"/>
    <w:rsid w:val="306759C0"/>
    <w:rsid w:val="307A6987"/>
    <w:rsid w:val="30D342E9"/>
    <w:rsid w:val="30E503E0"/>
    <w:rsid w:val="31336387"/>
    <w:rsid w:val="313476C8"/>
    <w:rsid w:val="31440242"/>
    <w:rsid w:val="31466EBB"/>
    <w:rsid w:val="314A64EF"/>
    <w:rsid w:val="315E0067"/>
    <w:rsid w:val="317C64BC"/>
    <w:rsid w:val="31823B01"/>
    <w:rsid w:val="319B2509"/>
    <w:rsid w:val="31AD6213"/>
    <w:rsid w:val="31B200E7"/>
    <w:rsid w:val="320E73B9"/>
    <w:rsid w:val="32186DD4"/>
    <w:rsid w:val="321A6EE9"/>
    <w:rsid w:val="32244E93"/>
    <w:rsid w:val="325A5C5C"/>
    <w:rsid w:val="325D2BA3"/>
    <w:rsid w:val="32633A3C"/>
    <w:rsid w:val="326506E8"/>
    <w:rsid w:val="328301A2"/>
    <w:rsid w:val="32831E3B"/>
    <w:rsid w:val="32B607F4"/>
    <w:rsid w:val="333E29F7"/>
    <w:rsid w:val="333F5C66"/>
    <w:rsid w:val="33550FE6"/>
    <w:rsid w:val="336C673E"/>
    <w:rsid w:val="3383551B"/>
    <w:rsid w:val="33957634"/>
    <w:rsid w:val="339F19E0"/>
    <w:rsid w:val="33BF3586"/>
    <w:rsid w:val="33D34197"/>
    <w:rsid w:val="33DA7B3A"/>
    <w:rsid w:val="33E36CF5"/>
    <w:rsid w:val="33EC194A"/>
    <w:rsid w:val="3406111F"/>
    <w:rsid w:val="347055A6"/>
    <w:rsid w:val="348C5706"/>
    <w:rsid w:val="349E0E40"/>
    <w:rsid w:val="34B87C6D"/>
    <w:rsid w:val="34C60443"/>
    <w:rsid w:val="34C61963"/>
    <w:rsid w:val="34CE1050"/>
    <w:rsid w:val="34D2441F"/>
    <w:rsid w:val="34D523DE"/>
    <w:rsid w:val="34D96007"/>
    <w:rsid w:val="34E46AC5"/>
    <w:rsid w:val="34F85328"/>
    <w:rsid w:val="350C25E8"/>
    <w:rsid w:val="351A6714"/>
    <w:rsid w:val="351F5D4F"/>
    <w:rsid w:val="35490860"/>
    <w:rsid w:val="354B26A0"/>
    <w:rsid w:val="35523C1E"/>
    <w:rsid w:val="35643EBB"/>
    <w:rsid w:val="357C0F07"/>
    <w:rsid w:val="358926E6"/>
    <w:rsid w:val="3590148A"/>
    <w:rsid w:val="35951B6D"/>
    <w:rsid w:val="3596638C"/>
    <w:rsid w:val="35E0728C"/>
    <w:rsid w:val="35E860DC"/>
    <w:rsid w:val="35F04FF6"/>
    <w:rsid w:val="36423762"/>
    <w:rsid w:val="36826E9D"/>
    <w:rsid w:val="36A74218"/>
    <w:rsid w:val="36D81F00"/>
    <w:rsid w:val="36ED1E07"/>
    <w:rsid w:val="370D2DA8"/>
    <w:rsid w:val="373714B0"/>
    <w:rsid w:val="37490E61"/>
    <w:rsid w:val="377F3CCF"/>
    <w:rsid w:val="379C71E3"/>
    <w:rsid w:val="379E1B31"/>
    <w:rsid w:val="37CD052A"/>
    <w:rsid w:val="37E652D1"/>
    <w:rsid w:val="37F17146"/>
    <w:rsid w:val="37F83D4F"/>
    <w:rsid w:val="38153FD4"/>
    <w:rsid w:val="38235E87"/>
    <w:rsid w:val="3852536B"/>
    <w:rsid w:val="38A907AC"/>
    <w:rsid w:val="38E251C0"/>
    <w:rsid w:val="390E775E"/>
    <w:rsid w:val="3922119F"/>
    <w:rsid w:val="393F2584"/>
    <w:rsid w:val="39447B32"/>
    <w:rsid w:val="395F3AEA"/>
    <w:rsid w:val="396D605C"/>
    <w:rsid w:val="39732C58"/>
    <w:rsid w:val="398443D3"/>
    <w:rsid w:val="398D772B"/>
    <w:rsid w:val="399B0A74"/>
    <w:rsid w:val="39BB3F14"/>
    <w:rsid w:val="39E6508D"/>
    <w:rsid w:val="39F124B6"/>
    <w:rsid w:val="3A0F1648"/>
    <w:rsid w:val="3A1A01BF"/>
    <w:rsid w:val="3A850402"/>
    <w:rsid w:val="3AA34D2C"/>
    <w:rsid w:val="3ABC194A"/>
    <w:rsid w:val="3ACD3C53"/>
    <w:rsid w:val="3ADF778E"/>
    <w:rsid w:val="3B20302E"/>
    <w:rsid w:val="3BB75B4D"/>
    <w:rsid w:val="3BB970C6"/>
    <w:rsid w:val="3BC90554"/>
    <w:rsid w:val="3BCE02F2"/>
    <w:rsid w:val="3BDE1E0E"/>
    <w:rsid w:val="3BEE6B19"/>
    <w:rsid w:val="3C585200"/>
    <w:rsid w:val="3C66769A"/>
    <w:rsid w:val="3C776471"/>
    <w:rsid w:val="3CAD1E92"/>
    <w:rsid w:val="3CAF5FCA"/>
    <w:rsid w:val="3CC11E03"/>
    <w:rsid w:val="3D1F5F39"/>
    <w:rsid w:val="3D26492B"/>
    <w:rsid w:val="3D273A07"/>
    <w:rsid w:val="3D2A2388"/>
    <w:rsid w:val="3D785B69"/>
    <w:rsid w:val="3D934BE4"/>
    <w:rsid w:val="3D9B642E"/>
    <w:rsid w:val="3DE51933"/>
    <w:rsid w:val="3E69425A"/>
    <w:rsid w:val="3E7C38CA"/>
    <w:rsid w:val="3E931A45"/>
    <w:rsid w:val="3E946E66"/>
    <w:rsid w:val="3EC3033B"/>
    <w:rsid w:val="3F087854"/>
    <w:rsid w:val="3F4354C4"/>
    <w:rsid w:val="3F4F6639"/>
    <w:rsid w:val="3F5D7BA0"/>
    <w:rsid w:val="3F827606"/>
    <w:rsid w:val="3FBC7D8B"/>
    <w:rsid w:val="3FBF3B3C"/>
    <w:rsid w:val="3FEEA4CB"/>
    <w:rsid w:val="3FF04C81"/>
    <w:rsid w:val="40090163"/>
    <w:rsid w:val="401D2E8B"/>
    <w:rsid w:val="402406BD"/>
    <w:rsid w:val="40354679"/>
    <w:rsid w:val="404A0499"/>
    <w:rsid w:val="404B1BBF"/>
    <w:rsid w:val="408D14D1"/>
    <w:rsid w:val="40B41A41"/>
    <w:rsid w:val="40F167F2"/>
    <w:rsid w:val="40F26D6A"/>
    <w:rsid w:val="40F63E08"/>
    <w:rsid w:val="41181A3D"/>
    <w:rsid w:val="418732F8"/>
    <w:rsid w:val="41B25855"/>
    <w:rsid w:val="41B50348"/>
    <w:rsid w:val="41C07A3A"/>
    <w:rsid w:val="41C53760"/>
    <w:rsid w:val="41C92456"/>
    <w:rsid w:val="42012B91"/>
    <w:rsid w:val="42024357"/>
    <w:rsid w:val="42360234"/>
    <w:rsid w:val="42552DB0"/>
    <w:rsid w:val="425C413F"/>
    <w:rsid w:val="427F0281"/>
    <w:rsid w:val="429D72A3"/>
    <w:rsid w:val="42B32777"/>
    <w:rsid w:val="42BA67E7"/>
    <w:rsid w:val="42D812EB"/>
    <w:rsid w:val="42DE2DA6"/>
    <w:rsid w:val="430C0BC8"/>
    <w:rsid w:val="430E5437"/>
    <w:rsid w:val="436C03B1"/>
    <w:rsid w:val="437B23A2"/>
    <w:rsid w:val="439A7250"/>
    <w:rsid w:val="43A51B15"/>
    <w:rsid w:val="43CE2E1A"/>
    <w:rsid w:val="43EF1FF8"/>
    <w:rsid w:val="4403392E"/>
    <w:rsid w:val="441712F2"/>
    <w:rsid w:val="44192907"/>
    <w:rsid w:val="44296A38"/>
    <w:rsid w:val="442E38B9"/>
    <w:rsid w:val="44382ADF"/>
    <w:rsid w:val="444A6D77"/>
    <w:rsid w:val="44534092"/>
    <w:rsid w:val="446A240C"/>
    <w:rsid w:val="44894759"/>
    <w:rsid w:val="44A731CE"/>
    <w:rsid w:val="44B45A27"/>
    <w:rsid w:val="44EA2EF1"/>
    <w:rsid w:val="44F30F65"/>
    <w:rsid w:val="451B6AE0"/>
    <w:rsid w:val="451C0B79"/>
    <w:rsid w:val="455A784A"/>
    <w:rsid w:val="45C269A9"/>
    <w:rsid w:val="45D47A85"/>
    <w:rsid w:val="45F51841"/>
    <w:rsid w:val="461E57BF"/>
    <w:rsid w:val="461F4288"/>
    <w:rsid w:val="4634361B"/>
    <w:rsid w:val="4698770F"/>
    <w:rsid w:val="46BF6084"/>
    <w:rsid w:val="46CD006B"/>
    <w:rsid w:val="46D81671"/>
    <w:rsid w:val="47301934"/>
    <w:rsid w:val="47340CF7"/>
    <w:rsid w:val="47613FA5"/>
    <w:rsid w:val="47824020"/>
    <w:rsid w:val="47A50C40"/>
    <w:rsid w:val="47CA14BF"/>
    <w:rsid w:val="47D2608D"/>
    <w:rsid w:val="47E519D9"/>
    <w:rsid w:val="47EC272B"/>
    <w:rsid w:val="480A1F47"/>
    <w:rsid w:val="4817179E"/>
    <w:rsid w:val="48695B00"/>
    <w:rsid w:val="48861F15"/>
    <w:rsid w:val="4886248F"/>
    <w:rsid w:val="488E737E"/>
    <w:rsid w:val="489130C1"/>
    <w:rsid w:val="489F2FD7"/>
    <w:rsid w:val="48B62A1D"/>
    <w:rsid w:val="492D4163"/>
    <w:rsid w:val="498D4884"/>
    <w:rsid w:val="49BF56FF"/>
    <w:rsid w:val="49E40AA8"/>
    <w:rsid w:val="49EB6045"/>
    <w:rsid w:val="4A1470AD"/>
    <w:rsid w:val="4A226926"/>
    <w:rsid w:val="4A42444F"/>
    <w:rsid w:val="4A473AC0"/>
    <w:rsid w:val="4A49780E"/>
    <w:rsid w:val="4A642207"/>
    <w:rsid w:val="4A7C7F8F"/>
    <w:rsid w:val="4A9C3992"/>
    <w:rsid w:val="4AA50D50"/>
    <w:rsid w:val="4ACB34E4"/>
    <w:rsid w:val="4ADD514D"/>
    <w:rsid w:val="4AE03433"/>
    <w:rsid w:val="4AE235D1"/>
    <w:rsid w:val="4AF35B9A"/>
    <w:rsid w:val="4AF94389"/>
    <w:rsid w:val="4AFF1B0B"/>
    <w:rsid w:val="4B15206C"/>
    <w:rsid w:val="4BCD3D4C"/>
    <w:rsid w:val="4BD37849"/>
    <w:rsid w:val="4BDE20BC"/>
    <w:rsid w:val="4C4D4E87"/>
    <w:rsid w:val="4C5A55C7"/>
    <w:rsid w:val="4C8668CB"/>
    <w:rsid w:val="4C9D0CF4"/>
    <w:rsid w:val="4CC2216C"/>
    <w:rsid w:val="4CF43948"/>
    <w:rsid w:val="4D4B2F88"/>
    <w:rsid w:val="4D7367E0"/>
    <w:rsid w:val="4DB62832"/>
    <w:rsid w:val="4DCB6A8C"/>
    <w:rsid w:val="4DFC67D6"/>
    <w:rsid w:val="4E4F2DA9"/>
    <w:rsid w:val="4E5370E8"/>
    <w:rsid w:val="4E6C78E5"/>
    <w:rsid w:val="4E88094B"/>
    <w:rsid w:val="4E90333A"/>
    <w:rsid w:val="4EB17794"/>
    <w:rsid w:val="4EB4110F"/>
    <w:rsid w:val="4EE2728B"/>
    <w:rsid w:val="4EE74947"/>
    <w:rsid w:val="4EF14FE4"/>
    <w:rsid w:val="4F3526FA"/>
    <w:rsid w:val="4F4E1791"/>
    <w:rsid w:val="4F665D03"/>
    <w:rsid w:val="4F6C4459"/>
    <w:rsid w:val="4F75633D"/>
    <w:rsid w:val="4F756840"/>
    <w:rsid w:val="4FA9023A"/>
    <w:rsid w:val="4FDC241B"/>
    <w:rsid w:val="4FF41947"/>
    <w:rsid w:val="500B7EA2"/>
    <w:rsid w:val="503B7E59"/>
    <w:rsid w:val="503E4E84"/>
    <w:rsid w:val="5057019F"/>
    <w:rsid w:val="50650662"/>
    <w:rsid w:val="506B5DB0"/>
    <w:rsid w:val="506D7F24"/>
    <w:rsid w:val="509A57EA"/>
    <w:rsid w:val="509D05C4"/>
    <w:rsid w:val="50A638B9"/>
    <w:rsid w:val="50DD1205"/>
    <w:rsid w:val="50F66621"/>
    <w:rsid w:val="513F516F"/>
    <w:rsid w:val="515D0AE0"/>
    <w:rsid w:val="516A50E8"/>
    <w:rsid w:val="51B11DEA"/>
    <w:rsid w:val="5264443D"/>
    <w:rsid w:val="52A96A42"/>
    <w:rsid w:val="52E42074"/>
    <w:rsid w:val="52E57838"/>
    <w:rsid w:val="533A1C0F"/>
    <w:rsid w:val="53537A59"/>
    <w:rsid w:val="535421F8"/>
    <w:rsid w:val="535E583D"/>
    <w:rsid w:val="537D2167"/>
    <w:rsid w:val="53826A19"/>
    <w:rsid w:val="53F475A6"/>
    <w:rsid w:val="53FD6E04"/>
    <w:rsid w:val="54006F56"/>
    <w:rsid w:val="54130738"/>
    <w:rsid w:val="541F6D7A"/>
    <w:rsid w:val="547804BD"/>
    <w:rsid w:val="547A6D00"/>
    <w:rsid w:val="547F5A6B"/>
    <w:rsid w:val="54834037"/>
    <w:rsid w:val="54DA0EF3"/>
    <w:rsid w:val="54E62E5E"/>
    <w:rsid w:val="54FE5F43"/>
    <w:rsid w:val="551179C2"/>
    <w:rsid w:val="55445BD9"/>
    <w:rsid w:val="55603AEE"/>
    <w:rsid w:val="556A3FF8"/>
    <w:rsid w:val="558B3FFA"/>
    <w:rsid w:val="55C20305"/>
    <w:rsid w:val="55F71BCD"/>
    <w:rsid w:val="56461469"/>
    <w:rsid w:val="56891F7D"/>
    <w:rsid w:val="568B723D"/>
    <w:rsid w:val="56C41E5B"/>
    <w:rsid w:val="56CC7EC6"/>
    <w:rsid w:val="56CF2CD9"/>
    <w:rsid w:val="56FF2E93"/>
    <w:rsid w:val="57004BF9"/>
    <w:rsid w:val="57182211"/>
    <w:rsid w:val="57212B95"/>
    <w:rsid w:val="572E5274"/>
    <w:rsid w:val="57360568"/>
    <w:rsid w:val="57527466"/>
    <w:rsid w:val="57552BC8"/>
    <w:rsid w:val="57F347A6"/>
    <w:rsid w:val="57F8000E"/>
    <w:rsid w:val="57FD4313"/>
    <w:rsid w:val="583B1E66"/>
    <w:rsid w:val="58550366"/>
    <w:rsid w:val="58710D0E"/>
    <w:rsid w:val="58764F47"/>
    <w:rsid w:val="587A7E7B"/>
    <w:rsid w:val="58A2694D"/>
    <w:rsid w:val="58B17165"/>
    <w:rsid w:val="593A6404"/>
    <w:rsid w:val="593F3A1A"/>
    <w:rsid w:val="59414BC8"/>
    <w:rsid w:val="594C1C33"/>
    <w:rsid w:val="59622AE1"/>
    <w:rsid w:val="599441A2"/>
    <w:rsid w:val="59A85A64"/>
    <w:rsid w:val="59BA481A"/>
    <w:rsid w:val="59BE1569"/>
    <w:rsid w:val="5A255189"/>
    <w:rsid w:val="5A4730FA"/>
    <w:rsid w:val="5A5A0B0C"/>
    <w:rsid w:val="5A6B0F6B"/>
    <w:rsid w:val="5A9D30EE"/>
    <w:rsid w:val="5AB346C0"/>
    <w:rsid w:val="5ABA15AB"/>
    <w:rsid w:val="5AD85CC7"/>
    <w:rsid w:val="5AF967B6"/>
    <w:rsid w:val="5B1038C0"/>
    <w:rsid w:val="5B1C44F3"/>
    <w:rsid w:val="5B432757"/>
    <w:rsid w:val="5B514A88"/>
    <w:rsid w:val="5B5E7A47"/>
    <w:rsid w:val="5B876C81"/>
    <w:rsid w:val="5BD07B07"/>
    <w:rsid w:val="5BD15191"/>
    <w:rsid w:val="5BD743DE"/>
    <w:rsid w:val="5BDE0299"/>
    <w:rsid w:val="5BE70A07"/>
    <w:rsid w:val="5BF1683C"/>
    <w:rsid w:val="5C242774"/>
    <w:rsid w:val="5C4330EC"/>
    <w:rsid w:val="5C5D3ABD"/>
    <w:rsid w:val="5C831C73"/>
    <w:rsid w:val="5CAC13C7"/>
    <w:rsid w:val="5CBB4565"/>
    <w:rsid w:val="5D036F9A"/>
    <w:rsid w:val="5D2A024C"/>
    <w:rsid w:val="5D526412"/>
    <w:rsid w:val="5D526831"/>
    <w:rsid w:val="5D6677C8"/>
    <w:rsid w:val="5D72616D"/>
    <w:rsid w:val="5D764216"/>
    <w:rsid w:val="5DB527BD"/>
    <w:rsid w:val="5DD00244"/>
    <w:rsid w:val="5DF748C4"/>
    <w:rsid w:val="5E067FE9"/>
    <w:rsid w:val="5E2749FB"/>
    <w:rsid w:val="5E3A3C2C"/>
    <w:rsid w:val="5E4E415F"/>
    <w:rsid w:val="5E7E0871"/>
    <w:rsid w:val="5E7E1DD8"/>
    <w:rsid w:val="5EAC2FFF"/>
    <w:rsid w:val="5EBE1510"/>
    <w:rsid w:val="5EC03D05"/>
    <w:rsid w:val="5ED46FEC"/>
    <w:rsid w:val="5ED526F5"/>
    <w:rsid w:val="5EE24F84"/>
    <w:rsid w:val="5F0968D9"/>
    <w:rsid w:val="5F3476C8"/>
    <w:rsid w:val="5F3A558E"/>
    <w:rsid w:val="5F63244C"/>
    <w:rsid w:val="5F6441DB"/>
    <w:rsid w:val="5F646CB8"/>
    <w:rsid w:val="5F76718E"/>
    <w:rsid w:val="5F874824"/>
    <w:rsid w:val="5FA1305A"/>
    <w:rsid w:val="5FAB3BB8"/>
    <w:rsid w:val="5FB15BD0"/>
    <w:rsid w:val="5FC353A5"/>
    <w:rsid w:val="5FD76A12"/>
    <w:rsid w:val="6014175D"/>
    <w:rsid w:val="6069189A"/>
    <w:rsid w:val="606C3419"/>
    <w:rsid w:val="60840A34"/>
    <w:rsid w:val="60C34ECD"/>
    <w:rsid w:val="60C908D3"/>
    <w:rsid w:val="60E037AB"/>
    <w:rsid w:val="60F22B08"/>
    <w:rsid w:val="61034A38"/>
    <w:rsid w:val="61063914"/>
    <w:rsid w:val="610B4254"/>
    <w:rsid w:val="610D0383"/>
    <w:rsid w:val="61167757"/>
    <w:rsid w:val="611A77B0"/>
    <w:rsid w:val="6122434D"/>
    <w:rsid w:val="615E5992"/>
    <w:rsid w:val="61824E5C"/>
    <w:rsid w:val="61A81FA9"/>
    <w:rsid w:val="61D63568"/>
    <w:rsid w:val="61D75138"/>
    <w:rsid w:val="61E87D1B"/>
    <w:rsid w:val="620A3D16"/>
    <w:rsid w:val="62172E25"/>
    <w:rsid w:val="623C290D"/>
    <w:rsid w:val="623C4F9B"/>
    <w:rsid w:val="623F6DF9"/>
    <w:rsid w:val="62502FAC"/>
    <w:rsid w:val="6295542A"/>
    <w:rsid w:val="629B51AB"/>
    <w:rsid w:val="629D3C8C"/>
    <w:rsid w:val="62AC30A7"/>
    <w:rsid w:val="62F30C4D"/>
    <w:rsid w:val="63640AD8"/>
    <w:rsid w:val="63672AD2"/>
    <w:rsid w:val="6368016D"/>
    <w:rsid w:val="639C7912"/>
    <w:rsid w:val="63E5654B"/>
    <w:rsid w:val="640D6206"/>
    <w:rsid w:val="64361EE4"/>
    <w:rsid w:val="643B19AE"/>
    <w:rsid w:val="647E2B97"/>
    <w:rsid w:val="64A07281"/>
    <w:rsid w:val="64DD613C"/>
    <w:rsid w:val="64E47E41"/>
    <w:rsid w:val="64FA3A2E"/>
    <w:rsid w:val="64FC55D6"/>
    <w:rsid w:val="64FF0A2F"/>
    <w:rsid w:val="65396842"/>
    <w:rsid w:val="65414E39"/>
    <w:rsid w:val="65574617"/>
    <w:rsid w:val="655820EC"/>
    <w:rsid w:val="655D2C5A"/>
    <w:rsid w:val="65725F92"/>
    <w:rsid w:val="657F1BC3"/>
    <w:rsid w:val="658074C8"/>
    <w:rsid w:val="65907AD8"/>
    <w:rsid w:val="659B5C89"/>
    <w:rsid w:val="65AE1260"/>
    <w:rsid w:val="65C63A09"/>
    <w:rsid w:val="65E246FB"/>
    <w:rsid w:val="66006F50"/>
    <w:rsid w:val="6627269B"/>
    <w:rsid w:val="66556532"/>
    <w:rsid w:val="66790C73"/>
    <w:rsid w:val="6693550B"/>
    <w:rsid w:val="66B04A92"/>
    <w:rsid w:val="66E70059"/>
    <w:rsid w:val="67346B89"/>
    <w:rsid w:val="67505C4C"/>
    <w:rsid w:val="67694C5E"/>
    <w:rsid w:val="676F2E0B"/>
    <w:rsid w:val="677920C5"/>
    <w:rsid w:val="67EC0641"/>
    <w:rsid w:val="67ED1F99"/>
    <w:rsid w:val="67F16D38"/>
    <w:rsid w:val="67F53B1D"/>
    <w:rsid w:val="67FC2632"/>
    <w:rsid w:val="67FC4FEA"/>
    <w:rsid w:val="68016A6B"/>
    <w:rsid w:val="680F058D"/>
    <w:rsid w:val="682C0D62"/>
    <w:rsid w:val="68524288"/>
    <w:rsid w:val="6852735E"/>
    <w:rsid w:val="68EB0D59"/>
    <w:rsid w:val="690B51B9"/>
    <w:rsid w:val="690B73F7"/>
    <w:rsid w:val="69171787"/>
    <w:rsid w:val="692B64DE"/>
    <w:rsid w:val="694C08C3"/>
    <w:rsid w:val="69594E76"/>
    <w:rsid w:val="695A0EC4"/>
    <w:rsid w:val="695E7070"/>
    <w:rsid w:val="698544C9"/>
    <w:rsid w:val="69D00EF1"/>
    <w:rsid w:val="69E113F6"/>
    <w:rsid w:val="6A34211E"/>
    <w:rsid w:val="6A3957B0"/>
    <w:rsid w:val="6A444B62"/>
    <w:rsid w:val="6A5621A9"/>
    <w:rsid w:val="6A8D061C"/>
    <w:rsid w:val="6AD00976"/>
    <w:rsid w:val="6ADC1DCC"/>
    <w:rsid w:val="6AEE1328"/>
    <w:rsid w:val="6B040620"/>
    <w:rsid w:val="6B0D2E65"/>
    <w:rsid w:val="6B2667E8"/>
    <w:rsid w:val="6B2A277C"/>
    <w:rsid w:val="6B491AE3"/>
    <w:rsid w:val="6B542067"/>
    <w:rsid w:val="6B80287A"/>
    <w:rsid w:val="6B817170"/>
    <w:rsid w:val="6BA22313"/>
    <w:rsid w:val="6BB55E5C"/>
    <w:rsid w:val="6C413741"/>
    <w:rsid w:val="6C9440E6"/>
    <w:rsid w:val="6CA13246"/>
    <w:rsid w:val="6CBD5312"/>
    <w:rsid w:val="6CBE35F6"/>
    <w:rsid w:val="6CE16E6B"/>
    <w:rsid w:val="6D2064EA"/>
    <w:rsid w:val="6D64021D"/>
    <w:rsid w:val="6D8E0FD5"/>
    <w:rsid w:val="6D933714"/>
    <w:rsid w:val="6DB77697"/>
    <w:rsid w:val="6DD1348F"/>
    <w:rsid w:val="6DDB19AD"/>
    <w:rsid w:val="6DDD4DB0"/>
    <w:rsid w:val="6DFB216A"/>
    <w:rsid w:val="6E13574A"/>
    <w:rsid w:val="6E245261"/>
    <w:rsid w:val="6E281365"/>
    <w:rsid w:val="6E685168"/>
    <w:rsid w:val="6E784501"/>
    <w:rsid w:val="6E961512"/>
    <w:rsid w:val="6EBB5B9E"/>
    <w:rsid w:val="6EC8198D"/>
    <w:rsid w:val="6EE3511C"/>
    <w:rsid w:val="6EEB2223"/>
    <w:rsid w:val="6F010B22"/>
    <w:rsid w:val="6F173018"/>
    <w:rsid w:val="6F1A468A"/>
    <w:rsid w:val="6F337B84"/>
    <w:rsid w:val="6F3F60CB"/>
    <w:rsid w:val="6F43357F"/>
    <w:rsid w:val="6F6F59D5"/>
    <w:rsid w:val="6F8142E5"/>
    <w:rsid w:val="6FBF1575"/>
    <w:rsid w:val="6FD66A2F"/>
    <w:rsid w:val="6FFA4A79"/>
    <w:rsid w:val="70022762"/>
    <w:rsid w:val="70432686"/>
    <w:rsid w:val="70944D11"/>
    <w:rsid w:val="70A46529"/>
    <w:rsid w:val="70A771A6"/>
    <w:rsid w:val="70A857DC"/>
    <w:rsid w:val="70F10A19"/>
    <w:rsid w:val="71072C18"/>
    <w:rsid w:val="711E1E4B"/>
    <w:rsid w:val="71314DB8"/>
    <w:rsid w:val="713F2A2B"/>
    <w:rsid w:val="71524DCB"/>
    <w:rsid w:val="716A5681"/>
    <w:rsid w:val="718F2605"/>
    <w:rsid w:val="71A37B39"/>
    <w:rsid w:val="71FE52CE"/>
    <w:rsid w:val="72190AC4"/>
    <w:rsid w:val="7241371E"/>
    <w:rsid w:val="72470BEC"/>
    <w:rsid w:val="727C248C"/>
    <w:rsid w:val="72927AE7"/>
    <w:rsid w:val="72A82F95"/>
    <w:rsid w:val="72B02137"/>
    <w:rsid w:val="72B96622"/>
    <w:rsid w:val="72BC0AAF"/>
    <w:rsid w:val="72C07522"/>
    <w:rsid w:val="73134981"/>
    <w:rsid w:val="731B027F"/>
    <w:rsid w:val="733D2946"/>
    <w:rsid w:val="7345528C"/>
    <w:rsid w:val="73542EDC"/>
    <w:rsid w:val="7367532B"/>
    <w:rsid w:val="73907D5F"/>
    <w:rsid w:val="73C0127B"/>
    <w:rsid w:val="73CB1AEB"/>
    <w:rsid w:val="73DC038C"/>
    <w:rsid w:val="73EF2BAE"/>
    <w:rsid w:val="73FA4A9D"/>
    <w:rsid w:val="743714FB"/>
    <w:rsid w:val="7439085E"/>
    <w:rsid w:val="74880120"/>
    <w:rsid w:val="748A7E1A"/>
    <w:rsid w:val="74EF0E42"/>
    <w:rsid w:val="74F03F49"/>
    <w:rsid w:val="750F518A"/>
    <w:rsid w:val="751433E2"/>
    <w:rsid w:val="752D5280"/>
    <w:rsid w:val="754316AF"/>
    <w:rsid w:val="756568C4"/>
    <w:rsid w:val="75F41761"/>
    <w:rsid w:val="75F54A25"/>
    <w:rsid w:val="761261C6"/>
    <w:rsid w:val="7625426C"/>
    <w:rsid w:val="762F7D58"/>
    <w:rsid w:val="766052A4"/>
    <w:rsid w:val="76852F5D"/>
    <w:rsid w:val="76870A83"/>
    <w:rsid w:val="76C53359"/>
    <w:rsid w:val="76CA4E14"/>
    <w:rsid w:val="76DC3885"/>
    <w:rsid w:val="76DF550A"/>
    <w:rsid w:val="76E97F1E"/>
    <w:rsid w:val="770A460E"/>
    <w:rsid w:val="773372C0"/>
    <w:rsid w:val="77497FDE"/>
    <w:rsid w:val="7778003E"/>
    <w:rsid w:val="779D6F26"/>
    <w:rsid w:val="77D47CF8"/>
    <w:rsid w:val="77DF6AD2"/>
    <w:rsid w:val="77F2017E"/>
    <w:rsid w:val="780954C8"/>
    <w:rsid w:val="78142A33"/>
    <w:rsid w:val="78254631"/>
    <w:rsid w:val="783D09B5"/>
    <w:rsid w:val="784B4BDC"/>
    <w:rsid w:val="785F205D"/>
    <w:rsid w:val="787014DF"/>
    <w:rsid w:val="7892370F"/>
    <w:rsid w:val="790D1953"/>
    <w:rsid w:val="797E3B2A"/>
    <w:rsid w:val="79A73093"/>
    <w:rsid w:val="7A0568BE"/>
    <w:rsid w:val="7A0B5527"/>
    <w:rsid w:val="7A0E0CC9"/>
    <w:rsid w:val="7A2B3505"/>
    <w:rsid w:val="7A716CBC"/>
    <w:rsid w:val="7A7350E8"/>
    <w:rsid w:val="7AB27881"/>
    <w:rsid w:val="7AC04656"/>
    <w:rsid w:val="7AC8338F"/>
    <w:rsid w:val="7ADE4D99"/>
    <w:rsid w:val="7ADF5D39"/>
    <w:rsid w:val="7AF34939"/>
    <w:rsid w:val="7AFE32DE"/>
    <w:rsid w:val="7B330D36"/>
    <w:rsid w:val="7B5D1DB2"/>
    <w:rsid w:val="7B7F1D83"/>
    <w:rsid w:val="7BBC6686"/>
    <w:rsid w:val="7BC04240"/>
    <w:rsid w:val="7BDE140A"/>
    <w:rsid w:val="7BE26BF7"/>
    <w:rsid w:val="7C0F7305"/>
    <w:rsid w:val="7C171FF4"/>
    <w:rsid w:val="7C1D391E"/>
    <w:rsid w:val="7C2576DD"/>
    <w:rsid w:val="7C33293B"/>
    <w:rsid w:val="7C9B6FAA"/>
    <w:rsid w:val="7CA51C63"/>
    <w:rsid w:val="7CAE708C"/>
    <w:rsid w:val="7CB63742"/>
    <w:rsid w:val="7CBE5277"/>
    <w:rsid w:val="7CC04CEF"/>
    <w:rsid w:val="7CC37EA5"/>
    <w:rsid w:val="7D1376E8"/>
    <w:rsid w:val="7D762E87"/>
    <w:rsid w:val="7D871368"/>
    <w:rsid w:val="7DB87774"/>
    <w:rsid w:val="7E2117BD"/>
    <w:rsid w:val="7E2343CF"/>
    <w:rsid w:val="7E320591"/>
    <w:rsid w:val="7E4322D7"/>
    <w:rsid w:val="7E5D2D91"/>
    <w:rsid w:val="7E6A69FB"/>
    <w:rsid w:val="7E8F7DEE"/>
    <w:rsid w:val="7E931112"/>
    <w:rsid w:val="7E9F66BA"/>
    <w:rsid w:val="7ED55B0E"/>
    <w:rsid w:val="7EEF18BB"/>
    <w:rsid w:val="7F280929"/>
    <w:rsid w:val="7F314C43"/>
    <w:rsid w:val="7F761695"/>
    <w:rsid w:val="7F7A1B6B"/>
    <w:rsid w:val="7F852AE8"/>
    <w:rsid w:val="7F9164CE"/>
    <w:rsid w:val="7FBA3C77"/>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2"/>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8"/>
    <w:qFormat/>
    <w:uiPriority w:val="0"/>
    <w:pPr>
      <w:keepNext/>
      <w:keepLines/>
      <w:spacing w:before="260" w:after="260" w:line="416" w:lineRule="auto"/>
      <w:outlineLvl w:val="2"/>
    </w:pPr>
    <w:rPr>
      <w:b/>
      <w:bCs/>
      <w:sz w:val="32"/>
      <w:szCs w:val="32"/>
    </w:rPr>
  </w:style>
  <w:style w:type="paragraph" w:styleId="5">
    <w:name w:val="heading 4"/>
    <w:basedOn w:val="1"/>
    <w:next w:val="1"/>
    <w:link w:val="339"/>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90"/>
    <w:qFormat/>
    <w:uiPriority w:val="0"/>
    <w:pPr>
      <w:keepNext/>
      <w:keepLines/>
      <w:spacing w:before="280" w:after="290" w:line="372" w:lineRule="auto"/>
      <w:outlineLvl w:val="4"/>
    </w:pPr>
    <w:rPr>
      <w:b/>
      <w:bCs/>
      <w:sz w:val="28"/>
      <w:szCs w:val="28"/>
    </w:rPr>
  </w:style>
  <w:style w:type="paragraph" w:styleId="7">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5"/>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88"/>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Normal Indent"/>
    <w:basedOn w:val="1"/>
    <w:link w:val="149"/>
    <w:qFormat/>
    <w:uiPriority w:val="0"/>
    <w:pPr>
      <w:ind w:firstLine="420"/>
    </w:pPr>
    <w:rPr>
      <w:szCs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366"/>
    <w:qFormat/>
    <w:uiPriority w:val="99"/>
    <w:pPr>
      <w:shd w:val="clear" w:color="auto" w:fill="000080"/>
    </w:pPr>
  </w:style>
  <w:style w:type="paragraph" w:styleId="16">
    <w:name w:val="toa heading"/>
    <w:basedOn w:val="1"/>
    <w:next w:val="1"/>
    <w:qFormat/>
    <w:uiPriority w:val="0"/>
    <w:pPr>
      <w:spacing w:before="120"/>
    </w:pPr>
    <w:rPr>
      <w:rFonts w:ascii="Arial" w:hAnsi="Arial" w:cs="Arial"/>
      <w:sz w:val="24"/>
    </w:rPr>
  </w:style>
  <w:style w:type="paragraph" w:styleId="17">
    <w:name w:val="annotation text"/>
    <w:basedOn w:val="1"/>
    <w:link w:val="323"/>
    <w:qFormat/>
    <w:uiPriority w:val="99"/>
    <w:pPr>
      <w:jc w:val="left"/>
    </w:pPr>
  </w:style>
  <w:style w:type="paragraph" w:styleId="18">
    <w:name w:val="Body Text 3"/>
    <w:basedOn w:val="1"/>
    <w:link w:val="67"/>
    <w:qFormat/>
    <w:uiPriority w:val="99"/>
    <w:pPr>
      <w:spacing w:after="120"/>
    </w:pPr>
    <w:rPr>
      <w:sz w:val="16"/>
      <w:szCs w:val="16"/>
    </w:rPr>
  </w:style>
  <w:style w:type="paragraph" w:styleId="19">
    <w:name w:val="Body Text"/>
    <w:basedOn w:val="1"/>
    <w:next w:val="20"/>
    <w:link w:val="481"/>
    <w:qFormat/>
    <w:uiPriority w:val="99"/>
    <w:pPr>
      <w:spacing w:after="120"/>
    </w:pPr>
    <w:rPr>
      <w:sz w:val="24"/>
    </w:rPr>
  </w:style>
  <w:style w:type="paragraph" w:customStyle="1" w:styleId="20">
    <w:name w:val="Default"/>
    <w:next w:val="21"/>
    <w:link w:val="206"/>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1">
    <w:name w:val="大标题"/>
    <w:basedOn w:val="22"/>
    <w:next w:val="23"/>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styleId="22">
    <w:name w:val="Title"/>
    <w:basedOn w:val="1"/>
    <w:next w:val="1"/>
    <w:link w:val="69"/>
    <w:qFormat/>
    <w:uiPriority w:val="99"/>
    <w:pPr>
      <w:spacing w:before="240" w:after="60"/>
      <w:jc w:val="center"/>
      <w:outlineLvl w:val="0"/>
    </w:pPr>
    <w:rPr>
      <w:rFonts w:ascii="Cambria" w:hAnsi="Cambria" w:eastAsia="方正小标宋简体"/>
      <w:b/>
      <w:bCs/>
      <w:sz w:val="32"/>
      <w:szCs w:val="32"/>
    </w:rPr>
  </w:style>
  <w:style w:type="paragraph" w:styleId="23">
    <w:name w:val="Body Text First Indent 2"/>
    <w:basedOn w:val="24"/>
    <w:next w:val="1"/>
    <w:link w:val="222"/>
    <w:qFormat/>
    <w:uiPriority w:val="0"/>
    <w:pPr>
      <w:spacing w:after="120"/>
      <w:ind w:left="420" w:leftChars="200" w:firstLine="420" w:firstLineChars="200"/>
    </w:pPr>
    <w:rPr>
      <w:rFonts w:ascii="Calibri" w:hAnsi="Calibri"/>
      <w:kern w:val="2"/>
      <w:sz w:val="21"/>
      <w:szCs w:val="24"/>
    </w:rPr>
  </w:style>
  <w:style w:type="paragraph" w:styleId="24">
    <w:name w:val="Body Text Indent"/>
    <w:basedOn w:val="1"/>
    <w:next w:val="25"/>
    <w:link w:val="121"/>
    <w:qFormat/>
    <w:uiPriority w:val="99"/>
    <w:pPr>
      <w:ind w:firstLine="830" w:firstLineChars="352"/>
    </w:pPr>
    <w:rPr>
      <w:rFonts w:ascii="仿宋_GB2312" w:eastAsia="仿宋_GB2312"/>
      <w:kern w:val="0"/>
      <w:sz w:val="32"/>
      <w:szCs w:val="32"/>
    </w:rPr>
  </w:style>
  <w:style w:type="paragraph" w:styleId="25">
    <w:name w:val="envelope return"/>
    <w:basedOn w:val="1"/>
    <w:qFormat/>
    <w:uiPriority w:val="0"/>
    <w:pPr>
      <w:snapToGrid w:val="0"/>
      <w:spacing w:line="360" w:lineRule="auto"/>
      <w:ind w:firstLine="200" w:firstLineChars="200"/>
    </w:pPr>
    <w:rPr>
      <w:rFonts w:ascii="Arial" w:hAnsi="Arial" w:cs="Arial"/>
      <w:sz w:val="24"/>
    </w:rPr>
  </w:style>
  <w:style w:type="paragraph" w:styleId="26">
    <w:name w:val="List 2"/>
    <w:basedOn w:val="1"/>
    <w:qFormat/>
    <w:uiPriority w:val="0"/>
    <w:pPr>
      <w:ind w:left="100" w:leftChars="200" w:hanging="200" w:hangingChars="200"/>
    </w:pPr>
  </w:style>
  <w:style w:type="paragraph" w:styleId="27">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8">
    <w:name w:val="index 4"/>
    <w:basedOn w:val="1"/>
    <w:next w:val="1"/>
    <w:qFormat/>
    <w:uiPriority w:val="0"/>
    <w:pPr>
      <w:ind w:left="600" w:leftChars="600"/>
    </w:pPr>
  </w:style>
  <w:style w:type="paragraph" w:styleId="29">
    <w:name w:val="toc 5"/>
    <w:basedOn w:val="1"/>
    <w:next w:val="1"/>
    <w:qFormat/>
    <w:uiPriority w:val="39"/>
    <w:pPr>
      <w:ind w:left="1680" w:leftChars="800"/>
    </w:pPr>
  </w:style>
  <w:style w:type="paragraph" w:styleId="30">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31">
    <w:name w:val="Plain Text"/>
    <w:basedOn w:val="1"/>
    <w:next w:val="1"/>
    <w:link w:val="443"/>
    <w:qFormat/>
    <w:uiPriority w:val="0"/>
    <w:rPr>
      <w:rFonts w:ascii="宋体" w:hAnsi="Courier New"/>
      <w:kern w:val="0"/>
      <w:szCs w:val="21"/>
    </w:rPr>
  </w:style>
  <w:style w:type="paragraph" w:styleId="32">
    <w:name w:val="toc 8"/>
    <w:basedOn w:val="1"/>
    <w:next w:val="1"/>
    <w:qFormat/>
    <w:uiPriority w:val="39"/>
    <w:pPr>
      <w:ind w:left="1470"/>
      <w:jc w:val="left"/>
    </w:pPr>
    <w:rPr>
      <w:sz w:val="18"/>
      <w:szCs w:val="18"/>
    </w:rPr>
  </w:style>
  <w:style w:type="paragraph" w:styleId="33">
    <w:name w:val="Date"/>
    <w:basedOn w:val="1"/>
    <w:next w:val="1"/>
    <w:link w:val="148"/>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34">
    <w:name w:val="Body Text Indent 2"/>
    <w:basedOn w:val="1"/>
    <w:link w:val="260"/>
    <w:qFormat/>
    <w:uiPriority w:val="99"/>
    <w:pPr>
      <w:spacing w:after="120" w:line="480" w:lineRule="auto"/>
      <w:ind w:left="420" w:leftChars="200"/>
    </w:pPr>
    <w:rPr>
      <w:kern w:val="0"/>
      <w:sz w:val="24"/>
    </w:rPr>
  </w:style>
  <w:style w:type="paragraph" w:styleId="35">
    <w:name w:val="Balloon Text"/>
    <w:basedOn w:val="1"/>
    <w:link w:val="267"/>
    <w:qFormat/>
    <w:uiPriority w:val="99"/>
    <w:rPr>
      <w:sz w:val="18"/>
      <w:szCs w:val="18"/>
    </w:rPr>
  </w:style>
  <w:style w:type="paragraph" w:styleId="36">
    <w:name w:val="footer"/>
    <w:basedOn w:val="1"/>
    <w:link w:val="147"/>
    <w:qFormat/>
    <w:uiPriority w:val="99"/>
    <w:pPr>
      <w:tabs>
        <w:tab w:val="center" w:pos="4153"/>
        <w:tab w:val="right" w:pos="8306"/>
      </w:tabs>
      <w:snapToGrid w:val="0"/>
      <w:jc w:val="left"/>
    </w:pPr>
    <w:rPr>
      <w:sz w:val="18"/>
      <w:szCs w:val="18"/>
    </w:rPr>
  </w:style>
  <w:style w:type="paragraph" w:styleId="37">
    <w:name w:val="header"/>
    <w:basedOn w:val="1"/>
    <w:link w:val="125"/>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pPr>
      <w:tabs>
        <w:tab w:val="right" w:leader="dot" w:pos="8834"/>
      </w:tabs>
      <w:spacing w:before="120" w:after="120"/>
      <w:jc w:val="left"/>
    </w:pPr>
    <w:rPr>
      <w:b/>
      <w:bCs/>
      <w:caps/>
      <w:sz w:val="28"/>
      <w:szCs w:val="28"/>
    </w:rPr>
  </w:style>
  <w:style w:type="paragraph" w:styleId="39">
    <w:name w:val="toc 4"/>
    <w:basedOn w:val="1"/>
    <w:next w:val="1"/>
    <w:qFormat/>
    <w:uiPriority w:val="39"/>
    <w:pPr>
      <w:ind w:left="630"/>
      <w:jc w:val="left"/>
    </w:pPr>
    <w:rPr>
      <w:sz w:val="18"/>
      <w:szCs w:val="18"/>
    </w:rPr>
  </w:style>
  <w:style w:type="paragraph" w:styleId="40">
    <w:name w:val="Subtitle"/>
    <w:basedOn w:val="1"/>
    <w:next w:val="1"/>
    <w:link w:val="217"/>
    <w:qFormat/>
    <w:uiPriority w:val="11"/>
    <w:pPr>
      <w:spacing w:before="240" w:after="60" w:line="312" w:lineRule="auto"/>
      <w:jc w:val="center"/>
      <w:outlineLvl w:val="1"/>
    </w:pPr>
    <w:rPr>
      <w:rFonts w:ascii="Cambria" w:hAnsi="Cambria" w:eastAsia="方正楷体简体"/>
      <w:kern w:val="28"/>
      <w:sz w:val="32"/>
      <w:szCs w:val="32"/>
    </w:rPr>
  </w:style>
  <w:style w:type="paragraph" w:styleId="41">
    <w:name w:val="List"/>
    <w:basedOn w:val="1"/>
    <w:qFormat/>
    <w:uiPriority w:val="0"/>
    <w:pPr>
      <w:ind w:left="200" w:hanging="200" w:hangingChars="200"/>
    </w:pPr>
  </w:style>
  <w:style w:type="paragraph" w:styleId="42">
    <w:name w:val="footnote text"/>
    <w:basedOn w:val="1"/>
    <w:link w:val="368"/>
    <w:qFormat/>
    <w:uiPriority w:val="0"/>
    <w:rPr>
      <w:rFonts w:ascii="Calibri" w:hAnsi="Calibri"/>
      <w:szCs w:val="22"/>
    </w:rPr>
  </w:style>
  <w:style w:type="paragraph" w:styleId="43">
    <w:name w:val="toc 6"/>
    <w:basedOn w:val="1"/>
    <w:next w:val="1"/>
    <w:qFormat/>
    <w:uiPriority w:val="39"/>
    <w:pPr>
      <w:ind w:left="1050"/>
      <w:jc w:val="left"/>
    </w:pPr>
    <w:rPr>
      <w:sz w:val="18"/>
      <w:szCs w:val="18"/>
    </w:rPr>
  </w:style>
  <w:style w:type="paragraph" w:styleId="44">
    <w:name w:val="Body Text Indent 3"/>
    <w:basedOn w:val="1"/>
    <w:link w:val="136"/>
    <w:qFormat/>
    <w:uiPriority w:val="99"/>
    <w:pPr>
      <w:spacing w:after="120"/>
      <w:ind w:left="420" w:leftChars="200"/>
    </w:pPr>
    <w:rPr>
      <w:kern w:val="0"/>
      <w:sz w:val="16"/>
      <w:szCs w:val="16"/>
    </w:rPr>
  </w:style>
  <w:style w:type="paragraph" w:styleId="45">
    <w:name w:val="table of figures"/>
    <w:basedOn w:val="1"/>
    <w:next w:val="1"/>
    <w:qFormat/>
    <w:uiPriority w:val="0"/>
    <w:pPr>
      <w:ind w:left="200" w:leftChars="200" w:hanging="200" w:hangingChars="200"/>
    </w:pPr>
  </w:style>
  <w:style w:type="paragraph" w:styleId="46">
    <w:name w:val="toc 2"/>
    <w:basedOn w:val="1"/>
    <w:next w:val="1"/>
    <w:qFormat/>
    <w:uiPriority w:val="39"/>
    <w:pPr>
      <w:ind w:left="420" w:leftChars="200"/>
    </w:pPr>
    <w:rPr>
      <w:szCs w:val="21"/>
    </w:rPr>
  </w:style>
  <w:style w:type="paragraph" w:styleId="47">
    <w:name w:val="toc 9"/>
    <w:basedOn w:val="1"/>
    <w:next w:val="1"/>
    <w:qFormat/>
    <w:uiPriority w:val="39"/>
    <w:pPr>
      <w:ind w:left="1680"/>
      <w:jc w:val="left"/>
    </w:pPr>
    <w:rPr>
      <w:sz w:val="18"/>
      <w:szCs w:val="18"/>
    </w:rPr>
  </w:style>
  <w:style w:type="paragraph" w:styleId="48">
    <w:name w:val="Body Text 2"/>
    <w:basedOn w:val="1"/>
    <w:link w:val="462"/>
    <w:qFormat/>
    <w:uiPriority w:val="0"/>
    <w:pPr>
      <w:jc w:val="center"/>
    </w:pPr>
    <w:rPr>
      <w:rFonts w:ascii="Calibri" w:hAnsi="Calibri"/>
      <w:sz w:val="24"/>
      <w:szCs w:val="22"/>
    </w:rPr>
  </w:style>
  <w:style w:type="paragraph" w:styleId="49">
    <w:name w:val="List 4"/>
    <w:basedOn w:val="1"/>
    <w:qFormat/>
    <w:uiPriority w:val="0"/>
    <w:pPr>
      <w:ind w:left="100" w:leftChars="600" w:hanging="200" w:hangingChars="200"/>
    </w:pPr>
  </w:style>
  <w:style w:type="paragraph" w:styleId="50">
    <w:name w:val="List Continue 2"/>
    <w:basedOn w:val="1"/>
    <w:qFormat/>
    <w:uiPriority w:val="0"/>
    <w:pPr>
      <w:spacing w:after="120"/>
      <w:ind w:left="840" w:leftChars="400"/>
    </w:pPr>
  </w:style>
  <w:style w:type="paragraph" w:styleId="51">
    <w:name w:val="HTML Preformatted"/>
    <w:basedOn w:val="1"/>
    <w:link w:val="41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52">
    <w:name w:val="Normal (Web)"/>
    <w:basedOn w:val="1"/>
    <w:link w:val="498"/>
    <w:qFormat/>
    <w:uiPriority w:val="0"/>
    <w:pPr>
      <w:spacing w:before="100" w:beforeAutospacing="1" w:after="100" w:afterAutospacing="1"/>
    </w:pPr>
    <w:rPr>
      <w:rFonts w:ascii="宋体" w:hAnsi="宋体" w:cs="宋体"/>
      <w:sz w:val="24"/>
    </w:rPr>
  </w:style>
  <w:style w:type="paragraph" w:styleId="53">
    <w:name w:val="annotation subject"/>
    <w:basedOn w:val="17"/>
    <w:next w:val="17"/>
    <w:link w:val="461"/>
    <w:qFormat/>
    <w:uiPriority w:val="99"/>
    <w:rPr>
      <w:b/>
      <w:bCs/>
      <w:szCs w:val="21"/>
    </w:rPr>
  </w:style>
  <w:style w:type="paragraph" w:styleId="54">
    <w:name w:val="Body Text First Indent"/>
    <w:basedOn w:val="19"/>
    <w:link w:val="160"/>
    <w:qFormat/>
    <w:uiPriority w:val="99"/>
    <w:pPr>
      <w:spacing w:line="560" w:lineRule="exact"/>
      <w:ind w:firstLine="420" w:firstLineChars="100"/>
    </w:pPr>
    <w:rPr>
      <w:sz w:val="21"/>
      <w:szCs w:val="22"/>
    </w:rPr>
  </w:style>
  <w:style w:type="table" w:styleId="56">
    <w:name w:val="Table Grid"/>
    <w:basedOn w:val="5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8">
    <w:name w:val="Strong"/>
    <w:basedOn w:val="57"/>
    <w:qFormat/>
    <w:uiPriority w:val="22"/>
    <w:rPr>
      <w:b/>
      <w:bCs/>
    </w:rPr>
  </w:style>
  <w:style w:type="character" w:styleId="59">
    <w:name w:val="page number"/>
    <w:qFormat/>
    <w:uiPriority w:val="0"/>
  </w:style>
  <w:style w:type="character" w:styleId="60">
    <w:name w:val="FollowedHyperlink"/>
    <w:basedOn w:val="57"/>
    <w:qFormat/>
    <w:uiPriority w:val="99"/>
    <w:rPr>
      <w:color w:val="800080"/>
      <w:u w:val="none"/>
    </w:rPr>
  </w:style>
  <w:style w:type="character" w:styleId="61">
    <w:name w:val="Emphasis"/>
    <w:qFormat/>
    <w:uiPriority w:val="0"/>
    <w:rPr>
      <w:i/>
    </w:rPr>
  </w:style>
  <w:style w:type="character" w:styleId="62">
    <w:name w:val="Hyperlink"/>
    <w:basedOn w:val="57"/>
    <w:qFormat/>
    <w:uiPriority w:val="99"/>
    <w:rPr>
      <w:color w:val="0000FF"/>
      <w:u w:val="none"/>
    </w:rPr>
  </w:style>
  <w:style w:type="character" w:styleId="63">
    <w:name w:val="annotation reference"/>
    <w:qFormat/>
    <w:uiPriority w:val="0"/>
    <w:rPr>
      <w:sz w:val="21"/>
      <w:szCs w:val="21"/>
    </w:rPr>
  </w:style>
  <w:style w:type="character" w:styleId="64">
    <w:name w:val="footnote reference"/>
    <w:qFormat/>
    <w:uiPriority w:val="0"/>
    <w:rPr>
      <w:vertAlign w:val="superscript"/>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8"/>
    <w:qFormat/>
    <w:uiPriority w:val="0"/>
    <w:rPr>
      <w:b/>
      <w:bCs/>
      <w:sz w:val="24"/>
      <w:szCs w:val="24"/>
    </w:rPr>
  </w:style>
  <w:style w:type="character" w:customStyle="1" w:styleId="67">
    <w:name w:val="正文文本 3 Char2"/>
    <w:link w:val="18"/>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22"/>
    <w:qFormat/>
    <w:uiPriority w:val="10"/>
    <w:rPr>
      <w:rFonts w:ascii="Cambria" w:hAnsi="Cambria" w:eastAsia="方正小标宋简体"/>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99"/>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7"/>
    <w:next w:val="17"/>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3"/>
    <w:qFormat/>
    <w:uiPriority w:val="0"/>
    <w:pPr>
      <w:tabs>
        <w:tab w:val="left" w:pos="420"/>
      </w:tabs>
      <w:spacing w:line="360" w:lineRule="auto"/>
      <w:ind w:left="840" w:hanging="420"/>
    </w:pPr>
    <w:rPr>
      <w:szCs w:val="21"/>
    </w:rPr>
  </w:style>
  <w:style w:type="paragraph" w:customStyle="1" w:styleId="84">
    <w:name w:val="正文要点内容"/>
    <w:basedOn w:val="83"/>
    <w:link w:val="347"/>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5"/>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5"/>
    <w:qFormat/>
    <w:uiPriority w:val="0"/>
    <w:rPr>
      <w:rFonts w:ascii="Calibri" w:hAnsi="Calibri"/>
      <w:szCs w:val="22"/>
    </w:rPr>
  </w:style>
  <w:style w:type="paragraph" w:customStyle="1" w:styleId="90">
    <w:name w:val="Blockquote"/>
    <w:basedOn w:val="1"/>
    <w:link w:val="239"/>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5"/>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7"/>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4"/>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7"/>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8"/>
    <w:link w:val="232"/>
    <w:qFormat/>
    <w:uiPriority w:val="99"/>
    <w:pPr>
      <w:spacing w:line="413" w:lineRule="auto"/>
    </w:pPr>
  </w:style>
  <w:style w:type="paragraph" w:customStyle="1" w:styleId="134">
    <w:name w:val="xl39"/>
    <w:link w:val="289"/>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4"/>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2"/>
    <w:next w:val="1"/>
    <w:qFormat/>
    <w:uiPriority w:val="0"/>
    <w:pPr>
      <w:spacing w:line="576" w:lineRule="auto"/>
      <w:jc w:val="center"/>
      <w:outlineLvl w:val="9"/>
    </w:pPr>
    <w:rPr>
      <w:rFonts w:ascii="Calibri" w:hAnsi="Calibri"/>
    </w:rPr>
  </w:style>
  <w:style w:type="character" w:customStyle="1" w:styleId="144">
    <w:name w:val="批注主题 Char"/>
    <w:qFormat/>
    <w:locked/>
    <w:uiPriority w:val="99"/>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6"/>
    <w:qFormat/>
    <w:uiPriority w:val="99"/>
    <w:rPr>
      <w:kern w:val="2"/>
      <w:sz w:val="18"/>
      <w:szCs w:val="18"/>
    </w:rPr>
  </w:style>
  <w:style w:type="character" w:customStyle="1" w:styleId="148">
    <w:name w:val="日期 Char3"/>
    <w:link w:val="33"/>
    <w:qFormat/>
    <w:uiPriority w:val="99"/>
    <w:rPr>
      <w:rFonts w:ascii="宋体" w:hAnsi="Courier New"/>
      <w:sz w:val="21"/>
      <w:szCs w:val="21"/>
    </w:rPr>
  </w:style>
  <w:style w:type="character" w:customStyle="1" w:styleId="149">
    <w:name w:val="正文缩进 Char2"/>
    <w:link w:val="13"/>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0"/>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4"/>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4"/>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4"/>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5"/>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99"/>
    <w:rPr>
      <w:rFonts w:eastAsia="宋体"/>
      <w:sz w:val="18"/>
      <w:szCs w:val="18"/>
    </w:rPr>
  </w:style>
  <w:style w:type="character" w:customStyle="1" w:styleId="179">
    <w:name w:val="页脚 Char"/>
    <w:qFormat/>
    <w:uiPriority w:val="99"/>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5"/>
    <w:qFormat/>
    <w:uiPriority w:val="0"/>
    <w:rPr>
      <w:rFonts w:ascii="Calibri" w:hAnsi="Calibri"/>
    </w:rPr>
  </w:style>
  <w:style w:type="paragraph" w:customStyle="1" w:styleId="182">
    <w:name w:val="样式4"/>
    <w:basedOn w:val="4"/>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5"/>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7"/>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5"/>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7"/>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5"/>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20"/>
    <w:qFormat/>
    <w:locked/>
    <w:uiPriority w:val="0"/>
    <w:rPr>
      <w:rFonts w:ascii="......." w:eastAsia="......."/>
      <w:color w:val="000000"/>
      <w:sz w:val="24"/>
      <w:szCs w:val="24"/>
      <w:lang w:val="en-US" w:eastAsia="zh-CN" w:bidi="ar-SA"/>
    </w:rPr>
  </w:style>
  <w:style w:type="paragraph" w:customStyle="1" w:styleId="207">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8">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9">
    <w:name w:val="文档结构图11"/>
    <w:basedOn w:val="1"/>
    <w:qFormat/>
    <w:uiPriority w:val="0"/>
    <w:pPr>
      <w:shd w:val="clear" w:color="auto" w:fill="000080"/>
    </w:pPr>
    <w:rPr>
      <w:kern w:val="0"/>
      <w:sz w:val="20"/>
      <w:shd w:val="clear" w:color="auto" w:fill="000080"/>
    </w:rPr>
  </w:style>
  <w:style w:type="paragraph" w:customStyle="1" w:styleId="210">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1">
    <w:name w:val="文档结构图 Char1"/>
    <w:qFormat/>
    <w:uiPriority w:val="0"/>
    <w:rPr>
      <w:rFonts w:ascii="宋体"/>
      <w:kern w:val="2"/>
      <w:sz w:val="18"/>
    </w:rPr>
  </w:style>
  <w:style w:type="paragraph" w:customStyle="1" w:styleId="21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3">
    <w:name w:val="Intense Quote"/>
    <w:basedOn w:val="1"/>
    <w:next w:val="1"/>
    <w:link w:val="319"/>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4">
    <w:name w:val="_Style 429"/>
    <w:basedOn w:val="1"/>
    <w:next w:val="215"/>
    <w:qFormat/>
    <w:uiPriority w:val="99"/>
    <w:pPr>
      <w:ind w:firstLine="420" w:firstLineChars="200"/>
    </w:pPr>
    <w:rPr>
      <w:rFonts w:ascii="Calibri" w:hAnsi="Calibri"/>
      <w:szCs w:val="22"/>
    </w:rPr>
  </w:style>
  <w:style w:type="paragraph" w:styleId="215">
    <w:name w:val="List Paragraph"/>
    <w:basedOn w:val="1"/>
    <w:link w:val="435"/>
    <w:qFormat/>
    <w:uiPriority w:val="99"/>
    <w:pPr>
      <w:ind w:firstLine="420" w:firstLineChars="200"/>
    </w:pPr>
    <w:rPr>
      <w:szCs w:val="21"/>
    </w:rPr>
  </w:style>
  <w:style w:type="character" w:customStyle="1" w:styleId="216">
    <w:name w:val="已访问的超链接1"/>
    <w:qFormat/>
    <w:uiPriority w:val="0"/>
    <w:rPr>
      <w:color w:val="800080"/>
      <w:u w:val="single"/>
    </w:rPr>
  </w:style>
  <w:style w:type="character" w:customStyle="1" w:styleId="217">
    <w:name w:val="副标题 Char3"/>
    <w:link w:val="40"/>
    <w:qFormat/>
    <w:uiPriority w:val="11"/>
    <w:rPr>
      <w:rFonts w:ascii="Cambria" w:hAnsi="Cambria" w:eastAsia="方正楷体简体"/>
      <w:kern w:val="28"/>
      <w:sz w:val="32"/>
      <w:szCs w:val="32"/>
    </w:rPr>
  </w:style>
  <w:style w:type="paragraph" w:customStyle="1" w:styleId="218">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9">
    <w:name w:val="批注文字 Char1"/>
    <w:qFormat/>
    <w:uiPriority w:val="0"/>
    <w:rPr>
      <w:kern w:val="2"/>
      <w:sz w:val="21"/>
      <w:szCs w:val="24"/>
    </w:rPr>
  </w:style>
  <w:style w:type="paragraph" w:customStyle="1" w:styleId="220">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1">
    <w:name w:val="表格文字"/>
    <w:basedOn w:val="1"/>
    <w:qFormat/>
    <w:uiPriority w:val="0"/>
    <w:pPr>
      <w:adjustRightInd w:val="0"/>
      <w:spacing w:line="420" w:lineRule="atLeast"/>
      <w:jc w:val="left"/>
      <w:textAlignment w:val="baseline"/>
    </w:pPr>
    <w:rPr>
      <w:kern w:val="0"/>
      <w:szCs w:val="20"/>
    </w:rPr>
  </w:style>
  <w:style w:type="character" w:customStyle="1" w:styleId="222">
    <w:name w:val="正文首行缩进 2 Char1"/>
    <w:link w:val="23"/>
    <w:qFormat/>
    <w:uiPriority w:val="0"/>
    <w:rPr>
      <w:rFonts w:ascii="Calibri" w:hAnsi="Calibri" w:eastAsia="仿宋_GB2312"/>
      <w:kern w:val="2"/>
      <w:sz w:val="21"/>
      <w:szCs w:val="24"/>
    </w:rPr>
  </w:style>
  <w:style w:type="paragraph" w:customStyle="1" w:styleId="22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4">
    <w:name w:val="Char Char13"/>
    <w:basedOn w:val="15"/>
    <w:qFormat/>
    <w:uiPriority w:val="0"/>
    <w:rPr>
      <w:rFonts w:ascii="Calibri" w:hAnsi="Calibri"/>
      <w:szCs w:val="22"/>
    </w:rPr>
  </w:style>
  <w:style w:type="character" w:customStyle="1" w:styleId="225">
    <w:name w:val="Char Char71"/>
    <w:qFormat/>
    <w:uiPriority w:val="0"/>
    <w:rPr>
      <w:rFonts w:ascii="Arial" w:hAnsi="Arial" w:eastAsia="黑体"/>
      <w:b/>
      <w:bCs/>
      <w:kern w:val="2"/>
      <w:sz w:val="32"/>
      <w:szCs w:val="32"/>
      <w:lang w:val="en-US" w:eastAsia="zh-CN" w:bidi="ar-SA"/>
    </w:rPr>
  </w:style>
  <w:style w:type="character" w:customStyle="1" w:styleId="226">
    <w:name w:val="标题 5 Char"/>
    <w:qFormat/>
    <w:uiPriority w:val="99"/>
    <w:rPr>
      <w:rFonts w:eastAsia="宋体"/>
      <w:b/>
      <w:kern w:val="2"/>
      <w:sz w:val="28"/>
      <w:lang w:val="en-US" w:eastAsia="zh-CN" w:bidi="ar-SA"/>
    </w:rPr>
  </w:style>
  <w:style w:type="paragraph" w:customStyle="1" w:styleId="22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8">
    <w:name w:val="Char Char1 Char Char Char Char Char Char1"/>
    <w:basedOn w:val="15"/>
    <w:qFormat/>
    <w:uiPriority w:val="0"/>
    <w:rPr>
      <w:rFonts w:ascii="宋体" w:hAnsi="Calibri"/>
      <w:kern w:val="0"/>
      <w:szCs w:val="18"/>
    </w:rPr>
  </w:style>
  <w:style w:type="paragraph" w:customStyle="1" w:styleId="229">
    <w:name w:val="15"/>
    <w:basedOn w:val="1"/>
    <w:qFormat/>
    <w:uiPriority w:val="0"/>
    <w:pPr>
      <w:widowControl/>
      <w:snapToGrid w:val="0"/>
      <w:spacing w:before="100" w:beforeAutospacing="1" w:after="100" w:afterAutospacing="1"/>
    </w:pPr>
    <w:rPr>
      <w:kern w:val="0"/>
      <w:sz w:val="20"/>
      <w:szCs w:val="20"/>
    </w:rPr>
  </w:style>
  <w:style w:type="paragraph" w:customStyle="1" w:styleId="23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1">
    <w:name w:val="Char Char Char Char Char Char1"/>
    <w:qFormat/>
    <w:uiPriority w:val="0"/>
    <w:rPr>
      <w:rFonts w:ascii="Cambria" w:hAnsi="Cambria"/>
      <w:b/>
      <w:bCs/>
      <w:kern w:val="2"/>
      <w:sz w:val="32"/>
      <w:szCs w:val="32"/>
      <w:lang w:bidi="ar-SA"/>
    </w:rPr>
  </w:style>
  <w:style w:type="character" w:customStyle="1" w:styleId="232">
    <w:name w:val="标题4 Char Char"/>
    <w:link w:val="133"/>
    <w:qFormat/>
    <w:locked/>
    <w:uiPriority w:val="99"/>
    <w:rPr>
      <w:rFonts w:ascii="Arial" w:hAnsi="Arial"/>
      <w:b/>
      <w:sz w:val="32"/>
    </w:rPr>
  </w:style>
  <w:style w:type="paragraph" w:customStyle="1" w:styleId="233">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4">
    <w:name w:val="明显引用 Char"/>
    <w:qFormat/>
    <w:locked/>
    <w:uiPriority w:val="99"/>
    <w:rPr>
      <w:b/>
      <w:i/>
      <w:color w:val="4F81BD"/>
      <w:sz w:val="22"/>
    </w:rPr>
  </w:style>
  <w:style w:type="paragraph" w:customStyle="1" w:styleId="235">
    <w:name w:val="文本块11"/>
    <w:basedOn w:val="1"/>
    <w:next w:val="1"/>
    <w:qFormat/>
    <w:uiPriority w:val="0"/>
    <w:rPr>
      <w:i/>
      <w:iCs/>
      <w:color w:val="000000"/>
      <w:szCs w:val="22"/>
    </w:rPr>
  </w:style>
  <w:style w:type="paragraph" w:customStyle="1" w:styleId="236">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7">
    <w:name w:val="引用 Char1"/>
    <w:qFormat/>
    <w:uiPriority w:val="0"/>
    <w:rPr>
      <w:rFonts w:ascii="Times New Roman" w:hAnsi="Times New Roman" w:eastAsia="宋体" w:cs="Times New Roman"/>
      <w:i/>
      <w:iCs/>
      <w:color w:val="000000"/>
      <w:szCs w:val="24"/>
    </w:rPr>
  </w:style>
  <w:style w:type="paragraph" w:customStyle="1" w:styleId="238">
    <w:name w:val="xl35"/>
    <w:basedOn w:val="1"/>
    <w:qFormat/>
    <w:uiPriority w:val="0"/>
    <w:pPr>
      <w:widowControl/>
      <w:spacing w:before="100" w:beforeAutospacing="1" w:after="100" w:afterAutospacing="1"/>
      <w:jc w:val="left"/>
    </w:pPr>
    <w:rPr>
      <w:b/>
      <w:bCs/>
      <w:kern w:val="0"/>
      <w:sz w:val="24"/>
    </w:rPr>
  </w:style>
  <w:style w:type="character" w:customStyle="1" w:styleId="239">
    <w:name w:val="Blockquote Char Char"/>
    <w:link w:val="90"/>
    <w:qFormat/>
    <w:locked/>
    <w:uiPriority w:val="99"/>
    <w:rPr>
      <w:sz w:val="24"/>
    </w:rPr>
  </w:style>
  <w:style w:type="character" w:customStyle="1" w:styleId="240">
    <w:name w:val="标题 1 Char1"/>
    <w:link w:val="2"/>
    <w:qFormat/>
    <w:uiPriority w:val="0"/>
    <w:rPr>
      <w:b/>
      <w:bCs/>
      <w:kern w:val="44"/>
      <w:sz w:val="44"/>
      <w:szCs w:val="44"/>
    </w:rPr>
  </w:style>
  <w:style w:type="character" w:customStyle="1" w:styleId="241">
    <w:name w:val="样式2 字符"/>
    <w:link w:val="242"/>
    <w:qFormat/>
    <w:uiPriority w:val="0"/>
    <w:rPr>
      <w:rFonts w:ascii="楷体_GB2312" w:hAnsi="Arial" w:eastAsia="仿宋_GB2312"/>
      <w:kern w:val="2"/>
      <w:sz w:val="28"/>
      <w:szCs w:val="28"/>
    </w:rPr>
  </w:style>
  <w:style w:type="paragraph" w:customStyle="1" w:styleId="242">
    <w:name w:val="样式2"/>
    <w:basedOn w:val="1"/>
    <w:link w:val="241"/>
    <w:qFormat/>
    <w:uiPriority w:val="0"/>
    <w:pPr>
      <w:spacing w:line="560" w:lineRule="exact"/>
      <w:ind w:firstLine="561" w:firstLineChars="200"/>
    </w:pPr>
    <w:rPr>
      <w:rFonts w:ascii="楷体_GB2312" w:hAnsi="Arial" w:eastAsia="仿宋_GB2312"/>
      <w:sz w:val="28"/>
      <w:szCs w:val="28"/>
    </w:rPr>
  </w:style>
  <w:style w:type="character" w:customStyle="1" w:styleId="243">
    <w:name w:val="正文文本 2 Char"/>
    <w:qFormat/>
    <w:uiPriority w:val="99"/>
    <w:rPr>
      <w:sz w:val="24"/>
    </w:rPr>
  </w:style>
  <w:style w:type="character" w:customStyle="1" w:styleId="244">
    <w:name w:val="批注框文本 Char Char Char Char"/>
    <w:qFormat/>
    <w:uiPriority w:val="0"/>
    <w:rPr>
      <w:rFonts w:ascii="宋体"/>
      <w:sz w:val="18"/>
      <w:szCs w:val="18"/>
      <w:lang w:bidi="ar-SA"/>
    </w:rPr>
  </w:style>
  <w:style w:type="character" w:customStyle="1" w:styleId="245">
    <w:name w:val="无间隔 Char"/>
    <w:link w:val="91"/>
    <w:qFormat/>
    <w:locked/>
    <w:uiPriority w:val="0"/>
    <w:rPr>
      <w:rFonts w:cs="Calibri"/>
      <w:sz w:val="22"/>
      <w:szCs w:val="22"/>
      <w:lang w:val="en-US" w:eastAsia="zh-CN" w:bidi="ar-SA"/>
    </w:rPr>
  </w:style>
  <w:style w:type="character" w:customStyle="1" w:styleId="246">
    <w:name w:val="font81"/>
    <w:qFormat/>
    <w:uiPriority w:val="0"/>
    <w:rPr>
      <w:rFonts w:hint="default" w:ascii="Times New Roman" w:hAnsi="Times New Roman" w:cs="Times New Roman"/>
      <w:color w:val="000000"/>
      <w:sz w:val="20"/>
      <w:szCs w:val="20"/>
      <w:u w:val="none"/>
    </w:rPr>
  </w:style>
  <w:style w:type="paragraph" w:customStyle="1" w:styleId="247">
    <w:name w:val="表格"/>
    <w:basedOn w:val="1"/>
    <w:qFormat/>
    <w:uiPriority w:val="0"/>
    <w:pPr>
      <w:jc w:val="center"/>
      <w:textAlignment w:val="center"/>
    </w:pPr>
    <w:rPr>
      <w:rFonts w:ascii="华文细黑" w:hAnsi="华文细黑"/>
      <w:kern w:val="0"/>
      <w:szCs w:val="20"/>
    </w:rPr>
  </w:style>
  <w:style w:type="character" w:customStyle="1" w:styleId="248">
    <w:name w:val="书籍标题12"/>
    <w:qFormat/>
    <w:uiPriority w:val="0"/>
    <w:rPr>
      <w:b/>
      <w:bCs/>
      <w:smallCaps/>
      <w:spacing w:val="5"/>
    </w:rPr>
  </w:style>
  <w:style w:type="character" w:customStyle="1" w:styleId="249">
    <w:name w:val="Title Char"/>
    <w:qFormat/>
    <w:locked/>
    <w:uiPriority w:val="0"/>
    <w:rPr>
      <w:rFonts w:ascii="Cambria" w:hAnsi="Cambria" w:eastAsia="方正小标宋简体" w:cs="Cambria"/>
      <w:b/>
      <w:bCs/>
      <w:kern w:val="2"/>
      <w:sz w:val="32"/>
      <w:szCs w:val="32"/>
    </w:rPr>
  </w:style>
  <w:style w:type="paragraph" w:customStyle="1" w:styleId="25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1">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2">
    <w:name w:val="Heading 3 Char"/>
    <w:qFormat/>
    <w:locked/>
    <w:uiPriority w:val="0"/>
    <w:rPr>
      <w:rFonts w:eastAsia="宋体"/>
      <w:b/>
      <w:bCs/>
      <w:kern w:val="2"/>
      <w:sz w:val="32"/>
      <w:szCs w:val="32"/>
      <w:lang w:val="en-US" w:eastAsia="zh-CN" w:bidi="ar-SA"/>
    </w:rPr>
  </w:style>
  <w:style w:type="character" w:customStyle="1" w:styleId="253">
    <w:name w:val="正文文本缩进 Char1"/>
    <w:semiHidden/>
    <w:qFormat/>
    <w:uiPriority w:val="99"/>
    <w:rPr>
      <w:rFonts w:ascii="Times New Roman" w:hAnsi="Times New Roman" w:eastAsia="宋体" w:cs="Times New Roman"/>
      <w:szCs w:val="24"/>
    </w:rPr>
  </w:style>
  <w:style w:type="paragraph" w:customStyle="1" w:styleId="254">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5">
    <w:name w:val="Quote"/>
    <w:basedOn w:val="1"/>
    <w:next w:val="1"/>
    <w:link w:val="460"/>
    <w:qFormat/>
    <w:uiPriority w:val="0"/>
    <w:rPr>
      <w:rFonts w:ascii="Calibri" w:hAnsi="Calibri"/>
      <w:i/>
      <w:color w:val="000000"/>
      <w:sz w:val="22"/>
      <w:szCs w:val="22"/>
    </w:rPr>
  </w:style>
  <w:style w:type="character" w:customStyle="1" w:styleId="256">
    <w:name w:val="不明显参考12"/>
    <w:qFormat/>
    <w:uiPriority w:val="0"/>
    <w:rPr>
      <w:smallCaps/>
      <w:color w:val="C0504D"/>
      <w:u w:val="single"/>
    </w:rPr>
  </w:style>
  <w:style w:type="character" w:customStyle="1" w:styleId="257">
    <w:name w:val="font91"/>
    <w:qFormat/>
    <w:uiPriority w:val="0"/>
    <w:rPr>
      <w:rFonts w:hint="eastAsia" w:ascii="宋体" w:hAnsi="宋体" w:eastAsia="宋体" w:cs="宋体"/>
      <w:color w:val="000000"/>
      <w:sz w:val="22"/>
      <w:szCs w:val="22"/>
      <w:u w:val="none"/>
    </w:rPr>
  </w:style>
  <w:style w:type="character" w:customStyle="1" w:styleId="258">
    <w:name w:val="Heading 2 Char"/>
    <w:qFormat/>
    <w:locked/>
    <w:uiPriority w:val="0"/>
    <w:rPr>
      <w:rFonts w:ascii="Arial" w:hAnsi="Arial" w:eastAsia="黑体"/>
      <w:b/>
      <w:bCs/>
      <w:kern w:val="2"/>
      <w:sz w:val="32"/>
      <w:szCs w:val="32"/>
      <w:lang w:val="en-US" w:eastAsia="zh-CN" w:bidi="ar-SA"/>
    </w:rPr>
  </w:style>
  <w:style w:type="paragraph" w:customStyle="1" w:styleId="259">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0">
    <w:name w:val="正文文本缩进 2 Char2"/>
    <w:link w:val="34"/>
    <w:qFormat/>
    <w:uiPriority w:val="99"/>
    <w:rPr>
      <w:sz w:val="24"/>
      <w:szCs w:val="24"/>
    </w:rPr>
  </w:style>
  <w:style w:type="character" w:customStyle="1" w:styleId="261">
    <w:name w:val="正文首行缩进 2 Char"/>
    <w:qFormat/>
    <w:uiPriority w:val="0"/>
    <w:rPr>
      <w:rFonts w:ascii="Calibri" w:hAnsi="Calibri" w:eastAsia="宋体"/>
      <w:szCs w:val="24"/>
    </w:rPr>
  </w:style>
  <w:style w:type="paragraph" w:customStyle="1" w:styleId="262">
    <w:name w:val="批注主题11"/>
    <w:basedOn w:val="17"/>
    <w:next w:val="17"/>
    <w:qFormat/>
    <w:uiPriority w:val="0"/>
    <w:rPr>
      <w:rFonts w:ascii="宋体" w:hAnsi="Calibri"/>
      <w:b/>
      <w:bCs/>
      <w:kern w:val="0"/>
      <w:sz w:val="28"/>
      <w:szCs w:val="20"/>
    </w:rPr>
  </w:style>
  <w:style w:type="paragraph" w:customStyle="1" w:styleId="263">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4">
    <w:name w:val="日期 Char"/>
    <w:qFormat/>
    <w:locked/>
    <w:uiPriority w:val="99"/>
    <w:rPr>
      <w:rFonts w:eastAsia="宋体"/>
      <w:sz w:val="24"/>
    </w:rPr>
  </w:style>
  <w:style w:type="character" w:customStyle="1" w:styleId="265">
    <w:name w:val="标题 8 Char"/>
    <w:qFormat/>
    <w:uiPriority w:val="99"/>
    <w:rPr>
      <w:rFonts w:ascii="Arial" w:hAnsi="Arial" w:eastAsia="黑体"/>
      <w:sz w:val="24"/>
      <w:szCs w:val="24"/>
      <w:lang w:val="en-US" w:eastAsia="zh-CN" w:bidi="ar-SA"/>
    </w:rPr>
  </w:style>
  <w:style w:type="character" w:customStyle="1" w:styleId="266">
    <w:name w:val="页脚 Char2"/>
    <w:semiHidden/>
    <w:qFormat/>
    <w:uiPriority w:val="99"/>
    <w:rPr>
      <w:rFonts w:ascii="Times New Roman" w:hAnsi="Times New Roman" w:eastAsia="宋体" w:cs="Times New Roman"/>
      <w:sz w:val="18"/>
      <w:szCs w:val="18"/>
    </w:rPr>
  </w:style>
  <w:style w:type="character" w:customStyle="1" w:styleId="267">
    <w:name w:val="批注框文本 Char4"/>
    <w:link w:val="35"/>
    <w:qFormat/>
    <w:uiPriority w:val="99"/>
    <w:rPr>
      <w:kern w:val="2"/>
      <w:sz w:val="18"/>
      <w:szCs w:val="18"/>
    </w:rPr>
  </w:style>
  <w:style w:type="paragraph" w:customStyle="1" w:styleId="268">
    <w:name w:val="_Style 488"/>
    <w:basedOn w:val="1"/>
    <w:next w:val="215"/>
    <w:qFormat/>
    <w:uiPriority w:val="99"/>
    <w:pPr>
      <w:ind w:firstLine="420" w:firstLineChars="200"/>
    </w:pPr>
    <w:rPr>
      <w:rFonts w:ascii="Calibri" w:hAnsi="Calibri"/>
      <w:szCs w:val="22"/>
    </w:rPr>
  </w:style>
  <w:style w:type="paragraph" w:customStyle="1" w:styleId="269">
    <w:name w:val="p0"/>
    <w:basedOn w:val="1"/>
    <w:qFormat/>
    <w:uiPriority w:val="0"/>
    <w:pPr>
      <w:widowControl/>
    </w:pPr>
    <w:rPr>
      <w:kern w:val="0"/>
      <w:szCs w:val="21"/>
    </w:rPr>
  </w:style>
  <w:style w:type="character" w:customStyle="1" w:styleId="270">
    <w:name w:val="标题 2 Char1"/>
    <w:qFormat/>
    <w:uiPriority w:val="0"/>
    <w:rPr>
      <w:rFonts w:ascii="Arial" w:hAnsi="Arial"/>
      <w:b/>
      <w:bCs/>
      <w:kern w:val="2"/>
      <w:sz w:val="28"/>
      <w:szCs w:val="32"/>
    </w:rPr>
  </w:style>
  <w:style w:type="paragraph" w:customStyle="1" w:styleId="271">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2">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3">
    <w:name w:val="明显强调212"/>
    <w:qFormat/>
    <w:uiPriority w:val="0"/>
    <w:rPr>
      <w:b/>
      <w:bCs/>
      <w:i/>
      <w:iCs/>
      <w:color w:val="4F81BD"/>
    </w:rPr>
  </w:style>
  <w:style w:type="paragraph" w:customStyle="1" w:styleId="274">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5">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6">
    <w:name w:val="普通文字 Char"/>
    <w:qFormat/>
    <w:uiPriority w:val="0"/>
    <w:rPr>
      <w:rFonts w:ascii="宋体" w:hAnsi="Courier New" w:cs="宋体"/>
      <w:sz w:val="21"/>
      <w:szCs w:val="21"/>
    </w:rPr>
  </w:style>
  <w:style w:type="character" w:customStyle="1" w:styleId="277">
    <w:name w:val="明显参考11"/>
    <w:qFormat/>
    <w:uiPriority w:val="0"/>
    <w:rPr>
      <w:b/>
      <w:bCs/>
      <w:smallCaps/>
      <w:color w:val="C0504D"/>
      <w:spacing w:val="5"/>
      <w:u w:val="single"/>
    </w:rPr>
  </w:style>
  <w:style w:type="paragraph" w:customStyle="1" w:styleId="278">
    <w:name w:val="标题5"/>
    <w:basedOn w:val="4"/>
    <w:link w:val="376"/>
    <w:qFormat/>
    <w:uiPriority w:val="99"/>
    <w:pPr>
      <w:spacing w:line="413" w:lineRule="auto"/>
    </w:pPr>
    <w:rPr>
      <w:rFonts w:ascii="Arial" w:hAnsi="Arial"/>
      <w:bCs w:val="0"/>
      <w:kern w:val="0"/>
      <w:szCs w:val="20"/>
    </w:rPr>
  </w:style>
  <w:style w:type="paragraph" w:customStyle="1" w:styleId="27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0">
    <w:name w:val="标题 2 Char"/>
    <w:qFormat/>
    <w:uiPriority w:val="0"/>
    <w:rPr>
      <w:rFonts w:ascii="Arial" w:hAnsi="Arial" w:eastAsia="黑体"/>
      <w:b/>
      <w:bCs/>
      <w:kern w:val="2"/>
      <w:sz w:val="32"/>
      <w:szCs w:val="32"/>
      <w:lang w:val="en-US" w:eastAsia="zh-CN" w:bidi="ar-SA"/>
    </w:rPr>
  </w:style>
  <w:style w:type="character" w:customStyle="1" w:styleId="281">
    <w:name w:val="批注文字 Char"/>
    <w:qFormat/>
    <w:locked/>
    <w:uiPriority w:val="99"/>
    <w:rPr>
      <w:rFonts w:eastAsia="宋体"/>
      <w:sz w:val="24"/>
      <w:szCs w:val="24"/>
    </w:rPr>
  </w:style>
  <w:style w:type="character" w:customStyle="1" w:styleId="282">
    <w:name w:val="明显强调21"/>
    <w:qFormat/>
    <w:uiPriority w:val="0"/>
    <w:rPr>
      <w:b/>
      <w:bCs/>
      <w:i/>
      <w:iCs/>
      <w:color w:val="4F81BD"/>
    </w:rPr>
  </w:style>
  <w:style w:type="character" w:customStyle="1" w:styleId="283">
    <w:name w:val="t-link42"/>
    <w:qFormat/>
    <w:uiPriority w:val="0"/>
  </w:style>
  <w:style w:type="paragraph" w:customStyle="1" w:styleId="284">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5">
    <w:name w:val="标题 7 Char"/>
    <w:qFormat/>
    <w:uiPriority w:val="99"/>
    <w:rPr>
      <w:rFonts w:eastAsia="宋体"/>
      <w:b/>
      <w:bCs/>
      <w:sz w:val="24"/>
      <w:szCs w:val="24"/>
      <w:lang w:val="en-US" w:eastAsia="zh-CN" w:bidi="ar-SA"/>
    </w:rPr>
  </w:style>
  <w:style w:type="character" w:customStyle="1" w:styleId="286">
    <w:name w:val="Header Char"/>
    <w:qFormat/>
    <w:locked/>
    <w:uiPriority w:val="0"/>
    <w:rPr>
      <w:rFonts w:ascii="Times New Roman" w:hAnsi="Times New Roman" w:cs="Times New Roman"/>
      <w:sz w:val="18"/>
      <w:szCs w:val="18"/>
    </w:rPr>
  </w:style>
  <w:style w:type="character" w:customStyle="1" w:styleId="287">
    <w:name w:val="Quote Char"/>
    <w:link w:val="190"/>
    <w:qFormat/>
    <w:locked/>
    <w:uiPriority w:val="0"/>
    <w:rPr>
      <w:i/>
      <w:color w:val="000000"/>
      <w:sz w:val="22"/>
    </w:rPr>
  </w:style>
  <w:style w:type="character" w:customStyle="1" w:styleId="288">
    <w:name w:val="标题 9 Char1"/>
    <w:link w:val="10"/>
    <w:qFormat/>
    <w:uiPriority w:val="0"/>
    <w:rPr>
      <w:rFonts w:ascii="Arial" w:hAnsi="Arial" w:eastAsia="黑体"/>
      <w:sz w:val="21"/>
      <w:szCs w:val="21"/>
    </w:rPr>
  </w:style>
  <w:style w:type="character" w:customStyle="1" w:styleId="289">
    <w:name w:val="标题 2 字符"/>
    <w:link w:val="134"/>
    <w:qFormat/>
    <w:uiPriority w:val="0"/>
    <w:rPr>
      <w:rFonts w:ascii="Arial" w:hAnsi="Arial" w:eastAsia="宋体"/>
      <w:b/>
      <w:bCs/>
      <w:kern w:val="2"/>
      <w:sz w:val="32"/>
      <w:szCs w:val="32"/>
      <w:lang w:val="en-US" w:eastAsia="zh-CN" w:bidi="ar-SA"/>
    </w:rPr>
  </w:style>
  <w:style w:type="character" w:customStyle="1" w:styleId="290">
    <w:name w:val="case31"/>
    <w:qFormat/>
    <w:uiPriority w:val="0"/>
    <w:rPr>
      <w:sz w:val="21"/>
      <w:szCs w:val="21"/>
    </w:rPr>
  </w:style>
  <w:style w:type="paragraph" w:customStyle="1" w:styleId="291">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2">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3">
    <w:name w:val="引用 Char"/>
    <w:qFormat/>
    <w:locked/>
    <w:uiPriority w:val="99"/>
    <w:rPr>
      <w:i/>
      <w:color w:val="000000"/>
      <w:sz w:val="22"/>
    </w:rPr>
  </w:style>
  <w:style w:type="character" w:customStyle="1" w:styleId="294">
    <w:name w:val="正文文本 Char2"/>
    <w:qFormat/>
    <w:uiPriority w:val="99"/>
    <w:rPr>
      <w:rFonts w:ascii="Times New Roman" w:hAnsi="Times New Roman" w:eastAsia="宋体" w:cs="Times New Roman"/>
      <w:szCs w:val="24"/>
    </w:rPr>
  </w:style>
  <w:style w:type="paragraph" w:customStyle="1" w:styleId="295">
    <w:name w:val="_Style 19"/>
    <w:basedOn w:val="15"/>
    <w:qFormat/>
    <w:uiPriority w:val="0"/>
    <w:rPr>
      <w:rFonts w:ascii="Calibri" w:hAnsi="Calibri"/>
    </w:rPr>
  </w:style>
  <w:style w:type="paragraph" w:customStyle="1" w:styleId="296">
    <w:name w:val="Char1 Char Char Char"/>
    <w:basedOn w:val="1"/>
    <w:qFormat/>
    <w:uiPriority w:val="0"/>
    <w:rPr>
      <w:rFonts w:eastAsia="仿宋_GB2312"/>
      <w:sz w:val="28"/>
      <w:szCs w:val="28"/>
    </w:rPr>
  </w:style>
  <w:style w:type="character" w:customStyle="1" w:styleId="297">
    <w:name w:val="文档结构图 Char"/>
    <w:qFormat/>
    <w:locked/>
    <w:uiPriority w:val="99"/>
    <w:rPr>
      <w:rFonts w:eastAsia="宋体"/>
      <w:sz w:val="24"/>
      <w:shd w:val="clear" w:color="auto" w:fill="000080"/>
    </w:rPr>
  </w:style>
  <w:style w:type="character" w:customStyle="1" w:styleId="298">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0">
    <w:name w:val="Char Char2"/>
    <w:qFormat/>
    <w:uiPriority w:val="0"/>
    <w:rPr>
      <w:rFonts w:eastAsia="宋体"/>
      <w:kern w:val="2"/>
      <w:sz w:val="21"/>
      <w:szCs w:val="24"/>
      <w:lang w:val="en-US" w:eastAsia="zh-CN" w:bidi="ar-SA"/>
    </w:rPr>
  </w:style>
  <w:style w:type="paragraph" w:customStyle="1" w:styleId="301">
    <w:name w:val="列出段落1"/>
    <w:basedOn w:val="1"/>
    <w:qFormat/>
    <w:uiPriority w:val="0"/>
    <w:pPr>
      <w:ind w:firstLine="420" w:firstLineChars="200"/>
    </w:pPr>
    <w:rPr>
      <w:szCs w:val="21"/>
    </w:rPr>
  </w:style>
  <w:style w:type="character" w:customStyle="1" w:styleId="302">
    <w:name w:val="副标题 Char"/>
    <w:qFormat/>
    <w:locked/>
    <w:uiPriority w:val="99"/>
    <w:rPr>
      <w:rFonts w:ascii="Arial" w:hAnsi="Arial" w:eastAsia="黑体"/>
      <w:b/>
      <w:bCs/>
      <w:sz w:val="32"/>
      <w:szCs w:val="32"/>
    </w:rPr>
  </w:style>
  <w:style w:type="character" w:customStyle="1" w:styleId="303">
    <w:name w:val="t-in2"/>
    <w:qFormat/>
    <w:uiPriority w:val="0"/>
  </w:style>
  <w:style w:type="character" w:customStyle="1" w:styleId="304">
    <w:name w:val="Char Char24"/>
    <w:qFormat/>
    <w:uiPriority w:val="0"/>
    <w:rPr>
      <w:rFonts w:ascii="Arial" w:hAnsi="Arial" w:eastAsia="黑体" w:cs="Times New Roman"/>
      <w:b/>
      <w:bCs/>
      <w:sz w:val="28"/>
      <w:szCs w:val="28"/>
    </w:rPr>
  </w:style>
  <w:style w:type="paragraph" w:customStyle="1" w:styleId="305">
    <w:name w:val="Char Char Char2"/>
    <w:basedOn w:val="15"/>
    <w:qFormat/>
    <w:uiPriority w:val="0"/>
    <w:rPr>
      <w:rFonts w:ascii="Calibri" w:hAnsi="Calibri"/>
      <w:szCs w:val="22"/>
    </w:rPr>
  </w:style>
  <w:style w:type="character" w:customStyle="1" w:styleId="306">
    <w:name w:val="Char Char9"/>
    <w:qFormat/>
    <w:uiPriority w:val="0"/>
    <w:rPr>
      <w:kern w:val="2"/>
      <w:sz w:val="21"/>
      <w:szCs w:val="22"/>
    </w:rPr>
  </w:style>
  <w:style w:type="character" w:customStyle="1" w:styleId="307">
    <w:name w:val="页脚 Char1"/>
    <w:qFormat/>
    <w:uiPriority w:val="99"/>
    <w:rPr>
      <w:kern w:val="2"/>
      <w:sz w:val="18"/>
      <w:szCs w:val="18"/>
    </w:rPr>
  </w:style>
  <w:style w:type="paragraph" w:customStyle="1" w:styleId="308">
    <w:name w:val="Char Char1 Char Char Char Char Char Char"/>
    <w:basedOn w:val="15"/>
    <w:qFormat/>
    <w:uiPriority w:val="0"/>
    <w:rPr>
      <w:rFonts w:ascii="Calibri" w:hAnsi="Calibri"/>
      <w:szCs w:val="22"/>
    </w:rPr>
  </w:style>
  <w:style w:type="character" w:customStyle="1" w:styleId="309">
    <w:name w:val="不明显参考11"/>
    <w:qFormat/>
    <w:uiPriority w:val="0"/>
    <w:rPr>
      <w:smallCaps/>
      <w:color w:val="C0504D"/>
      <w:u w:val="single"/>
    </w:rPr>
  </w:style>
  <w:style w:type="character" w:customStyle="1" w:styleId="310">
    <w:name w:val="Subtitle Char"/>
    <w:qFormat/>
    <w:locked/>
    <w:uiPriority w:val="0"/>
    <w:rPr>
      <w:rFonts w:ascii="Cambria" w:hAnsi="Cambria" w:eastAsia="方正楷体简体" w:cs="Cambria"/>
      <w:kern w:val="28"/>
      <w:sz w:val="32"/>
      <w:szCs w:val="32"/>
    </w:rPr>
  </w:style>
  <w:style w:type="paragraph" w:customStyle="1" w:styleId="311">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2">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3">
    <w:name w:val="Char Char31"/>
    <w:qFormat/>
    <w:locked/>
    <w:uiPriority w:val="0"/>
    <w:rPr>
      <w:rFonts w:ascii="Arial" w:hAnsi="Arial" w:eastAsia="黑体"/>
      <w:b/>
      <w:bCs/>
      <w:kern w:val="2"/>
      <w:sz w:val="32"/>
      <w:szCs w:val="32"/>
      <w:lang w:val="en-US" w:eastAsia="zh-CN" w:bidi="ar-SA"/>
    </w:rPr>
  </w:style>
  <w:style w:type="character" w:customStyle="1" w:styleId="314">
    <w:name w:val="明显强调11"/>
    <w:qFormat/>
    <w:uiPriority w:val="0"/>
    <w:rPr>
      <w:b/>
      <w:bCs/>
      <w:i/>
      <w:iCs/>
      <w:color w:val="4F81BD"/>
    </w:rPr>
  </w:style>
  <w:style w:type="paragraph" w:customStyle="1" w:styleId="315">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6">
    <w:name w:val="Char Char81"/>
    <w:qFormat/>
    <w:uiPriority w:val="0"/>
    <w:rPr>
      <w:rFonts w:ascii="Arial" w:hAnsi="Arial" w:eastAsia="黑体"/>
      <w:b/>
      <w:bCs/>
      <w:kern w:val="2"/>
      <w:sz w:val="32"/>
      <w:szCs w:val="32"/>
      <w:lang w:val="en-US" w:eastAsia="zh-CN" w:bidi="ar-SA"/>
    </w:rPr>
  </w:style>
  <w:style w:type="paragraph" w:customStyle="1" w:styleId="317">
    <w:name w:val="1"/>
    <w:basedOn w:val="1"/>
    <w:next w:val="1"/>
    <w:qFormat/>
    <w:uiPriority w:val="0"/>
  </w:style>
  <w:style w:type="character" w:customStyle="1" w:styleId="318">
    <w:name w:val="Char Char18"/>
    <w:qFormat/>
    <w:uiPriority w:val="0"/>
    <w:rPr>
      <w:b/>
      <w:bCs/>
      <w:kern w:val="44"/>
      <w:sz w:val="44"/>
      <w:szCs w:val="44"/>
    </w:rPr>
  </w:style>
  <w:style w:type="character" w:customStyle="1" w:styleId="319">
    <w:name w:val="明显引用 Char3"/>
    <w:link w:val="213"/>
    <w:qFormat/>
    <w:uiPriority w:val="0"/>
    <w:rPr>
      <w:rFonts w:ascii="Calibri" w:hAnsi="Calibri"/>
      <w:b/>
      <w:i/>
      <w:color w:val="4F81BD"/>
      <w:kern w:val="2"/>
      <w:sz w:val="22"/>
      <w:szCs w:val="22"/>
    </w:rPr>
  </w:style>
  <w:style w:type="character" w:customStyle="1" w:styleId="320">
    <w:name w:val="正文文本 3 Char"/>
    <w:qFormat/>
    <w:locked/>
    <w:uiPriority w:val="0"/>
    <w:rPr>
      <w:rFonts w:ascii="宋体" w:eastAsia="宋体"/>
      <w:sz w:val="24"/>
    </w:rPr>
  </w:style>
  <w:style w:type="character" w:customStyle="1" w:styleId="321">
    <w:name w:val="Char Char Char"/>
    <w:qFormat/>
    <w:locked/>
    <w:uiPriority w:val="0"/>
    <w:rPr>
      <w:rFonts w:eastAsia="宋体"/>
      <w:b/>
      <w:bCs/>
      <w:kern w:val="44"/>
      <w:sz w:val="44"/>
      <w:szCs w:val="44"/>
      <w:lang w:val="en-US" w:eastAsia="zh-CN" w:bidi="ar-SA"/>
    </w:rPr>
  </w:style>
  <w:style w:type="character" w:customStyle="1" w:styleId="322">
    <w:name w:val="标题 9 Char"/>
    <w:qFormat/>
    <w:uiPriority w:val="99"/>
    <w:rPr>
      <w:rFonts w:ascii="Arial" w:hAnsi="Arial" w:eastAsia="黑体"/>
      <w:sz w:val="21"/>
      <w:szCs w:val="21"/>
      <w:lang w:val="en-US" w:eastAsia="zh-CN" w:bidi="ar-SA"/>
    </w:rPr>
  </w:style>
  <w:style w:type="character" w:customStyle="1" w:styleId="323">
    <w:name w:val="批注文字 Char2"/>
    <w:link w:val="17"/>
    <w:qFormat/>
    <w:uiPriority w:val="99"/>
    <w:rPr>
      <w:kern w:val="2"/>
      <w:sz w:val="21"/>
      <w:szCs w:val="24"/>
    </w:rPr>
  </w:style>
  <w:style w:type="paragraph" w:customStyle="1" w:styleId="324">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5">
    <w:name w:val="正文首行缩进 Char1"/>
    <w:qFormat/>
    <w:uiPriority w:val="0"/>
    <w:rPr>
      <w:kern w:val="2"/>
      <w:sz w:val="21"/>
      <w:szCs w:val="24"/>
    </w:rPr>
  </w:style>
  <w:style w:type="paragraph" w:customStyle="1" w:styleId="326">
    <w:name w:val="列出段落11"/>
    <w:basedOn w:val="1"/>
    <w:qFormat/>
    <w:uiPriority w:val="34"/>
    <w:pPr>
      <w:ind w:firstLine="420" w:firstLineChars="200"/>
    </w:pPr>
    <w:rPr>
      <w:sz w:val="30"/>
      <w:szCs w:val="22"/>
    </w:rPr>
  </w:style>
  <w:style w:type="character" w:customStyle="1" w:styleId="327">
    <w:name w:val="明显参考1"/>
    <w:qFormat/>
    <w:uiPriority w:val="0"/>
    <w:rPr>
      <w:b/>
      <w:bCs/>
      <w:smallCaps/>
      <w:color w:val="C0504D"/>
      <w:spacing w:val="5"/>
      <w:u w:val="single"/>
    </w:rPr>
  </w:style>
  <w:style w:type="paragraph" w:customStyle="1" w:styleId="328">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9">
    <w:name w:val="日期1"/>
    <w:basedOn w:val="1"/>
    <w:next w:val="1"/>
    <w:qFormat/>
    <w:uiPriority w:val="0"/>
    <w:pPr>
      <w:ind w:left="100" w:leftChars="2500"/>
    </w:pPr>
    <w:rPr>
      <w:rFonts w:ascii="宋体"/>
      <w:kern w:val="0"/>
      <w:sz w:val="28"/>
      <w:szCs w:val="20"/>
    </w:rPr>
  </w:style>
  <w:style w:type="character" w:customStyle="1" w:styleId="330">
    <w:name w:val="标题 Char1"/>
    <w:qFormat/>
    <w:uiPriority w:val="0"/>
    <w:rPr>
      <w:rFonts w:ascii="Cambria" w:hAnsi="Cambria" w:cs="Times New Roman"/>
      <w:b/>
      <w:bCs/>
      <w:kern w:val="2"/>
      <w:sz w:val="32"/>
      <w:szCs w:val="32"/>
    </w:rPr>
  </w:style>
  <w:style w:type="character" w:customStyle="1" w:styleId="331">
    <w:name w:val="副标题 Char1"/>
    <w:qFormat/>
    <w:uiPriority w:val="0"/>
    <w:rPr>
      <w:rFonts w:ascii="Cambria" w:hAnsi="Cambria" w:cs="Times New Roman"/>
      <w:b/>
      <w:bCs/>
      <w:kern w:val="28"/>
      <w:sz w:val="32"/>
      <w:szCs w:val="32"/>
    </w:rPr>
  </w:style>
  <w:style w:type="paragraph" w:customStyle="1" w:styleId="332">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3">
    <w:name w:val="书籍标题111"/>
    <w:qFormat/>
    <w:uiPriority w:val="0"/>
    <w:rPr>
      <w:b/>
      <w:smallCaps/>
      <w:spacing w:val="5"/>
    </w:rPr>
  </w:style>
  <w:style w:type="paragraph" w:customStyle="1" w:styleId="334">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5">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6">
    <w:name w:val="Char Char3"/>
    <w:qFormat/>
    <w:uiPriority w:val="0"/>
    <w:rPr>
      <w:rFonts w:ascii="Arial" w:hAnsi="Arial" w:eastAsia="黑体"/>
      <w:b/>
      <w:bCs/>
      <w:kern w:val="2"/>
      <w:sz w:val="32"/>
      <w:szCs w:val="32"/>
      <w:lang w:val="en-US" w:eastAsia="zh-CN" w:bidi="ar-SA"/>
    </w:rPr>
  </w:style>
  <w:style w:type="character" w:customStyle="1" w:styleId="337">
    <w:name w:val="明显参考2"/>
    <w:qFormat/>
    <w:uiPriority w:val="0"/>
    <w:rPr>
      <w:b/>
      <w:smallCaps/>
      <w:color w:val="C0504D"/>
      <w:spacing w:val="5"/>
      <w:u w:val="single"/>
    </w:rPr>
  </w:style>
  <w:style w:type="paragraph" w:customStyle="1" w:styleId="338">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9">
    <w:name w:val="标题 4 Char1"/>
    <w:link w:val="5"/>
    <w:qFormat/>
    <w:uiPriority w:val="0"/>
    <w:rPr>
      <w:rFonts w:ascii="仿宋_GB2312" w:eastAsia="仿宋_GB2312" w:cs="仿宋_GB2312"/>
      <w:kern w:val="2"/>
      <w:sz w:val="28"/>
      <w:szCs w:val="28"/>
    </w:rPr>
  </w:style>
  <w:style w:type="character" w:customStyle="1" w:styleId="340">
    <w:name w:val="Char Char91"/>
    <w:qFormat/>
    <w:uiPriority w:val="0"/>
    <w:rPr>
      <w:kern w:val="2"/>
      <w:sz w:val="21"/>
      <w:szCs w:val="22"/>
    </w:rPr>
  </w:style>
  <w:style w:type="paragraph" w:customStyle="1" w:styleId="34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2">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3">
    <w:name w:val="批注框文本 Char Char Char"/>
    <w:qFormat/>
    <w:uiPriority w:val="0"/>
    <w:rPr>
      <w:rFonts w:ascii="宋体"/>
      <w:sz w:val="18"/>
      <w:szCs w:val="18"/>
    </w:rPr>
  </w:style>
  <w:style w:type="paragraph" w:customStyle="1" w:styleId="344">
    <w:name w:val="Char1"/>
    <w:basedOn w:val="15"/>
    <w:qFormat/>
    <w:uiPriority w:val="0"/>
    <w:rPr>
      <w:rFonts w:ascii="Calibri" w:hAnsi="Calibri"/>
      <w:szCs w:val="22"/>
    </w:rPr>
  </w:style>
  <w:style w:type="paragraph" w:customStyle="1" w:styleId="34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6">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7">
    <w:name w:val="正文要点内容 Char Char"/>
    <w:link w:val="84"/>
    <w:qFormat/>
    <w:locked/>
    <w:uiPriority w:val="0"/>
    <w:rPr>
      <w:kern w:val="2"/>
      <w:sz w:val="21"/>
      <w:szCs w:val="21"/>
    </w:rPr>
  </w:style>
  <w:style w:type="paragraph" w:customStyle="1" w:styleId="348">
    <w:name w:val="样式 纯文本 + 行距: 固定值 20 磅"/>
    <w:basedOn w:val="31"/>
    <w:qFormat/>
    <w:uiPriority w:val="0"/>
    <w:pPr>
      <w:spacing w:line="400" w:lineRule="exact"/>
    </w:pPr>
    <w:rPr>
      <w:rFonts w:cs="宋体"/>
      <w:kern w:val="2"/>
      <w:szCs w:val="22"/>
    </w:rPr>
  </w:style>
  <w:style w:type="character" w:customStyle="1" w:styleId="349">
    <w:name w:val="标题 1.1 Char1"/>
    <w:qFormat/>
    <w:uiPriority w:val="0"/>
    <w:rPr>
      <w:rFonts w:ascii="Arial" w:hAnsi="Arial" w:eastAsia="黑体"/>
      <w:b/>
      <w:bCs/>
      <w:kern w:val="2"/>
      <w:sz w:val="32"/>
      <w:szCs w:val="32"/>
      <w:lang w:val="en-US" w:eastAsia="zh-CN" w:bidi="ar-SA"/>
    </w:rPr>
  </w:style>
  <w:style w:type="character" w:customStyle="1" w:styleId="350">
    <w:name w:val="javascript"/>
    <w:qFormat/>
    <w:uiPriority w:val="0"/>
  </w:style>
  <w:style w:type="paragraph" w:customStyle="1" w:styleId="351">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2">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3">
    <w:name w:val="样式 首行缩进:  2 字符"/>
    <w:basedOn w:val="1"/>
    <w:qFormat/>
    <w:uiPriority w:val="0"/>
    <w:pPr>
      <w:ind w:firstLine="560"/>
    </w:pPr>
    <w:rPr>
      <w:rFonts w:eastAsia="仿宋_GB2312" w:cs="宋体"/>
      <w:sz w:val="24"/>
      <w:szCs w:val="22"/>
    </w:rPr>
  </w:style>
  <w:style w:type="paragraph" w:customStyle="1" w:styleId="3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6">
    <w:name w:val="批注框文本 Char Char"/>
    <w:basedOn w:val="1"/>
    <w:link w:val="363"/>
    <w:qFormat/>
    <w:uiPriority w:val="0"/>
    <w:rPr>
      <w:rFonts w:ascii="宋体"/>
      <w:kern w:val="0"/>
      <w:sz w:val="18"/>
      <w:szCs w:val="18"/>
    </w:rPr>
  </w:style>
  <w:style w:type="paragraph" w:customStyle="1" w:styleId="35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8">
    <w:name w:val="引用 Char2"/>
    <w:qFormat/>
    <w:uiPriority w:val="29"/>
    <w:rPr>
      <w:rFonts w:ascii="Times New Roman" w:hAnsi="Times New Roman" w:eastAsia="宋体" w:cs="Times New Roman"/>
      <w:i/>
      <w:iCs/>
      <w:color w:val="000000"/>
      <w:szCs w:val="24"/>
    </w:rPr>
  </w:style>
  <w:style w:type="paragraph" w:customStyle="1" w:styleId="359">
    <w:name w:val="Char Char1"/>
    <w:basedOn w:val="15"/>
    <w:qFormat/>
    <w:uiPriority w:val="0"/>
    <w:rPr>
      <w:rFonts w:ascii="Calibri" w:hAnsi="Calibri"/>
      <w:szCs w:val="22"/>
    </w:rPr>
  </w:style>
  <w:style w:type="paragraph" w:customStyle="1" w:styleId="360">
    <w:name w:val="Char Char1 Char"/>
    <w:basedOn w:val="15"/>
    <w:qFormat/>
    <w:uiPriority w:val="0"/>
    <w:rPr>
      <w:rFonts w:ascii="Calibri" w:hAnsi="Calibri"/>
    </w:rPr>
  </w:style>
  <w:style w:type="character" w:customStyle="1" w:styleId="361">
    <w:name w:val="Char Char27"/>
    <w:qFormat/>
    <w:uiPriority w:val="0"/>
    <w:rPr>
      <w:rFonts w:ascii="Times New Roman" w:hAnsi="Times New Roman" w:eastAsia="宋体" w:cs="Times New Roman"/>
      <w:b/>
      <w:bCs/>
      <w:kern w:val="44"/>
      <w:sz w:val="44"/>
      <w:szCs w:val="44"/>
    </w:rPr>
  </w:style>
  <w:style w:type="paragraph" w:customStyle="1" w:styleId="362">
    <w:name w:val="明显引用1"/>
    <w:basedOn w:val="1"/>
    <w:next w:val="1"/>
    <w:link w:val="434"/>
    <w:qFormat/>
    <w:uiPriority w:val="0"/>
    <w:pPr>
      <w:pBdr>
        <w:bottom w:val="single" w:color="4F81BD" w:sz="4" w:space="4"/>
      </w:pBdr>
      <w:spacing w:before="200" w:after="280"/>
      <w:ind w:left="936" w:right="936"/>
    </w:pPr>
    <w:rPr>
      <w:b/>
      <w:i/>
      <w:color w:val="4F81BD"/>
      <w:kern w:val="0"/>
      <w:sz w:val="22"/>
      <w:szCs w:val="20"/>
    </w:rPr>
  </w:style>
  <w:style w:type="character" w:customStyle="1" w:styleId="363">
    <w:name w:val="批注框文本 Char Char Char Char Char"/>
    <w:link w:val="356"/>
    <w:qFormat/>
    <w:uiPriority w:val="0"/>
    <w:rPr>
      <w:rFonts w:ascii="宋体"/>
      <w:sz w:val="18"/>
      <w:szCs w:val="18"/>
    </w:rPr>
  </w:style>
  <w:style w:type="paragraph" w:customStyle="1" w:styleId="364">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5">
    <w:name w:val="Body Text Char"/>
    <w:qFormat/>
    <w:locked/>
    <w:uiPriority w:val="0"/>
    <w:rPr>
      <w:rFonts w:ascii="Times New Roman" w:hAnsi="Times New Roman" w:cs="Times New Roman"/>
      <w:sz w:val="24"/>
      <w:szCs w:val="24"/>
    </w:rPr>
  </w:style>
  <w:style w:type="character" w:customStyle="1" w:styleId="366">
    <w:name w:val="文档结构图 Char3"/>
    <w:link w:val="15"/>
    <w:qFormat/>
    <w:uiPriority w:val="99"/>
    <w:rPr>
      <w:kern w:val="2"/>
      <w:sz w:val="21"/>
      <w:szCs w:val="24"/>
      <w:shd w:val="clear" w:color="auto" w:fill="000080"/>
    </w:rPr>
  </w:style>
  <w:style w:type="character" w:customStyle="1" w:styleId="367">
    <w:name w:val="Char Char171"/>
    <w:qFormat/>
    <w:uiPriority w:val="0"/>
    <w:rPr>
      <w:rFonts w:ascii="Cambria" w:hAnsi="Cambria" w:eastAsia="宋体" w:cs="Times New Roman"/>
      <w:b/>
      <w:bCs/>
      <w:kern w:val="2"/>
      <w:sz w:val="32"/>
      <w:szCs w:val="32"/>
    </w:rPr>
  </w:style>
  <w:style w:type="character" w:customStyle="1" w:styleId="368">
    <w:name w:val="脚注文本 Char2"/>
    <w:link w:val="42"/>
    <w:qFormat/>
    <w:uiPriority w:val="0"/>
    <w:rPr>
      <w:rFonts w:ascii="Calibri" w:hAnsi="Calibri"/>
      <w:kern w:val="2"/>
      <w:sz w:val="21"/>
      <w:szCs w:val="22"/>
    </w:rPr>
  </w:style>
  <w:style w:type="character" w:customStyle="1" w:styleId="369">
    <w:name w:val="明显参考3"/>
    <w:qFormat/>
    <w:uiPriority w:val="99"/>
    <w:rPr>
      <w:b/>
      <w:bCs/>
      <w:smallCaps/>
      <w:color w:val="C0504D"/>
      <w:spacing w:val="5"/>
      <w:u w:val="single"/>
    </w:rPr>
  </w:style>
  <w:style w:type="character" w:customStyle="1" w:styleId="370">
    <w:name w:val="正文首行缩进 Char"/>
    <w:qFormat/>
    <w:uiPriority w:val="0"/>
    <w:rPr>
      <w:rFonts w:eastAsia="宋体"/>
      <w:szCs w:val="24"/>
    </w:rPr>
  </w:style>
  <w:style w:type="character" w:customStyle="1" w:styleId="371">
    <w:name w:val="Char Char301"/>
    <w:qFormat/>
    <w:uiPriority w:val="0"/>
    <w:rPr>
      <w:rFonts w:ascii="Arial" w:hAnsi="Arial" w:eastAsia="黑体"/>
      <w:b/>
      <w:bCs/>
      <w:kern w:val="2"/>
      <w:sz w:val="32"/>
      <w:szCs w:val="32"/>
      <w:lang w:val="en-US" w:eastAsia="zh-CN" w:bidi="ar-SA"/>
    </w:rPr>
  </w:style>
  <w:style w:type="paragraph" w:customStyle="1" w:styleId="372">
    <w:name w:val="文本块1"/>
    <w:basedOn w:val="1"/>
    <w:next w:val="1"/>
    <w:qFormat/>
    <w:uiPriority w:val="0"/>
    <w:rPr>
      <w:i/>
      <w:iCs/>
      <w:color w:val="000000"/>
      <w:szCs w:val="22"/>
    </w:rPr>
  </w:style>
  <w:style w:type="paragraph" w:customStyle="1" w:styleId="373">
    <w:name w:val="样式3"/>
    <w:basedOn w:val="4"/>
    <w:qFormat/>
    <w:uiPriority w:val="0"/>
    <w:pPr>
      <w:spacing w:line="415" w:lineRule="auto"/>
    </w:pPr>
    <w:rPr>
      <w:rFonts w:eastAsia="Arial"/>
    </w:rPr>
  </w:style>
  <w:style w:type="character" w:customStyle="1" w:styleId="374">
    <w:name w:val="Char Char72"/>
    <w:qFormat/>
    <w:uiPriority w:val="0"/>
    <w:rPr>
      <w:rFonts w:ascii="Arial" w:hAnsi="Arial" w:eastAsia="黑体"/>
      <w:b/>
      <w:bCs/>
      <w:kern w:val="2"/>
      <w:sz w:val="32"/>
      <w:szCs w:val="32"/>
      <w:lang w:val="en-US" w:eastAsia="zh-CN" w:bidi="ar-SA"/>
    </w:rPr>
  </w:style>
  <w:style w:type="paragraph" w:customStyle="1" w:styleId="37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6">
    <w:name w:val="标题5 Char Char"/>
    <w:link w:val="278"/>
    <w:qFormat/>
    <w:locked/>
    <w:uiPriority w:val="99"/>
    <w:rPr>
      <w:rFonts w:ascii="Arial" w:hAnsi="Arial"/>
      <w:b/>
      <w:sz w:val="32"/>
    </w:rPr>
  </w:style>
  <w:style w:type="paragraph" w:customStyle="1" w:styleId="377">
    <w:name w:val="TOC 标题12"/>
    <w:basedOn w:val="2"/>
    <w:next w:val="1"/>
    <w:qFormat/>
    <w:uiPriority w:val="0"/>
    <w:pPr>
      <w:spacing w:before="100" w:after="100" w:line="576" w:lineRule="auto"/>
      <w:jc w:val="center"/>
      <w:outlineLvl w:val="9"/>
    </w:pPr>
    <w:rPr>
      <w:sz w:val="36"/>
    </w:rPr>
  </w:style>
  <w:style w:type="character" w:customStyle="1" w:styleId="378">
    <w:name w:val="日期 Char1"/>
    <w:qFormat/>
    <w:uiPriority w:val="0"/>
    <w:rPr>
      <w:kern w:val="2"/>
      <w:sz w:val="21"/>
      <w:szCs w:val="22"/>
    </w:rPr>
  </w:style>
  <w:style w:type="character" w:customStyle="1" w:styleId="379">
    <w:name w:val="不明显强调11"/>
    <w:qFormat/>
    <w:uiPriority w:val="0"/>
    <w:rPr>
      <w:i/>
      <w:color w:val="808080"/>
    </w:rPr>
  </w:style>
  <w:style w:type="paragraph" w:customStyle="1" w:styleId="38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1">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2">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4">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5">
    <w:name w:val="Char31"/>
    <w:basedOn w:val="1"/>
    <w:qFormat/>
    <w:uiPriority w:val="0"/>
    <w:pPr>
      <w:tabs>
        <w:tab w:val="left" w:pos="360"/>
      </w:tabs>
    </w:pPr>
    <w:rPr>
      <w:sz w:val="24"/>
    </w:rPr>
  </w:style>
  <w:style w:type="character" w:customStyle="1" w:styleId="386">
    <w:name w:val="页眉 Char1"/>
    <w:qFormat/>
    <w:uiPriority w:val="0"/>
    <w:rPr>
      <w:kern w:val="2"/>
      <w:sz w:val="18"/>
      <w:szCs w:val="18"/>
    </w:rPr>
  </w:style>
  <w:style w:type="paragraph" w:customStyle="1" w:styleId="387">
    <w:name w:val="批注主题2"/>
    <w:basedOn w:val="17"/>
    <w:next w:val="17"/>
    <w:qFormat/>
    <w:uiPriority w:val="0"/>
    <w:rPr>
      <w:rFonts w:ascii="宋体" w:hAnsi="Calibri"/>
      <w:b/>
      <w:bCs/>
      <w:kern w:val="0"/>
      <w:sz w:val="28"/>
      <w:szCs w:val="20"/>
    </w:rPr>
  </w:style>
  <w:style w:type="paragraph" w:customStyle="1" w:styleId="388">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9">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0">
    <w:name w:val="标题 5 Char1"/>
    <w:link w:val="6"/>
    <w:qFormat/>
    <w:uiPriority w:val="0"/>
    <w:rPr>
      <w:b/>
      <w:bCs/>
      <w:kern w:val="2"/>
      <w:sz w:val="28"/>
      <w:szCs w:val="28"/>
    </w:rPr>
  </w:style>
  <w:style w:type="character" w:customStyle="1" w:styleId="391">
    <w:name w:val="Char Char8"/>
    <w:qFormat/>
    <w:uiPriority w:val="0"/>
    <w:rPr>
      <w:rFonts w:ascii="Arial" w:hAnsi="Arial" w:eastAsia="黑体"/>
      <w:b/>
      <w:bCs/>
      <w:kern w:val="2"/>
      <w:sz w:val="32"/>
      <w:szCs w:val="32"/>
      <w:lang w:val="en-US" w:eastAsia="zh-CN" w:bidi="ar-SA"/>
    </w:rPr>
  </w:style>
  <w:style w:type="paragraph" w:customStyle="1" w:styleId="392">
    <w:name w:val="Char Char28"/>
    <w:basedOn w:val="15"/>
    <w:qFormat/>
    <w:uiPriority w:val="0"/>
    <w:rPr>
      <w:rFonts w:ascii="Calibri" w:hAnsi="Calibri"/>
    </w:rPr>
  </w:style>
  <w:style w:type="character" w:customStyle="1" w:styleId="393">
    <w:name w:val="不明显参考1"/>
    <w:qFormat/>
    <w:uiPriority w:val="0"/>
    <w:rPr>
      <w:smallCaps/>
      <w:color w:val="C0504D"/>
      <w:u w:val="single"/>
    </w:rPr>
  </w:style>
  <w:style w:type="paragraph" w:customStyle="1" w:styleId="394">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5">
    <w:name w:val="标题 8 Char1"/>
    <w:link w:val="9"/>
    <w:qFormat/>
    <w:uiPriority w:val="0"/>
    <w:rPr>
      <w:rFonts w:ascii="Arial" w:hAnsi="Arial" w:eastAsia="黑体"/>
      <w:sz w:val="24"/>
      <w:szCs w:val="24"/>
    </w:rPr>
  </w:style>
  <w:style w:type="paragraph" w:customStyle="1" w:styleId="396">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7">
    <w:name w:val="标题 3 Char"/>
    <w:qFormat/>
    <w:uiPriority w:val="0"/>
    <w:rPr>
      <w:rFonts w:eastAsia="宋体"/>
      <w:b/>
      <w:bCs/>
      <w:kern w:val="2"/>
      <w:sz w:val="32"/>
      <w:szCs w:val="32"/>
      <w:lang w:val="en-US" w:eastAsia="zh-CN" w:bidi="ar-SA"/>
    </w:rPr>
  </w:style>
  <w:style w:type="paragraph" w:customStyle="1" w:styleId="398">
    <w:name w:val="Char12"/>
    <w:basedOn w:val="15"/>
    <w:qFormat/>
    <w:uiPriority w:val="0"/>
    <w:rPr>
      <w:rFonts w:ascii="Calibri" w:hAnsi="Calibri"/>
      <w:szCs w:val="22"/>
    </w:rPr>
  </w:style>
  <w:style w:type="paragraph" w:customStyle="1" w:styleId="399">
    <w:name w:val="Char13"/>
    <w:basedOn w:val="15"/>
    <w:qFormat/>
    <w:uiPriority w:val="0"/>
    <w:rPr>
      <w:rFonts w:ascii="Calibri" w:hAnsi="Calibri"/>
      <w:szCs w:val="22"/>
    </w:rPr>
  </w:style>
  <w:style w:type="character" w:customStyle="1" w:styleId="400">
    <w:name w:val="Char Char172"/>
    <w:qFormat/>
    <w:uiPriority w:val="0"/>
    <w:rPr>
      <w:rFonts w:ascii="Cambria" w:hAnsi="Cambria" w:eastAsia="宋体" w:cs="Times New Roman"/>
      <w:b/>
      <w:bCs/>
      <w:kern w:val="2"/>
      <w:sz w:val="32"/>
      <w:szCs w:val="32"/>
    </w:rPr>
  </w:style>
  <w:style w:type="character" w:customStyle="1" w:styleId="401">
    <w:name w:val="正文缩进 Char"/>
    <w:qFormat/>
    <w:uiPriority w:val="0"/>
    <w:rPr>
      <w:kern w:val="2"/>
      <w:sz w:val="21"/>
      <w:szCs w:val="21"/>
    </w:rPr>
  </w:style>
  <w:style w:type="paragraph" w:customStyle="1" w:styleId="4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3">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4">
    <w:name w:val="Body Text Indent Char"/>
    <w:qFormat/>
    <w:locked/>
    <w:uiPriority w:val="0"/>
    <w:rPr>
      <w:rFonts w:ascii="仿宋_GB2312" w:hAnsi="Times New Roman" w:eastAsia="仿宋_GB2312" w:cs="仿宋_GB2312"/>
      <w:sz w:val="32"/>
      <w:szCs w:val="32"/>
    </w:rPr>
  </w:style>
  <w:style w:type="character" w:customStyle="1" w:styleId="405">
    <w:name w:val="正文文本 Char1"/>
    <w:qFormat/>
    <w:uiPriority w:val="0"/>
    <w:rPr>
      <w:kern w:val="2"/>
      <w:sz w:val="22"/>
    </w:rPr>
  </w:style>
  <w:style w:type="character" w:customStyle="1" w:styleId="406">
    <w:name w:val="脚注文本 Char1"/>
    <w:semiHidden/>
    <w:qFormat/>
    <w:uiPriority w:val="99"/>
    <w:rPr>
      <w:rFonts w:ascii="Times New Roman" w:hAnsi="Times New Roman" w:eastAsia="宋体" w:cs="Times New Roman"/>
      <w:sz w:val="18"/>
      <w:szCs w:val="18"/>
    </w:rPr>
  </w:style>
  <w:style w:type="character" w:customStyle="1" w:styleId="407">
    <w:name w:val="Char Char92"/>
    <w:qFormat/>
    <w:uiPriority w:val="0"/>
    <w:rPr>
      <w:kern w:val="2"/>
      <w:sz w:val="21"/>
      <w:szCs w:val="22"/>
    </w:rPr>
  </w:style>
  <w:style w:type="paragraph" w:customStyle="1" w:styleId="408">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0">
    <w:name w:val="默认段落字体 Para Char Char Char Char Char Char Char Char Char Char"/>
    <w:basedOn w:val="1"/>
    <w:qFormat/>
    <w:uiPriority w:val="0"/>
    <w:rPr>
      <w:rFonts w:ascii="Tahoma" w:hAnsi="Tahoma" w:cs="Tahoma"/>
      <w:sz w:val="24"/>
    </w:rPr>
  </w:style>
  <w:style w:type="paragraph" w:customStyle="1" w:styleId="411">
    <w:name w:val="_Style 6"/>
    <w:basedOn w:val="2"/>
    <w:next w:val="1"/>
    <w:qFormat/>
    <w:uiPriority w:val="0"/>
    <w:pPr>
      <w:spacing w:before="100" w:after="100" w:line="576" w:lineRule="auto"/>
      <w:jc w:val="center"/>
      <w:outlineLvl w:val="9"/>
    </w:pPr>
    <w:rPr>
      <w:sz w:val="36"/>
    </w:rPr>
  </w:style>
  <w:style w:type="paragraph" w:customStyle="1" w:styleId="412">
    <w:name w:val="font11"/>
    <w:basedOn w:val="1"/>
    <w:qFormat/>
    <w:uiPriority w:val="0"/>
    <w:pPr>
      <w:widowControl/>
      <w:spacing w:before="100" w:beforeAutospacing="1" w:after="100" w:afterAutospacing="1"/>
      <w:jc w:val="left"/>
    </w:pPr>
    <w:rPr>
      <w:b/>
      <w:bCs/>
      <w:kern w:val="0"/>
      <w:sz w:val="20"/>
      <w:szCs w:val="20"/>
    </w:rPr>
  </w:style>
  <w:style w:type="character" w:customStyle="1" w:styleId="413">
    <w:name w:val="不明显强调2"/>
    <w:qFormat/>
    <w:uiPriority w:val="0"/>
    <w:rPr>
      <w:i/>
      <w:iCs/>
      <w:color w:val="808080"/>
    </w:rPr>
  </w:style>
  <w:style w:type="character" w:customStyle="1" w:styleId="414">
    <w:name w:val="正文文本缩进 2 Char"/>
    <w:qFormat/>
    <w:locked/>
    <w:uiPriority w:val="99"/>
    <w:rPr>
      <w:rFonts w:eastAsia="宋体"/>
      <w:sz w:val="28"/>
      <w:szCs w:val="24"/>
    </w:rPr>
  </w:style>
  <w:style w:type="character" w:customStyle="1" w:styleId="415">
    <w:name w:val="HTML 预设格式 Char1"/>
    <w:link w:val="51"/>
    <w:qFormat/>
    <w:uiPriority w:val="0"/>
    <w:rPr>
      <w:rFonts w:ascii="Courier New" w:hAnsi="Courier New" w:cs="Courier New"/>
      <w:lang w:eastAsia="en-US"/>
    </w:rPr>
  </w:style>
  <w:style w:type="character" w:customStyle="1" w:styleId="416">
    <w:name w:val="t-link"/>
    <w:qFormat/>
    <w:uiPriority w:val="0"/>
  </w:style>
  <w:style w:type="paragraph" w:customStyle="1" w:styleId="41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8">
    <w:name w:val="书籍标题11"/>
    <w:qFormat/>
    <w:uiPriority w:val="0"/>
    <w:rPr>
      <w:b/>
      <w:smallCaps/>
      <w:spacing w:val="5"/>
    </w:rPr>
  </w:style>
  <w:style w:type="paragraph" w:customStyle="1" w:styleId="419">
    <w:name w:val="Char3"/>
    <w:basedOn w:val="1"/>
    <w:qFormat/>
    <w:uiPriority w:val="0"/>
    <w:pPr>
      <w:tabs>
        <w:tab w:val="left" w:pos="360"/>
      </w:tabs>
    </w:pPr>
    <w:rPr>
      <w:sz w:val="24"/>
    </w:rPr>
  </w:style>
  <w:style w:type="paragraph" w:customStyle="1" w:styleId="42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1">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2">
    <w:name w:val="日期11"/>
    <w:basedOn w:val="1"/>
    <w:next w:val="1"/>
    <w:qFormat/>
    <w:uiPriority w:val="0"/>
    <w:pPr>
      <w:ind w:left="100" w:leftChars="2500"/>
    </w:pPr>
    <w:rPr>
      <w:rFonts w:ascii="宋体"/>
      <w:kern w:val="0"/>
      <w:sz w:val="28"/>
      <w:szCs w:val="20"/>
    </w:rPr>
  </w:style>
  <w:style w:type="character" w:customStyle="1" w:styleId="423">
    <w:name w:val="Char Char Char3"/>
    <w:qFormat/>
    <w:uiPriority w:val="0"/>
    <w:rPr>
      <w:rFonts w:eastAsia="宋体"/>
      <w:b/>
      <w:bCs/>
      <w:kern w:val="44"/>
      <w:sz w:val="44"/>
      <w:szCs w:val="44"/>
      <w:lang w:val="en-US" w:eastAsia="zh-CN" w:bidi="ar-SA"/>
    </w:rPr>
  </w:style>
  <w:style w:type="paragraph" w:customStyle="1" w:styleId="42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5">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6">
    <w:name w:val="正文文本首行缩进 字符1"/>
    <w:qFormat/>
    <w:uiPriority w:val="0"/>
    <w:rPr>
      <w:kern w:val="2"/>
      <w:sz w:val="21"/>
      <w:szCs w:val="24"/>
    </w:rPr>
  </w:style>
  <w:style w:type="character" w:customStyle="1" w:styleId="427">
    <w:name w:val="不明显强调21"/>
    <w:qFormat/>
    <w:uiPriority w:val="0"/>
    <w:rPr>
      <w:i/>
      <w:color w:val="808080"/>
    </w:rPr>
  </w:style>
  <w:style w:type="paragraph" w:customStyle="1" w:styleId="428">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9">
    <w:name w:val="样式1"/>
    <w:basedOn w:val="1"/>
    <w:link w:val="480"/>
    <w:qFormat/>
    <w:uiPriority w:val="0"/>
    <w:pPr>
      <w:tabs>
        <w:tab w:val="left" w:pos="1674"/>
      </w:tabs>
      <w:adjustRightInd w:val="0"/>
      <w:ind w:left="1674" w:hanging="1125"/>
      <w:textAlignment w:val="baseline"/>
    </w:pPr>
    <w:rPr>
      <w:rFonts w:ascii="宋体" w:hAnsi="宋体"/>
      <w:kern w:val="0"/>
      <w:szCs w:val="21"/>
    </w:rPr>
  </w:style>
  <w:style w:type="character" w:customStyle="1" w:styleId="430">
    <w:name w:val="Comment Text Char"/>
    <w:qFormat/>
    <w:locked/>
    <w:uiPriority w:val="0"/>
    <w:rPr>
      <w:kern w:val="2"/>
      <w:sz w:val="22"/>
    </w:rPr>
  </w:style>
  <w:style w:type="character" w:customStyle="1" w:styleId="431">
    <w:name w:val="Char Char22"/>
    <w:qFormat/>
    <w:uiPriority w:val="0"/>
    <w:rPr>
      <w:rFonts w:ascii="Arial" w:hAnsi="Arial" w:eastAsia="黑体" w:cs="Times New Roman"/>
      <w:b/>
      <w:bCs/>
      <w:kern w:val="0"/>
      <w:sz w:val="24"/>
      <w:szCs w:val="24"/>
    </w:rPr>
  </w:style>
  <w:style w:type="character" w:customStyle="1" w:styleId="432">
    <w:name w:val="标题 1 Char"/>
    <w:qFormat/>
    <w:uiPriority w:val="0"/>
    <w:rPr>
      <w:rFonts w:eastAsia="宋体"/>
      <w:b/>
      <w:bCs/>
      <w:kern w:val="44"/>
      <w:sz w:val="44"/>
      <w:szCs w:val="44"/>
      <w:lang w:val="en-US" w:eastAsia="zh-CN" w:bidi="ar-SA"/>
    </w:rPr>
  </w:style>
  <w:style w:type="character" w:customStyle="1" w:styleId="433">
    <w:name w:val="明显引用 Char1"/>
    <w:qFormat/>
    <w:uiPriority w:val="0"/>
    <w:rPr>
      <w:rFonts w:ascii="Times New Roman" w:hAnsi="Times New Roman" w:eastAsia="宋体" w:cs="Times New Roman"/>
      <w:b/>
      <w:bCs/>
      <w:i/>
      <w:iCs/>
      <w:color w:val="4F81BD"/>
      <w:szCs w:val="24"/>
    </w:rPr>
  </w:style>
  <w:style w:type="character" w:customStyle="1" w:styleId="434">
    <w:name w:val="Intense Quote Char"/>
    <w:link w:val="362"/>
    <w:qFormat/>
    <w:locked/>
    <w:uiPriority w:val="0"/>
    <w:rPr>
      <w:b/>
      <w:i/>
      <w:color w:val="4F81BD"/>
      <w:sz w:val="22"/>
    </w:rPr>
  </w:style>
  <w:style w:type="character" w:customStyle="1" w:styleId="435">
    <w:name w:val="列出段落 Char"/>
    <w:link w:val="215"/>
    <w:qFormat/>
    <w:uiPriority w:val="0"/>
    <w:rPr>
      <w:kern w:val="2"/>
      <w:sz w:val="21"/>
      <w:szCs w:val="21"/>
    </w:rPr>
  </w:style>
  <w:style w:type="paragraph" w:customStyle="1" w:styleId="436">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7">
    <w:name w:val="批注文字 Char Char"/>
    <w:qFormat/>
    <w:uiPriority w:val="0"/>
    <w:rPr>
      <w:rFonts w:ascii="宋体" w:hAnsi="Times New Roman" w:eastAsia="宋体"/>
      <w:sz w:val="20"/>
    </w:rPr>
  </w:style>
  <w:style w:type="character" w:customStyle="1" w:styleId="438">
    <w:name w:val="正文文本缩进 3 Char1"/>
    <w:qFormat/>
    <w:uiPriority w:val="0"/>
    <w:rPr>
      <w:rFonts w:ascii="Times New Roman" w:hAnsi="Times New Roman" w:eastAsia="宋体" w:cs="Times New Roman"/>
      <w:sz w:val="16"/>
      <w:szCs w:val="16"/>
    </w:rPr>
  </w:style>
  <w:style w:type="character" w:customStyle="1" w:styleId="439">
    <w:name w:val="Char Char21"/>
    <w:qFormat/>
    <w:uiPriority w:val="0"/>
    <w:rPr>
      <w:rFonts w:eastAsia="宋体"/>
      <w:kern w:val="2"/>
      <w:sz w:val="21"/>
      <w:szCs w:val="24"/>
      <w:lang w:val="en-US" w:eastAsia="zh-CN" w:bidi="ar-SA"/>
    </w:rPr>
  </w:style>
  <w:style w:type="character" w:customStyle="1" w:styleId="440">
    <w:name w:val="批注主题 Char Char"/>
    <w:qFormat/>
    <w:uiPriority w:val="0"/>
    <w:rPr>
      <w:rFonts w:ascii="宋体"/>
      <w:b/>
      <w:bCs/>
      <w:sz w:val="28"/>
      <w:lang w:bidi="ar-SA"/>
    </w:rPr>
  </w:style>
  <w:style w:type="character" w:customStyle="1" w:styleId="441">
    <w:name w:val="正文文本 Char"/>
    <w:qFormat/>
    <w:locked/>
    <w:uiPriority w:val="99"/>
    <w:rPr>
      <w:rFonts w:eastAsia="宋体"/>
      <w:kern w:val="2"/>
      <w:sz w:val="24"/>
      <w:lang w:val="en-US" w:eastAsia="zh-CN" w:bidi="ar-SA"/>
    </w:rPr>
  </w:style>
  <w:style w:type="character" w:customStyle="1" w:styleId="442">
    <w:name w:val="明显引用 Char2"/>
    <w:qFormat/>
    <w:uiPriority w:val="30"/>
    <w:rPr>
      <w:rFonts w:ascii="Times New Roman" w:hAnsi="Times New Roman" w:eastAsia="宋体" w:cs="Times New Roman"/>
      <w:b/>
      <w:bCs/>
      <w:i/>
      <w:iCs/>
      <w:color w:val="4F81BD"/>
      <w:szCs w:val="24"/>
    </w:rPr>
  </w:style>
  <w:style w:type="character" w:customStyle="1" w:styleId="443">
    <w:name w:val="纯文本 Char1"/>
    <w:link w:val="31"/>
    <w:qFormat/>
    <w:uiPriority w:val="0"/>
    <w:rPr>
      <w:rFonts w:ascii="宋体" w:hAnsi="Courier New"/>
      <w:sz w:val="21"/>
      <w:szCs w:val="21"/>
    </w:rPr>
  </w:style>
  <w:style w:type="paragraph" w:customStyle="1" w:styleId="444">
    <w:name w:val="索引 42"/>
    <w:basedOn w:val="1"/>
    <w:next w:val="1"/>
    <w:qFormat/>
    <w:uiPriority w:val="0"/>
    <w:pPr>
      <w:ind w:left="600" w:leftChars="600"/>
    </w:pPr>
  </w:style>
  <w:style w:type="paragraph" w:customStyle="1" w:styleId="445">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6">
    <w:name w:val="Char Char15"/>
    <w:qFormat/>
    <w:uiPriority w:val="0"/>
    <w:rPr>
      <w:rFonts w:ascii="Arial" w:hAnsi="Arial" w:eastAsia="黑体"/>
      <w:b/>
      <w:bCs/>
      <w:kern w:val="2"/>
      <w:sz w:val="32"/>
      <w:szCs w:val="32"/>
      <w:lang w:val="en-US" w:eastAsia="zh-CN" w:bidi="ar-SA"/>
    </w:rPr>
  </w:style>
  <w:style w:type="paragraph" w:customStyle="1" w:styleId="447">
    <w:name w:val="！正文"/>
    <w:basedOn w:val="1"/>
    <w:qFormat/>
    <w:uiPriority w:val="0"/>
    <w:pPr>
      <w:spacing w:line="360" w:lineRule="auto"/>
      <w:ind w:firstLine="560" w:firstLineChars="200"/>
    </w:pPr>
    <w:rPr>
      <w:sz w:val="28"/>
      <w:szCs w:val="28"/>
    </w:rPr>
  </w:style>
  <w:style w:type="paragraph" w:customStyle="1" w:styleId="448">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9">
    <w:name w:val="font161"/>
    <w:qFormat/>
    <w:uiPriority w:val="0"/>
    <w:rPr>
      <w:b/>
      <w:bCs/>
      <w:sz w:val="32"/>
      <w:szCs w:val="32"/>
    </w:rPr>
  </w:style>
  <w:style w:type="character" w:customStyle="1" w:styleId="450">
    <w:name w:val="Blockquote Char"/>
    <w:qFormat/>
    <w:locked/>
    <w:uiPriority w:val="0"/>
    <w:rPr>
      <w:sz w:val="24"/>
    </w:rPr>
  </w:style>
  <w:style w:type="character" w:customStyle="1" w:styleId="451">
    <w:name w:val="标题 2 Char Char"/>
    <w:qFormat/>
    <w:uiPriority w:val="0"/>
    <w:rPr>
      <w:rFonts w:ascii="Arial" w:hAnsi="Arial" w:eastAsia="黑体"/>
      <w:b/>
      <w:bCs/>
      <w:kern w:val="2"/>
      <w:sz w:val="32"/>
      <w:szCs w:val="32"/>
      <w:lang w:val="en-US" w:eastAsia="zh-CN" w:bidi="ar-SA"/>
    </w:rPr>
  </w:style>
  <w:style w:type="character" w:customStyle="1" w:styleId="452">
    <w:name w:val="Char Char261"/>
    <w:qFormat/>
    <w:uiPriority w:val="0"/>
    <w:rPr>
      <w:rFonts w:eastAsia="宋体"/>
      <w:kern w:val="2"/>
      <w:sz w:val="21"/>
      <w:szCs w:val="24"/>
      <w:lang w:val="en-US" w:eastAsia="zh-CN" w:bidi="ar-SA"/>
    </w:rPr>
  </w:style>
  <w:style w:type="character" w:customStyle="1" w:styleId="453">
    <w:name w:val="不明显参考2"/>
    <w:qFormat/>
    <w:uiPriority w:val="0"/>
    <w:rPr>
      <w:smallCaps/>
      <w:color w:val="C0504D"/>
      <w:u w:val="single"/>
    </w:rPr>
  </w:style>
  <w:style w:type="paragraph" w:customStyle="1" w:styleId="454">
    <w:name w:val="Char8"/>
    <w:basedOn w:val="15"/>
    <w:qFormat/>
    <w:uiPriority w:val="0"/>
    <w:rPr>
      <w:rFonts w:ascii="Calibri" w:hAnsi="Calibri"/>
    </w:rPr>
  </w:style>
  <w:style w:type="character" w:customStyle="1" w:styleId="455">
    <w:name w:val="日期 Char2"/>
    <w:qFormat/>
    <w:uiPriority w:val="0"/>
    <w:rPr>
      <w:rFonts w:ascii="Times New Roman" w:hAnsi="Times New Roman" w:eastAsia="宋体" w:cs="Times New Roman"/>
      <w:sz w:val="24"/>
      <w:szCs w:val="20"/>
    </w:rPr>
  </w:style>
  <w:style w:type="character" w:customStyle="1" w:styleId="456">
    <w:name w:val="Char Char182"/>
    <w:qFormat/>
    <w:uiPriority w:val="0"/>
    <w:rPr>
      <w:b/>
      <w:bCs/>
      <w:kern w:val="44"/>
      <w:sz w:val="44"/>
      <w:szCs w:val="44"/>
    </w:rPr>
  </w:style>
  <w:style w:type="character" w:customStyle="1" w:styleId="457">
    <w:name w:val="纯文本 Char2"/>
    <w:qFormat/>
    <w:uiPriority w:val="99"/>
    <w:rPr>
      <w:rFonts w:ascii="宋体" w:hAnsi="Courier New"/>
      <w:sz w:val="21"/>
      <w:szCs w:val="21"/>
    </w:rPr>
  </w:style>
  <w:style w:type="paragraph" w:customStyle="1" w:styleId="458">
    <w:name w:val="索引 41"/>
    <w:basedOn w:val="1"/>
    <w:next w:val="1"/>
    <w:qFormat/>
    <w:uiPriority w:val="0"/>
    <w:pPr>
      <w:ind w:left="600" w:leftChars="600"/>
    </w:pPr>
  </w:style>
  <w:style w:type="paragraph" w:customStyle="1" w:styleId="459">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0">
    <w:name w:val="引用 Char3"/>
    <w:link w:val="255"/>
    <w:qFormat/>
    <w:uiPriority w:val="0"/>
    <w:rPr>
      <w:rFonts w:ascii="Calibri" w:hAnsi="Calibri"/>
      <w:i/>
      <w:color w:val="000000"/>
      <w:kern w:val="2"/>
      <w:sz w:val="22"/>
      <w:szCs w:val="22"/>
    </w:rPr>
  </w:style>
  <w:style w:type="character" w:customStyle="1" w:styleId="461">
    <w:name w:val="批注主题 Char3"/>
    <w:link w:val="53"/>
    <w:qFormat/>
    <w:uiPriority w:val="99"/>
    <w:rPr>
      <w:b/>
      <w:bCs/>
      <w:kern w:val="2"/>
      <w:sz w:val="21"/>
      <w:szCs w:val="21"/>
    </w:rPr>
  </w:style>
  <w:style w:type="character" w:customStyle="1" w:styleId="462">
    <w:name w:val="正文文本 2 Char2"/>
    <w:link w:val="48"/>
    <w:qFormat/>
    <w:uiPriority w:val="0"/>
    <w:rPr>
      <w:rFonts w:ascii="Calibri" w:hAnsi="Calibri"/>
      <w:kern w:val="2"/>
      <w:sz w:val="24"/>
      <w:szCs w:val="22"/>
    </w:rPr>
  </w:style>
  <w:style w:type="character" w:customStyle="1" w:styleId="463">
    <w:name w:val="正文文本缩进 2 Char1"/>
    <w:qFormat/>
    <w:uiPriority w:val="99"/>
    <w:rPr>
      <w:kern w:val="2"/>
      <w:sz w:val="21"/>
      <w:szCs w:val="22"/>
    </w:rPr>
  </w:style>
  <w:style w:type="paragraph" w:customStyle="1" w:styleId="464">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5">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6">
    <w:name w:val="日期2"/>
    <w:basedOn w:val="1"/>
    <w:next w:val="1"/>
    <w:qFormat/>
    <w:uiPriority w:val="0"/>
    <w:pPr>
      <w:ind w:left="100" w:leftChars="2500"/>
    </w:pPr>
    <w:rPr>
      <w:rFonts w:ascii="宋体"/>
      <w:kern w:val="0"/>
      <w:sz w:val="28"/>
      <w:szCs w:val="20"/>
    </w:rPr>
  </w:style>
  <w:style w:type="paragraph" w:customStyle="1" w:styleId="467">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8">
    <w:name w:val="textcontents"/>
    <w:qFormat/>
    <w:uiPriority w:val="0"/>
  </w:style>
  <w:style w:type="character" w:customStyle="1" w:styleId="469">
    <w:name w:val="Balloon Text Char"/>
    <w:qFormat/>
    <w:uiPriority w:val="0"/>
    <w:rPr>
      <w:rFonts w:eastAsia="宋体"/>
      <w:kern w:val="2"/>
      <w:sz w:val="18"/>
      <w:szCs w:val="18"/>
      <w:lang w:val="en-US" w:eastAsia="zh-CN" w:bidi="ar-SA"/>
    </w:rPr>
  </w:style>
  <w:style w:type="paragraph" w:customStyle="1" w:styleId="470">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1">
    <w:name w:val="默认段落字体 Para Char Char Char Char"/>
    <w:basedOn w:val="1"/>
    <w:qFormat/>
    <w:uiPriority w:val="0"/>
    <w:rPr>
      <w:szCs w:val="21"/>
    </w:rPr>
  </w:style>
  <w:style w:type="character" w:customStyle="1" w:styleId="472">
    <w:name w:val="Char Char4"/>
    <w:qFormat/>
    <w:uiPriority w:val="0"/>
    <w:rPr>
      <w:rFonts w:eastAsia="宋体"/>
      <w:b/>
      <w:bCs/>
      <w:kern w:val="44"/>
      <w:sz w:val="44"/>
      <w:szCs w:val="44"/>
      <w:lang w:val="en-US" w:eastAsia="zh-CN"/>
    </w:rPr>
  </w:style>
  <w:style w:type="character" w:customStyle="1" w:styleId="473">
    <w:name w:val="正文要点 Char Char"/>
    <w:link w:val="83"/>
    <w:qFormat/>
    <w:locked/>
    <w:uiPriority w:val="0"/>
    <w:rPr>
      <w:kern w:val="2"/>
      <w:sz w:val="21"/>
      <w:szCs w:val="21"/>
    </w:rPr>
  </w:style>
  <w:style w:type="paragraph" w:customStyle="1" w:styleId="47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5">
    <w:name w:val="Heading 1 Char"/>
    <w:qFormat/>
    <w:locked/>
    <w:uiPriority w:val="0"/>
    <w:rPr>
      <w:rFonts w:eastAsia="宋体"/>
      <w:b/>
      <w:bCs/>
      <w:kern w:val="44"/>
      <w:sz w:val="44"/>
      <w:szCs w:val="44"/>
      <w:lang w:val="en-US" w:eastAsia="zh-CN" w:bidi="ar-SA"/>
    </w:rPr>
  </w:style>
  <w:style w:type="paragraph" w:customStyle="1" w:styleId="47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7">
    <w:name w:val="文档结构图1"/>
    <w:basedOn w:val="1"/>
    <w:qFormat/>
    <w:uiPriority w:val="0"/>
    <w:pPr>
      <w:shd w:val="clear" w:color="auto" w:fill="000080"/>
    </w:pPr>
    <w:rPr>
      <w:kern w:val="0"/>
      <w:sz w:val="20"/>
      <w:shd w:val="clear" w:color="auto" w:fill="000080"/>
    </w:rPr>
  </w:style>
  <w:style w:type="character" w:customStyle="1" w:styleId="478">
    <w:name w:val="apple-converted-space"/>
    <w:qFormat/>
    <w:uiPriority w:val="0"/>
  </w:style>
  <w:style w:type="paragraph" w:customStyle="1" w:styleId="479">
    <w:name w:val="文本块12"/>
    <w:basedOn w:val="1"/>
    <w:next w:val="1"/>
    <w:qFormat/>
    <w:uiPriority w:val="0"/>
    <w:rPr>
      <w:i/>
      <w:iCs/>
      <w:color w:val="000000"/>
      <w:szCs w:val="22"/>
    </w:rPr>
  </w:style>
  <w:style w:type="character" w:customStyle="1" w:styleId="480">
    <w:name w:val="样式1 字符"/>
    <w:link w:val="429"/>
    <w:qFormat/>
    <w:uiPriority w:val="0"/>
    <w:rPr>
      <w:rFonts w:ascii="宋体" w:hAnsi="宋体" w:cs="宋体"/>
      <w:sz w:val="21"/>
      <w:szCs w:val="21"/>
    </w:rPr>
  </w:style>
  <w:style w:type="character" w:customStyle="1" w:styleId="481">
    <w:name w:val="正文文本 Char3"/>
    <w:link w:val="19"/>
    <w:qFormat/>
    <w:uiPriority w:val="99"/>
    <w:rPr>
      <w:sz w:val="24"/>
      <w:szCs w:val="24"/>
    </w:rPr>
  </w:style>
  <w:style w:type="character" w:customStyle="1" w:styleId="482">
    <w:name w:val="Char Char5"/>
    <w:qFormat/>
    <w:uiPriority w:val="0"/>
    <w:rPr>
      <w:rFonts w:ascii="Arial" w:hAnsi="Arial" w:eastAsia="黑体"/>
      <w:b/>
      <w:bCs/>
      <w:kern w:val="2"/>
      <w:sz w:val="32"/>
      <w:szCs w:val="32"/>
      <w:lang w:val="en-US" w:eastAsia="zh-CN" w:bidi="ar-SA"/>
    </w:rPr>
  </w:style>
  <w:style w:type="character" w:customStyle="1" w:styleId="483">
    <w:name w:val="日期 Char Char"/>
    <w:qFormat/>
    <w:uiPriority w:val="0"/>
    <w:rPr>
      <w:rFonts w:ascii="宋体"/>
      <w:sz w:val="28"/>
      <w:lang w:bidi="ar-SA"/>
    </w:rPr>
  </w:style>
  <w:style w:type="paragraph" w:customStyle="1" w:styleId="484">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5">
    <w:name w:val="Char Char161"/>
    <w:qFormat/>
    <w:uiPriority w:val="0"/>
    <w:rPr>
      <w:b/>
      <w:bCs/>
      <w:kern w:val="2"/>
      <w:sz w:val="32"/>
      <w:szCs w:val="32"/>
    </w:rPr>
  </w:style>
  <w:style w:type="character" w:customStyle="1" w:styleId="486">
    <w:name w:val="不明显强调3"/>
    <w:qFormat/>
    <w:uiPriority w:val="99"/>
    <w:rPr>
      <w:i/>
      <w:iCs/>
      <w:color w:val="808080"/>
    </w:rPr>
  </w:style>
  <w:style w:type="character" w:customStyle="1" w:styleId="487">
    <w:name w:val="Char Char26"/>
    <w:qFormat/>
    <w:uiPriority w:val="0"/>
    <w:rPr>
      <w:rFonts w:ascii="Arial" w:hAnsi="Arial" w:eastAsia="黑体" w:cs="Times New Roman"/>
      <w:b/>
      <w:bCs/>
      <w:sz w:val="32"/>
      <w:szCs w:val="32"/>
    </w:rPr>
  </w:style>
  <w:style w:type="paragraph" w:customStyle="1" w:styleId="488">
    <w:name w:val="正文文本 312"/>
    <w:basedOn w:val="1"/>
    <w:qFormat/>
    <w:uiPriority w:val="0"/>
    <w:pPr>
      <w:spacing w:after="120"/>
    </w:pPr>
    <w:rPr>
      <w:sz w:val="16"/>
      <w:szCs w:val="16"/>
    </w:rPr>
  </w:style>
  <w:style w:type="paragraph" w:customStyle="1" w:styleId="489">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0">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1">
    <w:name w:val="不明显参考3"/>
    <w:qFormat/>
    <w:uiPriority w:val="99"/>
    <w:rPr>
      <w:smallCaps/>
      <w:color w:val="C0504D"/>
      <w:u w:val="single"/>
    </w:rPr>
  </w:style>
  <w:style w:type="character" w:customStyle="1" w:styleId="492">
    <w:name w:val="标题 2 Char2"/>
    <w:basedOn w:val="57"/>
    <w:link w:val="3"/>
    <w:qFormat/>
    <w:uiPriority w:val="0"/>
    <w:rPr>
      <w:rFonts w:eastAsia="仿宋" w:asciiTheme="majorHAnsi" w:hAnsiTheme="majorHAnsi" w:cstheme="majorBidi"/>
      <w:b/>
      <w:bCs/>
      <w:sz w:val="28"/>
      <w:szCs w:val="32"/>
    </w:rPr>
  </w:style>
  <w:style w:type="paragraph" w:customStyle="1" w:styleId="493">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4">
    <w:name w:val="flatpickr-day2"/>
    <w:basedOn w:val="57"/>
    <w:qFormat/>
    <w:uiPriority w:val="0"/>
  </w:style>
  <w:style w:type="character" w:customStyle="1" w:styleId="495">
    <w:name w:val="flatpickr-weekday"/>
    <w:basedOn w:val="57"/>
    <w:qFormat/>
    <w:uiPriority w:val="0"/>
    <w:rPr>
      <w:b/>
      <w:bCs/>
      <w:sz w:val="21"/>
      <w:szCs w:val="21"/>
    </w:rPr>
  </w:style>
  <w:style w:type="character" w:customStyle="1" w:styleId="496">
    <w:name w:val="flatpickr-weekday2"/>
    <w:basedOn w:val="57"/>
    <w:qFormat/>
    <w:uiPriority w:val="0"/>
    <w:rPr>
      <w:b/>
      <w:bCs/>
      <w:sz w:val="21"/>
      <w:szCs w:val="21"/>
    </w:rPr>
  </w:style>
  <w:style w:type="paragraph" w:customStyle="1" w:styleId="497">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8">
    <w:name w:val="普通(网站) Char"/>
    <w:link w:val="52"/>
    <w:qFormat/>
    <w:uiPriority w:val="99"/>
    <w:rPr>
      <w:rFonts w:ascii="宋体" w:hAnsi="宋体" w:cs="宋体" w:eastAsiaTheme="minorEastAsia"/>
      <w:sz w:val="24"/>
      <w:szCs w:val="24"/>
    </w:rPr>
  </w:style>
  <w:style w:type="paragraph" w:customStyle="1" w:styleId="499">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500">
    <w:name w:val="网格型1"/>
    <w:basedOn w:val="55"/>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1">
    <w:name w:val="flatpickr-day"/>
    <w:basedOn w:val="57"/>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78</Pages>
  <Words>34037</Words>
  <Characters>36048</Characters>
  <Lines>322</Lines>
  <Paragraphs>90</Paragraphs>
  <TotalTime>63</TotalTime>
  <ScaleCrop>false</ScaleCrop>
  <LinksUpToDate>false</LinksUpToDate>
  <CharactersWithSpaces>36852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Mr刘</cp:lastModifiedBy>
  <cp:lastPrinted>2024-09-02T07:00:00Z</cp:lastPrinted>
  <dcterms:modified xsi:type="dcterms:W3CDTF">2026-06-22T07:10:28Z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AB1A6856D07D49708B80AC715BB4D62E_12</vt:lpwstr>
  </property>
  <property fmtid="{D5CDD505-2E9C-101B-9397-08002B2CF9AE}" pid="4" name="KSOTemplateDocerSaveRecord">
    <vt:lpwstr>eyJoZGlkIjoiMTc1ZGQyMmM2OGUwNjQ5NWYxNWVmOWU5ZTVmYWY2ZjIiLCJ1c2VySWQiOiI1OTQ0ODU5OTEifQ==</vt:lpwstr>
  </property>
</Properties>
</file>